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2"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470" w:right="2120" w:hanging="1360"/>
        <w:spacing w:after="0" w:line="282" w:lineRule="auto"/>
        <w:tabs>
          <w:tab w:leader="none" w:pos="232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70" w:right="2100" w:hanging="1367"/>
        <w:spacing w:after="0" w:line="282" w:lineRule="auto"/>
        <w:tabs>
          <w:tab w:leader="none" w:pos="23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transition period from to</w:t>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146050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8"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TG THERAPEUTICS, INC.</w:t>
      </w:r>
    </w:p>
    <w:p>
      <w:pPr>
        <w:spacing w:after="0" w:line="3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230"/>
          </w:cols>
          <w:pgMar w:left="830" w:top="665" w:right="839" w:bottom="1440" w:gutter="0" w:footer="0" w:header="0"/>
        </w:sectPr>
      </w:pPr>
    </w:p>
    <w:p>
      <w:pPr>
        <w:spacing w:after="0" w:line="97" w:lineRule="exact"/>
        <w:rPr>
          <w:sz w:val="24"/>
          <w:szCs w:val="24"/>
          <w:color w:val="auto"/>
        </w:rPr>
      </w:pPr>
    </w:p>
    <w:p>
      <w:pPr>
        <w:jc w:val="center"/>
        <w:ind w:right="63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3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108" w:lineRule="exact"/>
        <w:rPr>
          <w:sz w:val="24"/>
          <w:szCs w:val="24"/>
          <w:color w:val="auto"/>
        </w:rPr>
      </w:pPr>
    </w:p>
    <w:p>
      <w:pPr>
        <w:sectPr>
          <w:pgSz w:w="11900" w:h="16838" w:orient="portrait"/>
          <w:cols w:equalWidth="0" w:num="2">
            <w:col w:w="5550" w:space="720"/>
            <w:col w:w="3960"/>
          </w:cols>
          <w:pgMar w:left="830" w:top="665" w:right="839" w:bottom="1440" w:gutter="0" w:footer="0" w:header="0"/>
          <w:type w:val="continuous"/>
        </w:sectPr>
      </w:pPr>
    </w:p>
    <w:p>
      <w:pPr>
        <w:ind w:left="3950"/>
        <w:spacing w:after="0"/>
        <w:rPr>
          <w:sz w:val="20"/>
          <w:szCs w:val="20"/>
          <w:color w:val="auto"/>
        </w:rPr>
      </w:pPr>
      <w:r>
        <w:rPr>
          <w:rFonts w:ascii="Arial" w:cs="Arial" w:eastAsia="Arial" w:hAnsi="Arial"/>
          <w:sz w:val="18"/>
          <w:szCs w:val="18"/>
          <w:b w:val="1"/>
          <w:bCs w:val="1"/>
          <w:color w:val="auto"/>
        </w:rPr>
        <w:t>2 Gansevoort Street, 9th Floor</w:t>
      </w:r>
    </w:p>
    <w:p>
      <w:pPr>
        <w:spacing w:after="0" w:line="27" w:lineRule="exact"/>
        <w:rPr>
          <w:sz w:val="24"/>
          <w:szCs w:val="24"/>
          <w:color w:val="auto"/>
        </w:rPr>
      </w:pPr>
    </w:p>
    <w:p>
      <w:pPr>
        <w:ind w:left="405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ind w:left="2990"/>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85" w:lineRule="exact"/>
        <w:rPr>
          <w:sz w:val="24"/>
          <w:szCs w:val="24"/>
          <w:color w:val="auto"/>
        </w:rPr>
      </w:pPr>
    </w:p>
    <w:p>
      <w:pPr>
        <w:ind w:left="4550"/>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ind w:left="3230"/>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 Name</w:t>
            </w:r>
          </w:p>
        </w:tc>
      </w:tr>
      <w:tr>
        <w:trPr>
          <w:trHeight w:val="21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80" w:lineRule="exact"/>
        <w:rPr>
          <w:sz w:val="24"/>
          <w:szCs w:val="24"/>
          <w:color w:val="auto"/>
        </w:rPr>
      </w:pPr>
    </w:p>
    <w:p>
      <w:pPr>
        <w:jc w:val="both"/>
        <w:ind w:left="10" w:right="1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4" w:lineRule="exact"/>
        <w:rPr>
          <w:sz w:val="24"/>
          <w:szCs w:val="24"/>
          <w:color w:val="auto"/>
        </w:rPr>
      </w:pPr>
    </w:p>
    <w:p>
      <w:pPr>
        <w:ind w:left="10" w:right="2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w:t>
      </w:r>
    </w:p>
    <w:p>
      <w:pPr>
        <w:ind w:left="210" w:hanging="210"/>
        <w:spacing w:after="0" w:line="207" w:lineRule="exact"/>
        <w:tabs>
          <w:tab w:leader="none" w:pos="2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ind w:left="10"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8090" w:space="720"/>
            <w:col w:w="1420"/>
          </w:cols>
          <w:pgMar w:left="830" w:top="665" w:right="839" w:bottom="1440" w:gutter="0" w:footer="0" w:header="0"/>
          <w:type w:val="continuous"/>
        </w:sectPr>
      </w:pPr>
    </w:p>
    <w:p>
      <w:pPr>
        <w:ind w:left="1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7330" w:space="720"/>
            <w:col w:w="2180"/>
          </w:cols>
          <w:pgMar w:left="830" w:top="665" w:right="839" w:bottom="1440" w:gutter="0" w:footer="0" w:header="0"/>
          <w:type w:val="continuous"/>
        </w:sectPr>
      </w:pPr>
    </w:p>
    <w:p>
      <w:pPr>
        <w:ind w:left="805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230"/>
          </w:cols>
          <w:pgMar w:left="830" w:top="665" w:right="839" w:bottom="1440" w:gutter="0" w:footer="0" w:header="0"/>
          <w:type w:val="continuous"/>
        </w:sectPr>
      </w:pPr>
    </w:p>
    <w:p>
      <w:pPr>
        <w:spacing w:after="0" w:line="159" w:lineRule="exact"/>
        <w:rPr>
          <w:sz w:val="24"/>
          <w:szCs w:val="24"/>
          <w:color w:val="auto"/>
        </w:rPr>
      </w:pPr>
    </w:p>
    <w:p>
      <w:pPr>
        <w:ind w:left="1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10"/>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23"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There were 142,943,139 shares of the registrant’s common stock, $0.001 par value, outstanding as of November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494665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0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r>
      <w:tr>
        <w:trPr>
          <w:trHeight w:val="364"/>
        </w:trPr>
        <w:tc>
          <w:tcPr>
            <w:tcW w:w="81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CAUTIONARY NOTICE REGARDING FORWARD-LOOKING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720" w:type="dxa"/>
            <w:vAlign w:val="bottom"/>
            <w:tcBorders>
              <w:top w:val="single" w:sz="8" w:color="0000EE"/>
            </w:tcBorders>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 RISK FACTORS</w:t>
              </w:r>
            </w:hyperlink>
          </w:p>
        </w:tc>
        <w:tc>
          <w:tcPr>
            <w:tcW w:w="140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73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Item 1</w:t>
              </w:r>
            </w:hyperlink>
          </w:p>
        </w:tc>
        <w:tc>
          <w:tcPr>
            <w:tcW w:w="60" w:type="dxa"/>
            <w:vAlign w:val="bottom"/>
            <w:tcBorders>
              <w:top w:val="single" w:sz="8" w:color="0000EE"/>
            </w:tcBorders>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Financial Statements:</w:t>
              </w:r>
            </w:hyperlink>
          </w:p>
        </w:tc>
        <w:tc>
          <w:tcPr>
            <w:tcW w:w="700" w:type="dxa"/>
            <w:vAlign w:val="bottom"/>
            <w:tcBorders>
              <w:top w:val="single" w:sz="8" w:color="0000EE"/>
            </w:tcBorders>
            <w:gridSpan w:val="3"/>
          </w:tcPr>
          <w:p>
            <w:pPr>
              <w:spacing w:after="0"/>
              <w:rPr>
                <w:sz w:val="24"/>
                <w:szCs w:val="24"/>
                <w:color w:val="auto"/>
              </w:rPr>
            </w:pPr>
          </w:p>
        </w:tc>
        <w:tc>
          <w:tcPr>
            <w:tcW w:w="510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Balance Sheets</w:t>
              </w:r>
            </w:hyperlink>
          </w:p>
        </w:tc>
        <w:tc>
          <w:tcPr>
            <w:tcW w:w="442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Operations (unaudited)</w:t>
              </w:r>
            </w:hyperlink>
          </w:p>
        </w:tc>
        <w:tc>
          <w:tcPr>
            <w:tcW w:w="282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60" w:type="dxa"/>
            <w:vAlign w:val="bottom"/>
            <w:gridSpan w:val="17"/>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Condensed Consolidated Statements of Changes in Stockholders’ (Deficit) Equity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80" w:type="dxa"/>
            <w:vAlign w:val="bottom"/>
            <w:tcBorders>
              <w:top w:val="single" w:sz="8" w:color="0000EE"/>
            </w:tcBorders>
            <w:gridSpan w:val="1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(unaudited)</w:t>
              </w:r>
            </w:hyperlink>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60" w:type="dxa"/>
            <w:vAlign w:val="bottom"/>
            <w:gridSpan w:val="1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Item 2</w:t>
              </w:r>
            </w:hyperlink>
          </w:p>
        </w:tc>
        <w:tc>
          <w:tcPr>
            <w:tcW w:w="280" w:type="dxa"/>
            <w:vAlign w:val="bottom"/>
            <w:gridSpan w:val="3"/>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9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3</w:t>
              </w:r>
            </w:hyperlink>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300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460" w:type="dxa"/>
            <w:vAlign w:val="bottom"/>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Item 4</w:t>
              </w:r>
            </w:hyperlink>
          </w:p>
        </w:tc>
        <w:tc>
          <w:tcPr>
            <w:tcW w:w="300" w:type="dxa"/>
            <w:vAlign w:val="bottom"/>
            <w:gridSpan w:val="4"/>
          </w:tcPr>
          <w:p>
            <w:pPr>
              <w:spacing w:after="0"/>
              <w:rPr>
                <w:sz w:val="24"/>
                <w:szCs w:val="24"/>
                <w:color w:val="auto"/>
              </w:rPr>
            </w:pPr>
          </w:p>
        </w:tc>
        <w:tc>
          <w:tcPr>
            <w:tcW w:w="73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PART II</w:t>
              </w:r>
            </w:hyperlink>
          </w:p>
        </w:tc>
        <w:tc>
          <w:tcPr>
            <w:tcW w:w="73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1</w:t>
              </w:r>
            </w:hyperlink>
          </w:p>
        </w:tc>
        <w:tc>
          <w:tcPr>
            <w:tcW w:w="100" w:type="dxa"/>
            <w:vAlign w:val="bottom"/>
            <w:tcBorders>
              <w:top w:val="single" w:sz="8" w:color="0000EE"/>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24"/>
                <w:szCs w:val="24"/>
                <w:color w:val="auto"/>
              </w:rPr>
            </w:pPr>
          </w:p>
        </w:tc>
        <w:tc>
          <w:tcPr>
            <w:tcW w:w="5480" w:type="dxa"/>
            <w:vAlign w:val="bottom"/>
            <w:gridSpan w:val="10"/>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76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73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Item 6</w:t>
              </w:r>
            </w:hyperlink>
          </w:p>
        </w:tc>
        <w:tc>
          <w:tcPr>
            <w:tcW w:w="100" w:type="dxa"/>
            <w:vAlign w:val="bottom"/>
            <w:tcBorders>
              <w:top w:val="single" w:sz="8" w:color="0000EE"/>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6460" w:type="dxa"/>
            <w:vAlign w:val="bottom"/>
            <w:gridSpan w:val="1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4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2" w:lineRule="exact"/>
        <w:rPr>
          <w:sz w:val="20"/>
          <w:szCs w:val="20"/>
          <w:color w:val="auto"/>
        </w:rPr>
      </w:pPr>
    </w:p>
    <w:p>
      <w:pPr>
        <w:ind w:left="760" w:right="79" w:hanging="359"/>
        <w:spacing w:after="0" w:line="21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establish and maintain a commercial infrastructure and to successfully launch, market and sell UKONIQ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(umbralisib) in the U.S. and any products for which we obtain regulatory approval in the future;</w:t>
      </w:r>
    </w:p>
    <w:p>
      <w:pPr>
        <w:spacing w:after="0" w:line="1" w:lineRule="exact"/>
        <w:rPr>
          <w:rFonts w:ascii="Arial" w:cs="Arial" w:eastAsia="Arial" w:hAnsi="Arial"/>
          <w:sz w:val="17"/>
          <w:szCs w:val="17"/>
          <w:color w:val="auto"/>
        </w:rPr>
      </w:pPr>
    </w:p>
    <w:p>
      <w:pPr>
        <w:ind w:left="760" w:right="79" w:hanging="359"/>
        <w:spacing w:after="0" w:line="264"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the ongoing commercialization of UKONIQ and potential commercialization of any future products, including the anticipated rate and degree of market acceptance and pricing and reimbursement;</w:t>
      </w: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complete regulatory submissions for our product candidates and additional indications for UKONIQ, and acceptance and review of those submissions by regulatory authorities, including those in the U.S. and in additional geographies;</w:t>
      </w:r>
    </w:p>
    <w:p>
      <w:pPr>
        <w:spacing w:after="0" w:line="1" w:lineRule="exact"/>
        <w:rPr>
          <w:rFonts w:ascii="Arial" w:cs="Arial" w:eastAsia="Arial" w:hAnsi="Arial"/>
          <w:sz w:val="18"/>
          <w:szCs w:val="18"/>
          <w:color w:val="auto"/>
        </w:rPr>
      </w:pP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 candidates, including ublituximab in combination with UKONIQ in chronic lymphocytic leukemia (CLL) and small lymphocytic lymphoma (SLL) and ublituximab in relapsing forms of multiple sclerosis (RMS);</w:t>
      </w:r>
    </w:p>
    <w:p>
      <w:pPr>
        <w:spacing w:after="0" w:line="1" w:lineRule="exact"/>
        <w:rPr>
          <w:rFonts w:ascii="Arial" w:cs="Arial" w:eastAsia="Arial" w:hAnsi="Arial"/>
          <w:sz w:val="18"/>
          <w:szCs w:val="18"/>
          <w:color w:val="auto"/>
        </w:rPr>
      </w:pP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without limitation, UNITY-CLL Phase 3 clinical trial, ULTIMATE I and II Phase 3 clinical trials, UNITY-NHL Phase 2b clinical trial, and ULTRA-V Phase 3 clinical trial;</w:t>
      </w:r>
    </w:p>
    <w:p>
      <w:pPr>
        <w:spacing w:after="0" w:line="1"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9" w:lineRule="exact"/>
        <w:rPr>
          <w:rFonts w:ascii="Arial" w:cs="Arial" w:eastAsia="Arial" w:hAnsi="Arial"/>
          <w:sz w:val="18"/>
          <w:szCs w:val="18"/>
          <w:color w:val="auto"/>
        </w:rPr>
      </w:pP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contractual relationships, on commercially reasonable terms, with third parties for manufacturing, distribution and supply, and a range of other support functions for our clinical development and commercialization efforts;</w:t>
      </w:r>
    </w:p>
    <w:p>
      <w:pPr>
        <w:spacing w:after="0" w:line="1"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for our business, drug candidates and technology;</w:t>
      </w:r>
    </w:p>
    <w:p>
      <w:pPr>
        <w:spacing w:after="0" w:line="20" w:lineRule="exact"/>
        <w:rPr>
          <w:rFonts w:ascii="Arial" w:cs="Arial" w:eastAsia="Arial" w:hAnsi="Arial"/>
          <w:sz w:val="17"/>
          <w:szCs w:val="17"/>
          <w:color w:val="auto"/>
        </w:rPr>
      </w:pPr>
    </w:p>
    <w:p>
      <w:pPr>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and product candidates;</w:t>
      </w: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20"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enter into strategic arrangements, if desired;</w:t>
      </w:r>
    </w:p>
    <w:p>
      <w:pPr>
        <w:spacing w:after="0" w:line="9" w:lineRule="exact"/>
        <w:rPr>
          <w:rFonts w:ascii="Arial" w:cs="Arial" w:eastAsia="Arial" w:hAnsi="Arial"/>
          <w:sz w:val="18"/>
          <w:szCs w:val="18"/>
          <w:color w:val="auto"/>
        </w:rPr>
      </w:pPr>
    </w:p>
    <w:p>
      <w:pPr>
        <w:ind w:left="760" w:right="79" w:hanging="359"/>
        <w:spacing w:after="0" w:line="281"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meet any of our financial projections or guidance, including without limitation short and long-term revenue projections or guidance and changes to the assumptions underlying those projections or guidance;</w:t>
      </w:r>
    </w:p>
    <w:p>
      <w:pPr>
        <w:spacing w:after="0" w:line="1" w:lineRule="exact"/>
        <w:rPr>
          <w:rFonts w:ascii="Arial" w:cs="Arial" w:eastAsia="Arial" w:hAnsi="Arial"/>
          <w:sz w:val="16"/>
          <w:szCs w:val="16"/>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 cash burn management; and</w:t>
      </w:r>
    </w:p>
    <w:p>
      <w:pPr>
        <w:spacing w:after="0" w:line="9"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RISK FACTORS</w:t>
      </w:r>
    </w:p>
    <w:p>
      <w:pPr>
        <w:spacing w:after="0" w:line="10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w:t>
      </w:r>
    </w:p>
    <w:p>
      <w:pPr>
        <w:spacing w:after="0" w:line="27" w:lineRule="exact"/>
        <w:rPr>
          <w:sz w:val="20"/>
          <w:szCs w:val="20"/>
          <w:color w:val="auto"/>
        </w:rPr>
      </w:pP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limited experience as a commercial company, and the marketing and sale of UKONIQ or any future approved products may be less successful than anticipated or unsuccessful.</w:t>
      </w:r>
    </w:p>
    <w:p>
      <w:pPr>
        <w:ind w:left="380" w:right="79" w:hanging="330"/>
        <w:spacing w:after="0" w:line="265"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COVID-19 pandemic and related response measures to control it have impacted our sales and marketing efforts for UKONIQ and could have an adverse impact on our commercial launch of ublituximab, if approved.</w:t>
      </w:r>
    </w:p>
    <w:p>
      <w:pPr>
        <w:ind w:left="380" w:right="79" w:hanging="330"/>
        <w:spacing w:after="0" w:line="265"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UKONIQ or any future approved product does not achieve broad market acceptance among physicians, patients, payors, and the medical community, the revenues that we generate from product sales will be limited.</w:t>
      </w: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market opportunities for UKONIQ and future approved products are smaller than we estimate or if any approval that we obtain is based on a narrower patient population, our revenue will be adversely affected.</w:t>
      </w:r>
    </w:p>
    <w:p>
      <w:pPr>
        <w:jc w:val="both"/>
        <w:ind w:left="380" w:right="79" w:hanging="330"/>
        <w:spacing w:after="0" w:line="28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 w:lineRule="exact"/>
        <w:rPr>
          <w:rFonts w:ascii="Arial" w:cs="Arial" w:eastAsia="Arial" w:hAnsi="Arial"/>
          <w:sz w:val="16"/>
          <w:szCs w:val="16"/>
          <w:color w:val="auto"/>
        </w:rPr>
      </w:pP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establish additional commercial capabilities and infrastructure, we may be unable to generate sufficient revenue to sustain our business.</w:t>
      </w:r>
    </w:p>
    <w:p>
      <w:pPr>
        <w:ind w:left="380" w:right="79" w:hanging="330"/>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lawsuits could cause us to incur substantial liabilities and limit commercialization of any of our products.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anticipate that we will continue to incur losses for the foreseeable future.</w:t>
      </w:r>
    </w:p>
    <w:p>
      <w:pPr>
        <w:ind w:left="380" w:right="79" w:hanging="330"/>
        <w:spacing w:after="0" w:line="265"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If we are unable to raise capital when needed, we will be forced to delay, reduce, or eliminate some of our drug development programs or commercialization efforts.</w:t>
      </w:r>
    </w:p>
    <w:p>
      <w:pPr>
        <w:ind w:left="380" w:right="79" w:hanging="330"/>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level of indebtedness and debt service obligations could adversely affect our financial condition and may make it more difficult for us to fund our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6" w:lineRule="exact"/>
        <w:rPr>
          <w:sz w:val="20"/>
          <w:szCs w:val="20"/>
          <w:color w:val="auto"/>
        </w:rPr>
      </w:pPr>
    </w:p>
    <w:p>
      <w:pPr>
        <w:jc w:val="both"/>
        <w:ind w:left="380" w:right="79" w:hanging="330"/>
        <w:spacing w:after="0" w:line="233"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obtain regulatory approval for our product candidates and ultimately cannot commercialize one or more of them, or experience significant delays in doing so, our business will be materially harmed. No assurance can be given that the U2 combination will be approved for any indication, including without limitation, treatment naïve and/or relapsed/refractory CLL/small lymphocytic lymphoma (SLL) or that ublituximab will be approved for the treatment of relapsing forms of multiple sclerosis. In addition, our business will also be materially harmed if we are unable to maintain approval of any products for which we receive approval, including UKONIQ, which received accelerated approval from the U.S. Food and Drug Administration (FDA) for patients with marginal zone lymphoma and follicular lymphoma. Continued approval for these indications is contingent upon verification and description of clinical benefit in a confirmatory trial.</w:t>
      </w:r>
    </w:p>
    <w:p>
      <w:pPr>
        <w:spacing w:after="0" w:line="6" w:lineRule="exact"/>
        <w:rPr>
          <w:rFonts w:ascii="Arial" w:cs="Arial" w:eastAsia="Arial" w:hAnsi="Arial"/>
          <w:sz w:val="17"/>
          <w:szCs w:val="17"/>
          <w:color w:val="auto"/>
        </w:rPr>
      </w:pPr>
    </w:p>
    <w:p>
      <w:pPr>
        <w:ind w:left="380" w:right="79" w:hanging="330"/>
        <w:spacing w:after="0" w:line="249"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and product candidates may cause undesirable side effects that could delay or prevent their regulatory approval or significantly limit their commercial profile following marketing approval, if any.</w:t>
      </w:r>
    </w:p>
    <w:p>
      <w:pPr>
        <w:jc w:val="both"/>
        <w:ind w:left="380" w:right="79" w:hanging="330"/>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1" w:lineRule="exact"/>
        <w:rPr>
          <w:rFonts w:ascii="Arial" w:cs="Arial" w:eastAsia="Arial" w:hAnsi="Arial"/>
          <w:sz w:val="18"/>
          <w:szCs w:val="18"/>
          <w:color w:val="auto"/>
        </w:rPr>
      </w:pPr>
    </w:p>
    <w:p>
      <w:pPr>
        <w:jc w:val="both"/>
        <w:ind w:left="380" w:right="79" w:hanging="330"/>
        <w:spacing w:after="0" w:line="253"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product candidates we may advance through clinical development are subject to extensive regulation, which can be costly and time consuming, cause unanticipated delays, or prevent the receipt of the required approvals. Although we have received orphan drug designation for UKONIQ and for some of our drug candidates for specified indications and may seek additional orphan drug designations, we may be unsuccessful in obtaining or maintaining the benefits associated with orphan drug status.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Governmental Regulation of the Pharmaceutical Industry</w:t>
      </w:r>
    </w:p>
    <w:p>
      <w:pPr>
        <w:spacing w:after="0" w:line="27" w:lineRule="exact"/>
        <w:rPr>
          <w:sz w:val="20"/>
          <w:szCs w:val="20"/>
          <w:color w:val="auto"/>
        </w:rPr>
      </w:pPr>
    </w:p>
    <w:p>
      <w:pPr>
        <w:jc w:val="both"/>
        <w:ind w:left="380" w:right="79" w:hanging="330"/>
        <w:spacing w:after="0" w:line="25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extensive regulation, including new legislation, regulatory proposals and third-party payor initiatives, that may increase our costs of compliance and adversely affect our ability to market our products, obtain collaborators and raise capital.</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comply with various healthcare laws and regulations, we may incur losses or be subject to liability.</w:t>
      </w:r>
    </w:p>
    <w:p>
      <w:pPr>
        <w:spacing w:after="0" w:line="20" w:lineRule="exact"/>
        <w:rPr>
          <w:rFonts w:ascii="Arial" w:cs="Arial" w:eastAsia="Arial" w:hAnsi="Arial"/>
          <w:sz w:val="17"/>
          <w:szCs w:val="17"/>
          <w:color w:val="auto"/>
        </w:rPr>
      </w:pPr>
    </w:p>
    <w:p>
      <w:pPr>
        <w:ind w:left="380" w:right="7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regulatory requirements, any product for which we obtain marketing approval could be subject to restrictions or withdrawal from the market and we may be subject to penalties.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7" w:lineRule="exact"/>
        <w:rPr>
          <w:sz w:val="20"/>
          <w:szCs w:val="20"/>
          <w:color w:val="auto"/>
        </w:rPr>
      </w:pPr>
    </w:p>
    <w:p>
      <w:pPr>
        <w:jc w:val="both"/>
        <w:ind w:left="380" w:right="79" w:hanging="330"/>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candidates when expected or at all.</w:t>
      </w:r>
    </w:p>
    <w:p>
      <w:pPr>
        <w:spacing w:after="0" w:line="1" w:lineRule="exact"/>
        <w:rPr>
          <w:rFonts w:ascii="Arial" w:cs="Arial" w:eastAsia="Arial" w:hAnsi="Arial"/>
          <w:sz w:val="18"/>
          <w:szCs w:val="18"/>
          <w:color w:val="auto"/>
        </w:rPr>
      </w:pPr>
    </w:p>
    <w:p>
      <w:pPr>
        <w:jc w:val="both"/>
        <w:ind w:left="380" w:right="79" w:hanging="330"/>
        <w:spacing w:after="0" w:line="26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reliance on third parties for commercial and clinical supply of our products and product candidates increases the risk that we will not have sufficient quantities of our products or product candidates or such quantities at an acceptable cost or quality, which could delay, prevent or impair our development or commercialization efforts.</w:t>
      </w:r>
    </w:p>
    <w:p>
      <w:pPr>
        <w:ind w:left="380" w:right="79" w:hanging="330"/>
        <w:spacing w:after="0" w:line="290"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Because we have in-licensed our products and product candidates from third parties, any dispute with or non-performance by our licensors will adversely affect our ability to develop and commercialize the applicable product.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jc w:val="both"/>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patent protection could be reduced or eliminated for non-compliance with various procedural and other requirements imposed by governmental patent agencies.</w:t>
      </w:r>
    </w:p>
    <w:p>
      <w:pPr>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need to license certain intellectual property from third parties, and such licenses may not be available or may not be available on commercially reasonable terms.</w:t>
      </w:r>
    </w:p>
    <w:p>
      <w:pPr>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or our partners are sued for infringing intellectual property rights of third parties, it will be costly and time consuming, and an unfavorable outcome in that litigation would have a material adverse effect on our business.</w:t>
      </w:r>
    </w:p>
    <w:p>
      <w:pPr>
        <w:ind w:left="380" w:right="79" w:hanging="330"/>
        <w:spacing w:after="0" w:line="26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our business and competitive position may be harmed.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COVID-19</w:t>
      </w:r>
    </w:p>
    <w:p>
      <w:pPr>
        <w:spacing w:after="0" w:line="27" w:lineRule="exact"/>
        <w:rPr>
          <w:sz w:val="20"/>
          <w:szCs w:val="20"/>
          <w:color w:val="auto"/>
        </w:rPr>
      </w:pPr>
    </w:p>
    <w:p>
      <w:pPr>
        <w:ind w:left="380" w:right="7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health issues, and specifically the pandemic caused by COVID-19, could have an adverse impact on our financial condition and results of operations and other aspects of our business.</w:t>
      </w:r>
    </w:p>
    <w:p>
      <w:pPr>
        <w:spacing w:after="0" w:line="181"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b w:val="1"/>
          <w:bCs w:val="1"/>
          <w:color w:val="auto"/>
        </w:rPr>
        <w:t>General Risks Related to Our Business Organization and Governance, Strategy, Employees and Growth Management</w:t>
      </w: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need to develop and expand our business, and we may encounter difficulties in managing this development and expansion.</w:t>
      </w: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our clinical development and commercialization activities will depend on our ability to attract and maintain key management and other personnel.</w:t>
      </w:r>
    </w:p>
    <w:p>
      <w:pPr>
        <w:jc w:val="both"/>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our executive officers, directors and other stockholders own more than 10% of our outstanding common stock and may be able to influence our management and the outcome of matters submitted to shareholders for approval.</w:t>
      </w:r>
    </w:p>
    <w:p>
      <w:pPr>
        <w:spacing w:after="0" w:line="1" w:lineRule="exact"/>
        <w:rPr>
          <w:rFonts w:ascii="Arial" w:cs="Arial" w:eastAsia="Arial" w:hAnsi="Arial"/>
          <w:sz w:val="18"/>
          <w:szCs w:val="18"/>
          <w:color w:val="auto"/>
        </w:rPr>
      </w:pP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anti-takeover provisions in our charter documents and Delaware law could make a third-party acquisition more difficult, which could limit the price investors might be willing to pay for our common stock.</w:t>
      </w:r>
    </w:p>
    <w:p>
      <w:pPr>
        <w:ind w:left="400" w:right="79" w:hanging="242"/>
        <w:spacing w:after="0" w:line="26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stock price is, and we expect it to remain, volatile, which could limit investors’ ability to sell stock at a profit and could subject us to securities and shareholder derivative litigation.</w:t>
      </w:r>
    </w:p>
    <w:p>
      <w:pPr>
        <w:spacing w:after="0" w:line="185" w:lineRule="exact"/>
        <w:rPr>
          <w:sz w:val="20"/>
          <w:szCs w:val="20"/>
          <w:color w:val="auto"/>
        </w:rPr>
      </w:pPr>
    </w:p>
    <w:p>
      <w:pPr>
        <w:ind w:left="60" w:right="79" w:firstLine="324"/>
        <w:spacing w:after="0" w:line="342" w:lineRule="auto"/>
        <w:rPr>
          <w:sz w:val="20"/>
          <w:szCs w:val="20"/>
          <w:color w:val="auto"/>
        </w:rPr>
      </w:pPr>
      <w:r>
        <w:rPr>
          <w:rFonts w:ascii="Arial" w:cs="Arial" w:eastAsia="Arial" w:hAnsi="Arial"/>
          <w:sz w:val="16"/>
          <w:szCs w:val="16"/>
          <w:color w:val="auto"/>
        </w:rPr>
        <w:t>The foregoing is only a summary of some of our risks. These and other risks are discussed more fully in the section entitled “Risk Factors” in Part II, Item IA and elsewhere in this Quarterly Report on Form 10-Q (our Risk Factors).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r>
      <w:tr>
        <w:trPr>
          <w:trHeight w:val="156"/>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1"/>
              <w:spacing w:after="0" w:line="155"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2"/>
              </w:rPr>
              <w:t>(Note 1)</w:t>
            </w:r>
          </w:p>
        </w:tc>
        <w:tc>
          <w:tcPr>
            <w:tcW w:w="200" w:type="dxa"/>
            <w:vAlign w:val="bottom"/>
          </w:tcPr>
          <w:p>
            <w:pPr>
              <w:spacing w:after="0"/>
              <w:rPr>
                <w:sz w:val="13"/>
                <w:szCs w:val="1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553,439</w:t>
            </w: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Short-term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51,987</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Prepaid research and development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5,231</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200" w:type="dxa"/>
            <w:vAlign w:val="bottom"/>
            <w:shd w:val="clear" w:color="auto" w:fill="CCEEFF"/>
          </w:tcPr>
          <w:p>
            <w:pPr>
              <w:spacing w:after="0"/>
              <w:rPr>
                <w:sz w:val="18"/>
                <w:szCs w:val="18"/>
                <w:color w:val="auto"/>
              </w:rPr>
            </w:pPr>
          </w:p>
        </w:tc>
      </w:tr>
      <w:tr>
        <w:trPr>
          <w:trHeight w:val="209"/>
        </w:trPr>
        <w:tc>
          <w:tcPr>
            <w:tcW w:w="652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371,779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611,740</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Long-term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Leasehold interest,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2,051</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Borders>
              <w:bottom w:val="single" w:sz="8" w:color="CCEEFF"/>
            </w:tcBorders>
          </w:tcPr>
          <w:p>
            <w:pPr>
              <w:spacing w:after="0"/>
              <w:rPr>
                <w:sz w:val="18"/>
                <w:szCs w:val="18"/>
                <w:color w:val="auto"/>
              </w:rPr>
            </w:pPr>
          </w:p>
        </w:tc>
      </w:tr>
      <w:tr>
        <w:trPr>
          <w:trHeight w:val="210"/>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409,687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625,642</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37,014</w:t>
            </w: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18,236</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payable – current portion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w:t>
            </w: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340"/>
              <w:spacing w:after="0"/>
              <w:rPr>
                <w:sz w:val="20"/>
                <w:szCs w:val="20"/>
                <w:color w:val="auto"/>
              </w:rPr>
            </w:pPr>
            <w:r>
              <w:rPr>
                <w:rFonts w:ascii="Arial" w:cs="Arial" w:eastAsia="Arial" w:hAnsi="Arial"/>
                <w:sz w:val="18"/>
                <w:szCs w:val="18"/>
                <w:color w:val="auto"/>
              </w:rPr>
              <w:t>Lease liability – current portion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1,669</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200" w:type="dxa"/>
            <w:vAlign w:val="bottom"/>
            <w:shd w:val="clear" w:color="auto" w:fill="CCEEFF"/>
          </w:tcPr>
          <w:p>
            <w:pPr>
              <w:spacing w:after="0"/>
              <w:rPr>
                <w:sz w:val="18"/>
                <w:szCs w:val="18"/>
                <w:color w:val="auto"/>
              </w:rPr>
            </w:pPr>
          </w:p>
        </w:tc>
      </w:tr>
      <w:tr>
        <w:trPr>
          <w:trHeight w:val="210"/>
        </w:trPr>
        <w:tc>
          <w:tcPr>
            <w:tcW w:w="652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87,655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87,554</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Loan payable – non-current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7,716</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non-current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200" w:type="dxa"/>
            <w:vAlign w:val="bottom"/>
            <w:shd w:val="clear" w:color="auto" w:fill="CCEEFF"/>
          </w:tcPr>
          <w:p>
            <w:pPr>
              <w:spacing w:after="0"/>
              <w:rPr>
                <w:sz w:val="18"/>
                <w:szCs w:val="18"/>
                <w:color w:val="auto"/>
              </w:rPr>
            </w:pPr>
          </w:p>
        </w:tc>
      </w:tr>
      <w:tr>
        <w:trPr>
          <w:trHeight w:val="210"/>
        </w:trPr>
        <w:tc>
          <w:tcPr>
            <w:tcW w:w="6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98,170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106,292</w:t>
            </w:r>
          </w:p>
        </w:tc>
        <w:tc>
          <w:tcPr>
            <w:tcW w:w="20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65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9"/>
              </w:rPr>
              <w:t>Common stock, $0.001 par value per share (175,000,000 shares authorized,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142,984,448 and 140,617,606 shares issued, 142,943,139 and 140,576,297 shares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at September 30, 2021 and December 31, 2020, respectively)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20"/>
                <w:szCs w:val="20"/>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1,546,967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1,500,040</w:t>
            </w:r>
          </w:p>
        </w:tc>
        <w:tc>
          <w:tcPr>
            <w:tcW w:w="200" w:type="dxa"/>
            <w:vAlign w:val="bottom"/>
          </w:tcPr>
          <w:p>
            <w:pPr>
              <w:spacing w:after="0"/>
              <w:rPr>
                <w:sz w:val="18"/>
                <w:szCs w:val="18"/>
                <w:color w:val="auto"/>
              </w:rPr>
            </w:pPr>
          </w:p>
        </w:tc>
      </w:tr>
      <w:tr>
        <w:trPr>
          <w:trHeight w:val="202"/>
        </w:trPr>
        <w:tc>
          <w:tcPr>
            <w:tcW w:w="65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3"/>
              </w:rPr>
              <w:t>Treasury stock, at cost, 41,309 shares at September 30, 2021 and December 31,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(1,235,359)</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(980,597)</w:t>
            </w:r>
          </w:p>
        </w:tc>
      </w:tr>
      <w:tr>
        <w:trPr>
          <w:trHeight w:val="210"/>
        </w:trPr>
        <w:tc>
          <w:tcPr>
            <w:tcW w:w="652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519,350</w:t>
            </w:r>
          </w:p>
        </w:tc>
        <w:tc>
          <w:tcPr>
            <w:tcW w:w="200" w:type="dxa"/>
            <w:vAlign w:val="bottom"/>
            <w:tcBorders>
              <w:top w:val="single" w:sz="8" w:color="CCEEFF"/>
            </w:tcBorders>
            <w:shd w:val="clear" w:color="auto" w:fill="CCEEFF"/>
          </w:tcPr>
          <w:p>
            <w:pPr>
              <w:spacing w:after="0"/>
              <w:rPr>
                <w:sz w:val="18"/>
                <w:szCs w:val="18"/>
                <w:color w:val="auto"/>
              </w:rPr>
            </w:pPr>
          </w:p>
        </w:tc>
      </w:tr>
      <w:tr>
        <w:trPr>
          <w:trHeight w:val="209"/>
        </w:trPr>
        <w:tc>
          <w:tcPr>
            <w:tcW w:w="652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409,687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625,642</w:t>
            </w:r>
          </w:p>
        </w:tc>
        <w:tc>
          <w:tcPr>
            <w:tcW w:w="2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Arial" w:cs="Arial" w:eastAsia="Arial" w:hAnsi="Arial"/>
                <w:sz w:val="18"/>
                <w:szCs w:val="18"/>
                <w:color w:val="auto"/>
              </w:rPr>
              <w:t>Product revenue,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1,992</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4,254</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4,368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research and development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114,785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50,464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27,857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selling, general and administrative</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63,991</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256,191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186,926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(85,128)</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(85,722)</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(251,823)</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(186,812)</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(254,763)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(191,163)</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Weighted-average shares used in computing basic</w:t>
            </w: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132,353,119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119,176,336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132,109,912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112,380,784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diluted net loss per common share</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Statements of Changes in Stockholders’ (Deficit)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and per share amounts)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3"/>
        </w:trPr>
        <w:tc>
          <w:tcPr>
            <w:tcW w:w="3820" w:type="dxa"/>
            <w:vAlign w:val="bottom"/>
          </w:tcPr>
          <w:p>
            <w:pPr>
              <w:spacing w:after="0"/>
              <w:rPr>
                <w:sz w:val="13"/>
                <w:szCs w:val="13"/>
                <w:color w:val="auto"/>
              </w:rPr>
            </w:pPr>
          </w:p>
        </w:tc>
        <w:tc>
          <w:tcPr>
            <w:tcW w:w="154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paid-in</w:t>
            </w:r>
          </w:p>
        </w:tc>
        <w:tc>
          <w:tcPr>
            <w:tcW w:w="1300" w:type="dxa"/>
            <w:vAlign w:val="bottom"/>
            <w:gridSpan w:val="5"/>
          </w:tcPr>
          <w:p>
            <w:pPr>
              <w:ind w:left="140"/>
              <w:spacing w:after="0"/>
              <w:rPr>
                <w:sz w:val="20"/>
                <w:szCs w:val="20"/>
                <w:color w:val="auto"/>
              </w:rPr>
            </w:pPr>
            <w:r>
              <w:rPr>
                <w:rFonts w:ascii="Arial" w:cs="Arial" w:eastAsia="Arial" w:hAnsi="Arial"/>
                <w:sz w:val="13"/>
                <w:szCs w:val="13"/>
                <w:b w:val="1"/>
                <w:bCs w:val="1"/>
                <w:color w:val="auto"/>
              </w:rPr>
              <w:t>Treasury Stock</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28"/>
        </w:trPr>
        <w:tc>
          <w:tcPr>
            <w:tcW w:w="3820" w:type="dxa"/>
            <w:vAlign w:val="bottom"/>
          </w:tcPr>
          <w:p>
            <w:pPr>
              <w:spacing w:after="0"/>
              <w:rPr>
                <w:sz w:val="11"/>
                <w:szCs w:val="11"/>
                <w:color w:val="auto"/>
              </w:rPr>
            </w:pPr>
          </w:p>
        </w:tc>
        <w:tc>
          <w:tcPr>
            <w:tcW w:w="8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1"/>
                <w:szCs w:val="11"/>
                <w:color w:val="auto"/>
              </w:rPr>
            </w:pPr>
          </w:p>
        </w:tc>
        <w:tc>
          <w:tcPr>
            <w:tcW w:w="78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capital</w:t>
            </w:r>
          </w:p>
        </w:tc>
        <w:tc>
          <w:tcPr>
            <w:tcW w:w="6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48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Total</w:t>
            </w:r>
          </w:p>
        </w:tc>
      </w:tr>
      <w:tr>
        <w:trPr>
          <w:trHeight w:val="128"/>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2021</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140,617,606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$ 1,500,040</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(980,597)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519,350</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31,245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893,488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Warrants issued with debt financing</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(21,643)</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7"/>
              </w:rPr>
              <w:t>Issuance of common stock in public offering (net of offering costs of</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$0.2 million)</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Offering costs paid</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(183)</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directors and consultants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16,618</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16,618</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(90,628)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(90,628)</w:t>
            </w:r>
          </w:p>
        </w:tc>
      </w:tr>
      <w:tr>
        <w:trPr>
          <w:trHeight w:val="128"/>
        </w:trPr>
        <w:tc>
          <w:tcPr>
            <w:tcW w:w="3820" w:type="dxa"/>
            <w:vAlign w:val="bottom"/>
          </w:tcPr>
          <w:p>
            <w:pPr>
              <w:ind w:left="20"/>
              <w:spacing w:after="0" w:line="129" w:lineRule="exact"/>
              <w:rPr>
                <w:sz w:val="20"/>
                <w:szCs w:val="20"/>
                <w:color w:val="auto"/>
              </w:rPr>
            </w:pPr>
            <w:r>
              <w:rPr>
                <w:rFonts w:ascii="Arial" w:cs="Arial" w:eastAsia="Arial" w:hAnsi="Arial"/>
                <w:sz w:val="13"/>
                <w:szCs w:val="13"/>
                <w:color w:val="auto"/>
              </w:rPr>
              <w:t>Balance at March 31, 2021</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141,520,696</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142</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1,516,602</w:t>
            </w:r>
          </w:p>
        </w:tc>
        <w:tc>
          <w:tcPr>
            <w:tcW w:w="12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(1,071,225)</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445,285</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9,364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rPr>
              <w:t>Issuance of common stock in connection with conversion of notes</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payable</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1,356,151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(12,416)</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8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7"/>
              </w:rPr>
              <w:t>Issuance of common stock in public offering (net of offering costs of</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$10.9 million)</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6"/>
              </w:rPr>
              <w:t>Issuance of common stock in At-the-Market offerings (net of offering</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costs of $1.4 million)</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21"/>
        </w:trPr>
        <w:tc>
          <w:tcPr>
            <w:tcW w:w="38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16,304</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16,304</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(78,497)</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w w:val="94"/>
              </w:rPr>
              <w:t>(78,497)</w:t>
            </w:r>
          </w:p>
        </w:tc>
      </w:tr>
      <w:tr>
        <w:trPr>
          <w:trHeight w:val="129"/>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June 30, 2021</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142,873,795</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1,532,943</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(1,149,722)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383,130</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12,085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50</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214,223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(115,655)</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Offering costs paid</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8"/>
              </w:rPr>
              <w:t>Compensation in respect of restricted stock and options granted to</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employees, directors and consultants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13,996</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13,996</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(85,637)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(85,637)</w:t>
            </w:r>
          </w:p>
        </w:tc>
      </w:tr>
      <w:tr>
        <w:trPr>
          <w:trHeight w:val="128"/>
        </w:trPr>
        <w:tc>
          <w:tcPr>
            <w:tcW w:w="3820" w:type="dxa"/>
            <w:vAlign w:val="bottom"/>
          </w:tcPr>
          <w:p>
            <w:pPr>
              <w:ind w:left="20"/>
              <w:spacing w:after="0" w:line="129" w:lineRule="exact"/>
              <w:rPr>
                <w:sz w:val="20"/>
                <w:szCs w:val="20"/>
                <w:color w:val="auto"/>
              </w:rPr>
            </w:pPr>
            <w:r>
              <w:rPr>
                <w:rFonts w:ascii="Arial" w:cs="Arial" w:eastAsia="Arial" w:hAnsi="Arial"/>
                <w:sz w:val="13"/>
                <w:szCs w:val="13"/>
                <w:color w:val="auto"/>
              </w:rPr>
              <w:t>Balance at September 30, 2021</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142,984,448</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w:t>
            </w:r>
          </w:p>
        </w:tc>
        <w:tc>
          <w:tcPr>
            <w:tcW w:w="12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7"/>
              </w:rPr>
              <w:t>$ 1,546,967</w:t>
            </w:r>
          </w:p>
        </w:tc>
        <w:tc>
          <w:tcPr>
            <w:tcW w:w="12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(1,235,359)</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311,517</w:t>
            </w: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*Amount less than one thousand dollars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Additional</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3"/>
        </w:trPr>
        <w:tc>
          <w:tcPr>
            <w:tcW w:w="3820" w:type="dxa"/>
            <w:vAlign w:val="bottom"/>
          </w:tcPr>
          <w:p>
            <w:pPr>
              <w:spacing w:after="0"/>
              <w:rPr>
                <w:sz w:val="13"/>
                <w:szCs w:val="13"/>
                <w:color w:val="auto"/>
              </w:rPr>
            </w:pPr>
          </w:p>
        </w:tc>
        <w:tc>
          <w:tcPr>
            <w:tcW w:w="1140" w:type="dxa"/>
            <w:vAlign w:val="bottom"/>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paid-in</w:t>
            </w:r>
          </w:p>
        </w:tc>
        <w:tc>
          <w:tcPr>
            <w:tcW w:w="1300" w:type="dxa"/>
            <w:vAlign w:val="bottom"/>
            <w:gridSpan w:val="5"/>
          </w:tcPr>
          <w:p>
            <w:pPr>
              <w:ind w:left="140"/>
              <w:spacing w:after="0"/>
              <w:rPr>
                <w:sz w:val="20"/>
                <w:szCs w:val="20"/>
                <w:color w:val="auto"/>
              </w:rPr>
            </w:pPr>
            <w:r>
              <w:rPr>
                <w:rFonts w:ascii="Arial" w:cs="Arial" w:eastAsia="Arial" w:hAnsi="Arial"/>
                <w:sz w:val="13"/>
                <w:szCs w:val="13"/>
                <w:b w:val="1"/>
                <w:bCs w:val="1"/>
                <w:color w:val="auto"/>
              </w:rPr>
              <w:t>Treasury Stock</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28"/>
        </w:trPr>
        <w:tc>
          <w:tcPr>
            <w:tcW w:w="382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220"/>
              <w:spacing w:after="0" w:line="129" w:lineRule="exact"/>
              <w:rPr>
                <w:sz w:val="20"/>
                <w:szCs w:val="20"/>
                <w:color w:val="auto"/>
              </w:rPr>
            </w:pPr>
            <w:r>
              <w:rPr>
                <w:rFonts w:ascii="Arial" w:cs="Arial" w:eastAsia="Arial" w:hAnsi="Arial"/>
                <w:sz w:val="13"/>
                <w:szCs w:val="13"/>
                <w:b w:val="1"/>
                <w:bCs w:val="1"/>
                <w:color w:val="auto"/>
                <w:w w:val="87"/>
              </w:rPr>
              <w:t>capital</w:t>
            </w:r>
          </w:p>
        </w:tc>
        <w:tc>
          <w:tcPr>
            <w:tcW w:w="6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1"/>
                <w:szCs w:val="11"/>
                <w:color w:val="auto"/>
              </w:rPr>
            </w:pPr>
          </w:p>
        </w:tc>
        <w:tc>
          <w:tcPr>
            <w:tcW w:w="48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w w:val="96"/>
              </w:rPr>
              <w:t>Total</w:t>
            </w:r>
          </w:p>
        </w:tc>
      </w:tr>
      <w:tr>
        <w:trPr>
          <w:trHeight w:val="129"/>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1"/>
              </w:rPr>
              <w:t>109,425,243</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109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739,956</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(701,216)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38,615</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19,750</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774,300</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(10,000)</w:t>
            </w: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8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11,068</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11,068</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4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(51,116)</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w w:val="94"/>
              </w:rPr>
              <w:t>(51,116)</w:t>
            </w:r>
          </w:p>
        </w:tc>
      </w:tr>
      <w:tr>
        <w:trPr>
          <w:trHeight w:val="129"/>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loss</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(51,116)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(51,116)</w:t>
            </w:r>
          </w:p>
        </w:tc>
      </w:tr>
      <w:tr>
        <w:trPr>
          <w:trHeight w:val="128"/>
        </w:trPr>
        <w:tc>
          <w:tcPr>
            <w:tcW w:w="3820" w:type="dxa"/>
            <w:vAlign w:val="bottom"/>
          </w:tcPr>
          <w:p>
            <w:pPr>
              <w:ind w:left="20"/>
              <w:spacing w:after="0" w:line="129" w:lineRule="exact"/>
              <w:rPr>
                <w:sz w:val="20"/>
                <w:szCs w:val="20"/>
                <w:color w:val="auto"/>
              </w:rPr>
            </w:pPr>
            <w:r>
              <w:rPr>
                <w:rFonts w:ascii="Arial" w:cs="Arial" w:eastAsia="Arial" w:hAnsi="Arial"/>
                <w:sz w:val="13"/>
                <w:szCs w:val="13"/>
                <w:color w:val="auto"/>
              </w:rPr>
              <w:t>Balance at March 31, 2020</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w w:val="91"/>
              </w:rPr>
              <w:t>110,209,293</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29" w:lineRule="exact"/>
              <w:rPr>
                <w:sz w:val="20"/>
                <w:szCs w:val="20"/>
                <w:color w:val="auto"/>
              </w:rPr>
            </w:pPr>
            <w:r>
              <w:rPr>
                <w:rFonts w:ascii="Arial" w:cs="Arial" w:eastAsia="Arial" w:hAnsi="Arial"/>
                <w:sz w:val="13"/>
                <w:szCs w:val="13"/>
                <w:color w:val="auto"/>
                <w:w w:val="92"/>
              </w:rPr>
              <w:t>110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751,103</w:t>
            </w:r>
          </w:p>
        </w:tc>
        <w:tc>
          <w:tcPr>
            <w:tcW w:w="14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3"/>
                <w:szCs w:val="13"/>
                <w:color w:val="auto"/>
              </w:rPr>
              <w:t>(234)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(752,332)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3"/>
                <w:szCs w:val="13"/>
                <w:color w:val="auto"/>
              </w:rPr>
              <w:t>(1,353)</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3,750</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2,208,529</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(41,666)</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public offering</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9,775,000</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165,032</w:t>
            </w:r>
          </w:p>
        </w:tc>
        <w:tc>
          <w:tcPr>
            <w:tcW w:w="14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w w:val="89"/>
              </w:rPr>
              <w:t>165,042</w:t>
            </w:r>
          </w:p>
        </w:tc>
      </w:tr>
      <w:tr>
        <w:trPr>
          <w:trHeight w:val="121"/>
        </w:trPr>
        <w:tc>
          <w:tcPr>
            <w:tcW w:w="38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6"/>
              </w:rPr>
              <w:t>Issuance of common stock in At-the-Market offerings (net of offering</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$0.5 million)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4,535,608</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76,031</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76,036</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directors and consultants</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7,370</w:t>
            </w:r>
          </w:p>
        </w:tc>
        <w:tc>
          <w:tcPr>
            <w:tcW w:w="1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7,370</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(52,884)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(52,884)</w:t>
            </w:r>
          </w:p>
        </w:tc>
      </w:tr>
      <w:tr>
        <w:trPr>
          <w:trHeight w:val="128"/>
        </w:trPr>
        <w:tc>
          <w:tcPr>
            <w:tcW w:w="3820" w:type="dxa"/>
            <w:vAlign w:val="bottom"/>
          </w:tcPr>
          <w:p>
            <w:pPr>
              <w:ind w:left="20"/>
              <w:spacing w:after="0" w:line="129" w:lineRule="exact"/>
              <w:rPr>
                <w:sz w:val="20"/>
                <w:szCs w:val="20"/>
                <w:color w:val="auto"/>
              </w:rPr>
            </w:pPr>
            <w:r>
              <w:rPr>
                <w:rFonts w:ascii="Arial" w:cs="Arial" w:eastAsia="Arial" w:hAnsi="Arial"/>
                <w:sz w:val="13"/>
                <w:szCs w:val="13"/>
                <w:color w:val="auto"/>
              </w:rPr>
              <w:t>Balance at June 30, 2020</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126,690,514</w:t>
            </w: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127</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999,550</w:t>
            </w:r>
          </w:p>
        </w:tc>
        <w:tc>
          <w:tcPr>
            <w:tcW w:w="14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(805,216)</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194,227</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9,347</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915,000</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(65,000)</w:t>
            </w: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6"/>
              </w:rPr>
              <w:t>Issuance of common stock in offerings (net of offering costs of $10.9</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million)</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21"/>
        </w:trPr>
        <w:tc>
          <w:tcPr>
            <w:tcW w:w="38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6"/>
              </w:rPr>
              <w:t>Issuance of common stock in At-the-Market offerings (net of offering</w:t>
            </w: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of $2.0 million)</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1,410,000</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35,226</w:t>
            </w: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35,227</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directors and consultants</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28,330</w:t>
            </w:r>
          </w:p>
        </w:tc>
        <w:tc>
          <w:tcPr>
            <w:tcW w:w="14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28,330</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(87,163)</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4"/>
              </w:rPr>
              <w:t>(87,163)</w:t>
            </w:r>
          </w:p>
        </w:tc>
      </w:tr>
      <w:tr>
        <w:trPr>
          <w:trHeight w:val="128"/>
        </w:trPr>
        <w:tc>
          <w:tcPr>
            <w:tcW w:w="3820" w:type="dxa"/>
            <w:vAlign w:val="bottom"/>
          </w:tcPr>
          <w:p>
            <w:pPr>
              <w:ind w:left="20"/>
              <w:spacing w:after="0" w:line="129" w:lineRule="exact"/>
              <w:rPr>
                <w:sz w:val="20"/>
                <w:szCs w:val="20"/>
                <w:color w:val="auto"/>
              </w:rPr>
            </w:pPr>
            <w:r>
              <w:rPr>
                <w:rFonts w:ascii="Arial" w:cs="Arial" w:eastAsia="Arial" w:hAnsi="Arial"/>
                <w:sz w:val="13"/>
                <w:szCs w:val="13"/>
                <w:color w:val="auto"/>
              </w:rPr>
              <w:t>Balance at September 30, 2020</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1"/>
              </w:rPr>
              <w:t>128,959,861</w:t>
            </w:r>
          </w:p>
        </w:tc>
        <w:tc>
          <w:tcPr>
            <w:tcW w:w="14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129</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6"/>
              </w:rPr>
              <w:t>1,063,142</w:t>
            </w:r>
          </w:p>
        </w:tc>
        <w:tc>
          <w:tcPr>
            <w:tcW w:w="14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(892,379)</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170,658</w:t>
            </w:r>
          </w:p>
        </w:tc>
      </w:tr>
      <w:tr>
        <w:trPr>
          <w:trHeight w:val="20"/>
        </w:trPr>
        <w:tc>
          <w:tcPr>
            <w:tcW w:w="3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2"/>
                <w:szCs w:val="12"/>
                <w:color w:val="auto"/>
              </w:rPr>
            </w:pPr>
          </w:p>
        </w:tc>
      </w:tr>
      <w:tr>
        <w:trPr>
          <w:trHeight w:val="142"/>
        </w:trPr>
        <w:tc>
          <w:tcPr>
            <w:tcW w:w="66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(254,763)</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3"/>
              </w:rPr>
              <w:t>(191,163)</w:t>
            </w: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stock compensation expense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46,918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46,768</w:t>
            </w: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premium on investment securities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w:t>
            </w: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leasehold interest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Noncash change in lease liability and right of use asset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1,422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1,364</w:t>
            </w: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 in fair value of notes payable</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(315)</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200" w:type="dxa"/>
            <w:vAlign w:val="bottom"/>
            <w:shd w:val="clear" w:color="auto" w:fill="CCEEFF"/>
          </w:tcPr>
          <w:p>
            <w:pPr>
              <w:spacing w:after="0"/>
              <w:rPr>
                <w:sz w:val="12"/>
                <w:szCs w:val="12"/>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decrease in other current assets</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(7,255)</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2,503</w:t>
            </w: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20"/>
              <w:spacing w:after="0" w:line="149" w:lineRule="exact"/>
              <w:rPr>
                <w:sz w:val="20"/>
                <w:szCs w:val="20"/>
                <w:color w:val="auto"/>
              </w:rPr>
            </w:pPr>
            <w:r>
              <w:rPr>
                <w:rFonts w:ascii="Arial" w:cs="Arial" w:eastAsia="Arial" w:hAnsi="Arial"/>
                <w:sz w:val="14"/>
                <w:szCs w:val="14"/>
                <w:color w:val="auto"/>
              </w:rPr>
              <w:t>Increase in accounts receivable</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(1,384)</w:t>
            </w:r>
          </w:p>
        </w:tc>
        <w:tc>
          <w:tcPr>
            <w:tcW w:w="2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in accounts payable and accrued expenses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12,090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5,893</w:t>
            </w: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20"/>
              <w:spacing w:after="0" w:line="149" w:lineRule="exact"/>
              <w:rPr>
                <w:sz w:val="20"/>
                <w:szCs w:val="20"/>
                <w:color w:val="auto"/>
              </w:rPr>
            </w:pPr>
            <w:r>
              <w:rPr>
                <w:rFonts w:ascii="Arial" w:cs="Arial" w:eastAsia="Arial" w:hAnsi="Arial"/>
                <w:sz w:val="14"/>
                <w:szCs w:val="14"/>
                <w:color w:val="auto"/>
              </w:rPr>
              <w:t>Decrease in lease liabilities</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(1,507)</w:t>
            </w:r>
          </w:p>
        </w:tc>
        <w:tc>
          <w:tcPr>
            <w:tcW w:w="2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(1,360)</w:t>
            </w: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other current liabilities</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(5,293)</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(27,545)</w:t>
            </w:r>
          </w:p>
        </w:tc>
      </w:tr>
      <w:tr>
        <w:trPr>
          <w:trHeight w:val="149"/>
        </w:trPr>
        <w:tc>
          <w:tcPr>
            <w:tcW w:w="6660" w:type="dxa"/>
            <w:vAlign w:val="bottom"/>
          </w:tcPr>
          <w:p>
            <w:pPr>
              <w:ind w:left="220"/>
              <w:spacing w:after="0" w:line="149" w:lineRule="exact"/>
              <w:rPr>
                <w:sz w:val="20"/>
                <w:szCs w:val="20"/>
                <w:color w:val="auto"/>
              </w:rPr>
            </w:pPr>
            <w:r>
              <w:rPr>
                <w:rFonts w:ascii="Arial" w:cs="Arial" w:eastAsia="Arial" w:hAnsi="Arial"/>
                <w:sz w:val="14"/>
                <w:szCs w:val="14"/>
                <w:color w:val="auto"/>
              </w:rPr>
              <w:t>Decrease in deferred revenue</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w:t>
            </w:r>
          </w:p>
        </w:tc>
        <w:tc>
          <w:tcPr>
            <w:tcW w:w="2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w:t>
            </w:r>
          </w:p>
        </w:tc>
      </w:tr>
      <w:tr>
        <w:trPr>
          <w:trHeight w:val="142"/>
        </w:trPr>
        <w:tc>
          <w:tcPr>
            <w:tcW w:w="6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(208,725)</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(162,481)</w:t>
            </w:r>
          </w:p>
        </w:tc>
        <w:tc>
          <w:tcPr>
            <w:tcW w:w="200" w:type="dxa"/>
            <w:vAlign w:val="bottom"/>
            <w:tcBorders>
              <w:top w:val="single" w:sz="8" w:color="CCEEFF"/>
            </w:tcBorders>
            <w:shd w:val="clear" w:color="auto" w:fill="CCEEFF"/>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35,250</w:t>
            </w: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 in held-to-maturity securities</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(43,299)</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(7,482)</w:t>
            </w: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Purchases of PPE</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w:t>
            </w:r>
          </w:p>
        </w:tc>
        <w:tc>
          <w:tcPr>
            <w:tcW w:w="2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(202)</w:t>
            </w:r>
          </w:p>
        </w:tc>
      </w:tr>
      <w:tr>
        <w:trPr>
          <w:trHeight w:val="142"/>
        </w:trPr>
        <w:tc>
          <w:tcPr>
            <w:tcW w:w="6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provided by investing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(3,620)</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27,566</w:t>
            </w:r>
          </w:p>
        </w:tc>
        <w:tc>
          <w:tcPr>
            <w:tcW w:w="200" w:type="dxa"/>
            <w:vAlign w:val="bottom"/>
            <w:tcBorders>
              <w:top w:val="single" w:sz="8" w:color="CCEEFF"/>
            </w:tcBorders>
            <w:shd w:val="clear" w:color="auto" w:fill="CCEEFF"/>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Payment of loan payable</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(14,590)</w:t>
            </w:r>
          </w:p>
        </w:tc>
        <w:tc>
          <w:tcPr>
            <w:tcW w:w="2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sale of common stock, net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276,303</w:t>
            </w: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Proceeds from exercise of options</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Offering costs paid</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(204)</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2"/>
        </w:trPr>
        <w:tc>
          <w:tcPr>
            <w:tcW w:w="66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(14,578)</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276,438</w:t>
            </w:r>
          </w:p>
        </w:tc>
        <w:tc>
          <w:tcPr>
            <w:tcW w:w="200" w:type="dxa"/>
            <w:vAlign w:val="bottom"/>
            <w:tcBorders>
              <w:bottom w:val="single" w:sz="8" w:color="CCEEFF"/>
            </w:tcBorders>
          </w:tcPr>
          <w:p>
            <w:pPr>
              <w:spacing w:after="0"/>
              <w:rPr>
                <w:sz w:val="12"/>
                <w:szCs w:val="12"/>
                <w:color w:val="auto"/>
              </w:rPr>
            </w:pPr>
          </w:p>
        </w:tc>
      </w:tr>
      <w:tr>
        <w:trPr>
          <w:trHeight w:val="142"/>
        </w:trPr>
        <w:tc>
          <w:tcPr>
            <w:tcW w:w="6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NET (DECREASE) INCREASE IN CASH, CASH EQUIVALENTS AND RESTRICTED CASH</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(226,923)</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141,523</w:t>
            </w: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554,698</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113,888</w:t>
            </w:r>
          </w:p>
        </w:tc>
        <w:tc>
          <w:tcPr>
            <w:tcW w:w="200" w:type="dxa"/>
            <w:vAlign w:val="bottom"/>
            <w:tcBorders>
              <w:bottom w:val="single" w:sz="8" w:color="CCEEFF"/>
            </w:tcBorders>
          </w:tcPr>
          <w:p>
            <w:pPr>
              <w:spacing w:after="0"/>
              <w:rPr>
                <w:sz w:val="12"/>
                <w:szCs w:val="12"/>
                <w:color w:val="auto"/>
              </w:rPr>
            </w:pPr>
          </w:p>
        </w:tc>
      </w:tr>
      <w:tr>
        <w:trPr>
          <w:trHeight w:val="142"/>
        </w:trPr>
        <w:tc>
          <w:tcPr>
            <w:tcW w:w="6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89"/>
        </w:trPr>
        <w:tc>
          <w:tcPr>
            <w:tcW w:w="6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2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327,775</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255,411</w:t>
            </w:r>
          </w:p>
        </w:tc>
        <w:tc>
          <w:tcPr>
            <w:tcW w:w="200" w:type="dxa"/>
            <w:vAlign w:val="bottom"/>
            <w:tcBorders>
              <w:bottom w:val="single" w:sz="8" w:color="CCEEFF"/>
            </w:tcBorders>
          </w:tcPr>
          <w:p>
            <w:pPr>
              <w:spacing w:after="0"/>
              <w:rPr>
                <w:sz w:val="16"/>
                <w:szCs w:val="16"/>
                <w:color w:val="auto"/>
              </w:rPr>
            </w:pPr>
          </w:p>
        </w:tc>
      </w:tr>
      <w:tr>
        <w:trPr>
          <w:trHeight w:val="129"/>
        </w:trPr>
        <w:tc>
          <w:tcPr>
            <w:tcW w:w="6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8"/>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Reconciliation to amounts on consolidated balance sheets: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326,512</w:t>
            </w:r>
          </w:p>
        </w:tc>
        <w:tc>
          <w:tcPr>
            <w:tcW w:w="22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254,154</w:t>
            </w: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1,263</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1,257</w:t>
            </w:r>
          </w:p>
        </w:tc>
        <w:tc>
          <w:tcPr>
            <w:tcW w:w="200" w:type="dxa"/>
            <w:vAlign w:val="bottom"/>
            <w:shd w:val="clear" w:color="auto" w:fill="CCEEFF"/>
          </w:tcPr>
          <w:p>
            <w:pPr>
              <w:spacing w:after="0"/>
              <w:rPr>
                <w:sz w:val="12"/>
                <w:szCs w:val="12"/>
                <w:color w:val="auto"/>
              </w:rPr>
            </w:pPr>
          </w:p>
        </w:tc>
      </w:tr>
      <w:tr>
        <w:trPr>
          <w:trHeight w:val="182"/>
        </w:trPr>
        <w:tc>
          <w:tcPr>
            <w:tcW w:w="66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327,775</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255,411</w:t>
            </w:r>
          </w:p>
        </w:tc>
        <w:tc>
          <w:tcPr>
            <w:tcW w:w="200" w:type="dxa"/>
            <w:vAlign w:val="bottom"/>
            <w:tcBorders>
              <w:bottom w:val="single" w:sz="8" w:color="CCEEFF"/>
            </w:tcBorders>
          </w:tcPr>
          <w:p>
            <w:pPr>
              <w:spacing w:after="0"/>
              <w:rPr>
                <w:sz w:val="15"/>
                <w:szCs w:val="15"/>
                <w:color w:val="auto"/>
              </w:rPr>
            </w:pPr>
          </w:p>
        </w:tc>
      </w:tr>
      <w:tr>
        <w:trPr>
          <w:trHeight w:val="129"/>
        </w:trPr>
        <w:tc>
          <w:tcPr>
            <w:tcW w:w="6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Cash paid for: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3,447</w:t>
            </w:r>
          </w:p>
        </w:tc>
        <w:tc>
          <w:tcPr>
            <w:tcW w:w="200" w:type="dxa"/>
            <w:vAlign w:val="bottom"/>
            <w:shd w:val="clear" w:color="auto" w:fill="CCEEFF"/>
          </w:tcPr>
          <w:p>
            <w:pPr>
              <w:spacing w:after="0"/>
              <w:rPr>
                <w:sz w:val="12"/>
                <w:szCs w:val="12"/>
                <w:color w:val="auto"/>
              </w:rPr>
            </w:pPr>
          </w:p>
        </w:tc>
      </w:tr>
    </w:tbl>
    <w:p>
      <w:pPr>
        <w:spacing w:after="0" w:line="350"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 on a consolidated basis.</w:t>
      </w:r>
    </w:p>
    <w:p>
      <w:pPr>
        <w:spacing w:after="0" w:line="126" w:lineRule="exact"/>
        <w:rPr>
          <w:sz w:val="20"/>
          <w:szCs w:val="20"/>
          <w:color w:val="auto"/>
        </w:rPr>
      </w:pPr>
    </w:p>
    <w:p>
      <w:pPr>
        <w:ind w:left="60" w:right="1679"/>
        <w:spacing w:after="0" w:line="464"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jc w:val="both"/>
        <w:ind w:left="60" w:right="59" w:firstLine="648"/>
        <w:spacing w:after="0" w:line="253" w:lineRule="auto"/>
        <w:rPr>
          <w:sz w:val="20"/>
          <w:szCs w:val="20"/>
          <w:color w:val="auto"/>
        </w:rPr>
      </w:pPr>
      <w:r>
        <w:rPr>
          <w:rFonts w:ascii="Arial" w:cs="Arial" w:eastAsia="Arial" w:hAnsi="Arial"/>
          <w:sz w:val="18"/>
          <w:szCs w:val="18"/>
          <w:color w:val="auto"/>
        </w:rPr>
        <w:t>TG Therapeutics is a fully 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UKONIQ received accelerated approval from the FDA for the treatment of adult patients with relapsed or refractory MZL who have received at least one prior anti-CD20-based regimen and adult patients with relapsed or refractory FL who have received at least three prior lines of systemic therapies. Currently, we have three programs in Phase 3 development for the treatment of patients with RMS and patients with CLL and several investigational medicines in Phase 1 clinical development. We also actively evaluate complementary products, technologies and companies for in-licensing, partnership, acquisition and/or investment opportunities.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2020. The accompanying condensed December 31, 2020 balance sheet has been derived from these statements. The results of operations for the three and nine months ended September 30, 2021 are not necessarily indicative of the results that may be expected for the entire fiscal year or any other interim period.</w:t>
      </w:r>
    </w:p>
    <w:p>
      <w:pPr>
        <w:spacing w:after="0" w:line="60"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have incurred operating losses since our inception and expect to continue to incur operating losses for the foreseeable future and may never become profitable. As of September 30, 2021, we have an accumulated deficit of $1.2 billion.</w:t>
      </w:r>
    </w:p>
    <w:p>
      <w:pPr>
        <w:spacing w:after="0" w:line="157" w:lineRule="exact"/>
        <w:rPr>
          <w:sz w:val="20"/>
          <w:szCs w:val="20"/>
          <w:color w:val="auto"/>
        </w:rPr>
      </w:pPr>
    </w:p>
    <w:p>
      <w:pPr>
        <w:jc w:val="both"/>
        <w:ind w:left="60" w:right="59" w:firstLine="492"/>
        <w:spacing w:after="0" w:line="289" w:lineRule="auto"/>
        <w:rPr>
          <w:sz w:val="20"/>
          <w:szCs w:val="20"/>
          <w:color w:val="auto"/>
        </w:rPr>
      </w:pPr>
      <w:r>
        <w:rPr>
          <w:rFonts w:ascii="Arial" w:cs="Arial" w:eastAsia="Arial" w:hAnsi="Arial"/>
          <w:sz w:val="16"/>
          <w:szCs w:val="16"/>
          <w:color w:val="auto"/>
        </w:rPr>
        <w:t>Our major sources of cash have been proceeds from private placements and public offerings of equity securities. In February of 2021, umbralisib, now referred to as UKONIQ, was granted accelerated approval in the United States for the treatment of adult patients with relapsed or refractory MZL who have received at least one prior anti-CD20 based regimen and adult patients with relapsed or refractory FL who have received at least three prior lines of systemic therapy. Commercial sales of UKONIQ commenced in the first quarter of 2021. We have generated limited revenues to date from product sales. Even with the commercialization of UKONIQ and the potential future commercialization of our other drug candidates, we may not meet revenue guidance or become profitable. Our ability to achieve profitability depends on many factors, including our ability to generate revenue, our ability to obtain regulatory approvals for our drug candidates, our ability to successfully complete any post-approval regulatory obligations and our ability to successfully commercialize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drug candidates. We may continue to incur substantial operating losses even as we begin to generate revenues from our drug candidates.</w:t>
      </w:r>
    </w:p>
    <w:p>
      <w:pPr>
        <w:spacing w:after="0" w:line="143"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As of September 30, 2021, we had $381.4 million in cash and cash equivalents, and investment securities. We anticipate that our cash and cash equivalents, and investment securities as of September 30, 2021 will provide sufficient liquidity for more than a twelve-month period from the date of filing this Quarterly Report on Form 10-Q. The actual amount of cash that we will need to operate is subject to many factors, including, but not limited to, our UKONIQ commercialization efforts, preparations for the potential commercialization of our other drug candidates, and the timing, design and conduct of clinical trials for our drug candidates. We are dependent upon significant future financing to provide the cash necessary to execute our ongoing and future operations, including the commercialization of any of our drug candidates.</w:t>
      </w:r>
    </w:p>
    <w:p>
      <w:pPr>
        <w:spacing w:after="0" w:line="151" w:lineRule="exact"/>
        <w:rPr>
          <w:sz w:val="20"/>
          <w:szCs w:val="20"/>
          <w:color w:val="auto"/>
        </w:rPr>
      </w:pPr>
    </w:p>
    <w:p>
      <w:pPr>
        <w:ind w:left="60" w:right="1399" w:firstLine="492"/>
        <w:spacing w:after="0" w:line="461" w:lineRule="auto"/>
        <w:rPr>
          <w:sz w:val="20"/>
          <w:szCs w:val="20"/>
          <w:color w:val="auto"/>
        </w:rPr>
      </w:pPr>
      <w:r>
        <w:rPr>
          <w:rFonts w:ascii="Arial" w:cs="Arial" w:eastAsia="Arial" w:hAnsi="Arial"/>
          <w:sz w:val="18"/>
          <w:szCs w:val="18"/>
          <w:color w:val="auto"/>
        </w:rPr>
        <w:t xml:space="preserve">Our common stock is quoted on the Nasdaq Capital Market and trades under the symbol “TGTX.” </w:t>
      </w:r>
      <w:r>
        <w:rPr>
          <w:rFonts w:ascii="Arial" w:cs="Arial" w:eastAsia="Arial" w:hAnsi="Arial"/>
          <w:sz w:val="18"/>
          <w:szCs w:val="18"/>
          <w:b w:val="1"/>
          <w:bCs w:val="1"/>
          <w:i w:val="1"/>
          <w:iCs w:val="1"/>
          <w:color w:val="auto"/>
        </w:rPr>
        <w:t>Summary of Significant Accounting Policies</w:t>
      </w:r>
    </w:p>
    <w:p>
      <w:pPr>
        <w:spacing w:after="0" w:line="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significant accounting policies are described in Note 1 of Notes to Consolidated Financial Statements included in our 2020 Annual Report on Form 10-K, except as it relates to revenue recognition, accounts receivable, inventory, cost of product revenue, and the adoption of new accounting standards during the nine months ended September 30, 2021, as discussed below.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left="60" w:right="59" w:firstLine="486"/>
        <w:spacing w:after="0" w:line="255" w:lineRule="auto"/>
        <w:rPr>
          <w:sz w:val="20"/>
          <w:szCs w:val="20"/>
          <w:color w:val="auto"/>
        </w:rPr>
      </w:pPr>
      <w:r>
        <w:rPr>
          <w:rFonts w:ascii="Arial" w:cs="Arial" w:eastAsia="Arial" w:hAnsi="Arial"/>
          <w:sz w:val="18"/>
          <w:szCs w:val="18"/>
          <w:color w:val="auto"/>
        </w:rPr>
        <w:t>Pursuant to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260"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254"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 The Company recognizes product revenues, net of variable consideration related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37"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Chargebacks and Administrative Fees: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 As part of the Company's contractual commitments to sell product to qualified healthcare providers, the Company pays fees for administrative services, such as account management and data reporting.</w:t>
      </w:r>
    </w:p>
    <w:p>
      <w:pPr>
        <w:spacing w:after="0" w:line="139"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08"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GPO and Payor Rebates: the Company contracts with various private payor organizations and group purchasing organizations (GPO), primarily insurance companies, pharmacy benefit managers and clinics, for the payment of rebates with respect to utilization of our product. The Company estimates these rebates and records such estimates in the same period the related revenue is recognized, resulting in a reduction of product revenue and the establishment of a current liability.</w:t>
      </w:r>
    </w:p>
    <w:p>
      <w:pPr>
        <w:spacing w:after="0" w:line="147"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Trade Discounts and Allowances: The Company provides its customers with discounts that are explicitly stated in the contracts and are recorded in the period the related product revenue is recognized. In addition, the Company also receives sales order management, inventory management, and data services from its customers in exchange for certain fees.</w:t>
      </w:r>
    </w:p>
    <w:p>
      <w:pPr>
        <w:spacing w:after="0" w:line="122"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36"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Subject to certain limitations, the Company’s return policy allows for eligible returns of UKONIQ for credit under the following circumstances:</w:t>
      </w:r>
    </w:p>
    <w:p>
      <w:pPr>
        <w:spacing w:after="0" w:line="130"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damaged product;</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shipment errors that were a result of an error by the Company;</w:t>
      </w:r>
    </w:p>
    <w:p>
      <w:pPr>
        <w:spacing w:after="0" w:line="184"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expired product that is returned during the period beginning three months prior to the product’s expiration and ending six months after the expiration date;</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subject to a recall; and</w:t>
      </w:r>
    </w:p>
    <w:p>
      <w:pPr>
        <w:spacing w:after="0" w:line="198"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that the Company, at its sole discretion, has specified can be returned for credit.</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September 30, 2021, the Company has not received any returns.</w:t>
      </w:r>
    </w:p>
    <w:p>
      <w:pPr>
        <w:spacing w:after="0" w:line="185" w:lineRule="exact"/>
        <w:rPr>
          <w:sz w:val="20"/>
          <w:szCs w:val="20"/>
          <w:color w:val="auto"/>
        </w:rPr>
      </w:pPr>
    </w:p>
    <w:p>
      <w:pPr>
        <w:jc w:val="both"/>
        <w:ind w:left="60" w:right="79" w:firstLine="492"/>
        <w:spacing w:after="0" w:line="311" w:lineRule="auto"/>
        <w:rPr>
          <w:sz w:val="20"/>
          <w:szCs w:val="20"/>
          <w:color w:val="auto"/>
        </w:rPr>
      </w:pPr>
      <w:r>
        <w:rPr>
          <w:rFonts w:ascii="Arial" w:cs="Arial" w:eastAsia="Arial" w:hAnsi="Arial"/>
          <w:sz w:val="16"/>
          <w:szCs w:val="16"/>
          <w:color w:val="auto"/>
        </w:rPr>
        <w:t>Co-Payment Assistance Programs: Co-payment assistance is provided to qualified patients,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85" w:lineRule="exact"/>
        <w:rPr>
          <w:sz w:val="20"/>
          <w:szCs w:val="20"/>
          <w:color w:val="auto"/>
        </w:rPr>
      </w:pPr>
    </w:p>
    <w:p>
      <w:pPr>
        <w:jc w:val="both"/>
        <w:ind w:left="60" w:right="79" w:firstLine="492"/>
        <w:spacing w:after="0" w:line="301" w:lineRule="auto"/>
        <w:rPr>
          <w:sz w:val="20"/>
          <w:szCs w:val="20"/>
          <w:color w:val="auto"/>
        </w:rPr>
      </w:pPr>
      <w:r>
        <w:rPr>
          <w:rFonts w:ascii="Arial" w:cs="Arial" w:eastAsia="Arial" w:hAnsi="Arial"/>
          <w:sz w:val="16"/>
          <w:szCs w:val="16"/>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September 30, 2021, we determined an allowance for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expected credit losses related to outstanding accounts receivable was currently not required based upon our review of contractual payment terms and individual customer circumstances.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85"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Cost of product revenue consists primarily of materials and third-party manufacturing costs, as well as freight and royalties owed to our licensing partner for UKONIQ sales. Based on our policy to expense costs associated with the manufacture of our products prior to regulatory approval, the manufacturing costs of UKONIQ units recognized as revenue during the three and nine months ended September 30, 2021 were expensed prior to receipt of FDA approval on February 5, 2021, and therefore are not included in costs of product revenue during the current period.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19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Prior to regulatory approval, we expense costs relating to the production of inventory as research and development expense in the period incurred. Following regulatory approval, costs to manufacture those approved products will be capitalized. Inventories are stated at the lower of cost or estimated net realizable value with cost based on the first-in-first-out method. Inventory that can be used in either the production of clinical or commercial products is expensed as research and development costs when identified for use in clinical trials.</w:t>
      </w:r>
    </w:p>
    <w:p>
      <w:pPr>
        <w:spacing w:after="0" w:line="136"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Prior to the approval of UKONIQ, all manufacturing and other potential costs related to the commercial launch of UKONIQ were expensed to research and development expense in the period incurred.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98"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should the Company realize net income during the period presented. The cumulative amounts of potentially dilutive securities excluded from the calculation were 13,126,038 securities and 11,103,701 securities for the nine months ended September 30, 2021 and 2020, respectively.</w:t>
      </w:r>
    </w:p>
    <w:p>
      <w:pPr>
        <w:spacing w:after="0" w:line="151"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net loss per share attributable to common stockholders for the periods presented because including them would have been antidilutive:</w:t>
      </w:r>
    </w:p>
    <w:p>
      <w:pPr>
        <w:spacing w:after="0" w:line="148"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Nine Months Ended</w:t>
      </w:r>
    </w:p>
    <w:tbl>
      <w:tblPr>
        <w:tblLayout w:type="fixed"/>
        <w:tblInd w:w="60" w:type="dxa"/>
        <w:tblCellMar>
          <w:top w:w="0" w:type="dxa"/>
          <w:left w:w="0" w:type="dxa"/>
          <w:bottom w:w="0" w:type="dxa"/>
          <w:right w:w="0" w:type="dxa"/>
        </w:tblCellMar>
      </w:tblPr>
      <w:tr>
        <w:trPr>
          <w:trHeight w:val="159"/>
        </w:trPr>
        <w:tc>
          <w:tcPr>
            <w:tcW w:w="6480" w:type="dxa"/>
            <w:vAlign w:val="bottom"/>
          </w:tcPr>
          <w:p>
            <w:pPr>
              <w:spacing w:after="0"/>
              <w:rPr>
                <w:sz w:val="13"/>
                <w:szCs w:val="13"/>
                <w:color w:val="auto"/>
              </w:rPr>
            </w:pPr>
          </w:p>
        </w:tc>
        <w:tc>
          <w:tcPr>
            <w:tcW w:w="2420" w:type="dxa"/>
            <w:vAlign w:val="bottom"/>
            <w:gridSpan w:val="4"/>
          </w:tcPr>
          <w:p>
            <w:pPr>
              <w:ind w:left="660"/>
              <w:spacing w:after="0" w:line="159" w:lineRule="exact"/>
              <w:rPr>
                <w:sz w:val="20"/>
                <w:szCs w:val="20"/>
                <w:color w:val="auto"/>
              </w:rPr>
            </w:pPr>
            <w:r>
              <w:rPr>
                <w:rFonts w:ascii="Arial" w:cs="Arial" w:eastAsia="Arial" w:hAnsi="Arial"/>
                <w:sz w:val="14"/>
                <w:szCs w:val="14"/>
                <w:b w:val="1"/>
                <w:bCs w:val="1"/>
                <w:color w:val="auto"/>
              </w:rPr>
              <w:t>September 30,</w:t>
            </w:r>
          </w:p>
        </w:tc>
      </w:tr>
      <w:tr>
        <w:trPr>
          <w:trHeight w:val="142"/>
        </w:trPr>
        <w:tc>
          <w:tcPr>
            <w:tcW w:w="64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10,492,731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8,409,696</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Pr>
          <w:p>
            <w:pPr>
              <w:ind w:left="40"/>
              <w:spacing w:after="0"/>
              <w:rPr>
                <w:sz w:val="20"/>
                <w:szCs w:val="20"/>
                <w:color w:val="auto"/>
              </w:rPr>
            </w:pPr>
            <w:r>
              <w:rPr>
                <w:rFonts w:ascii="Arial" w:cs="Arial" w:eastAsia="Arial" w:hAnsi="Arial"/>
                <w:sz w:val="18"/>
                <w:szCs w:val="18"/>
                <w:color w:val="auto"/>
              </w:rPr>
              <w:t>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2,467,537</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2,529,133</w:t>
            </w:r>
          </w:p>
        </w:tc>
        <w:tc>
          <w:tcPr>
            <w:tcW w:w="20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200" w:type="dxa"/>
            <w:vAlign w:val="bottom"/>
            <w:shd w:val="clear" w:color="auto" w:fill="CCEEFF"/>
          </w:tcPr>
          <w:p>
            <w:pPr>
              <w:spacing w:after="0"/>
              <w:rPr>
                <w:sz w:val="18"/>
                <w:szCs w:val="18"/>
                <w:color w:val="auto"/>
              </w:rPr>
            </w:pPr>
          </w:p>
        </w:tc>
      </w:tr>
      <w:tr>
        <w:trPr>
          <w:trHeight w:val="216"/>
        </w:trPr>
        <w:tc>
          <w:tcPr>
            <w:tcW w:w="6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Shares issuable upon note conversion</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18,712</w:t>
            </w:r>
          </w:p>
        </w:tc>
        <w:tc>
          <w:tcPr>
            <w:tcW w:w="1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17,814</w:t>
            </w:r>
          </w:p>
        </w:tc>
        <w:tc>
          <w:tcPr>
            <w:tcW w:w="200" w:type="dxa"/>
            <w:vAlign w:val="bottom"/>
            <w:tcBorders>
              <w:bottom w:val="single" w:sz="8" w:color="CCEEFF"/>
            </w:tcBorders>
          </w:tcPr>
          <w:p>
            <w:pPr>
              <w:spacing w:after="0"/>
              <w:rPr>
                <w:sz w:val="18"/>
                <w:szCs w:val="18"/>
                <w:color w:val="auto"/>
              </w:rPr>
            </w:pPr>
          </w:p>
        </w:tc>
      </w:tr>
      <w:tr>
        <w:trPr>
          <w:trHeight w:val="21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13,126,038</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11,103,701</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left="60" w:right="59" w:firstLine="492"/>
        <w:spacing w:after="0" w:line="254" w:lineRule="auto"/>
        <w:rPr>
          <w:sz w:val="20"/>
          <w:szCs w:val="20"/>
          <w:color w:val="auto"/>
        </w:rPr>
      </w:pPr>
      <w:r>
        <w:rPr>
          <w:rFonts w:ascii="Arial" w:cs="Arial" w:eastAsia="Arial" w:hAnsi="Arial"/>
          <w:sz w:val="18"/>
          <w:szCs w:val="18"/>
          <w:color w:val="auto"/>
        </w:rPr>
        <w:t>In December 2019, the Financial Accounting Standards Board (FASB) issued ASU No 2019-12, Income Taxes (Topic 740): Simplifying Accounting for Income Taxes (ASU 2019-12). ASU 2019-12 removes certain exceptions for recognizing deferred taxes for investments, performing intraperiod allocations, calculating income taxes in interim periods, and adds certain guidance to remove complexity in certain areas. ASU 2019-12 is effective for all entities for annual and interim periods beginning after December 15, 2020. Early adoption of either the entire standard or only those provisions that eliminate or modify requirements is permitted. Adoption of ASU 2019-12 did not have any impact to our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January 2017, the FASB issued ASU No. 2017-04, Simplifying the Test for Goodwill Impairment (ASU 2017-04). ASU 2017-04 eliminates the requirement to calculate the implied fair value of goodwill (i.e., Step 2 of today’s goodwill impairment test) to measure a goodwill impairment charge. Instead, entities will record an impairment charge based on the excess of a reporting unit’s carrying amount over its fair value (i.e., measure the charge based on today’s Step 1). The standard has tiered effective dates, starting in 2020 for calendar-year public business entities PBEs that meet the definition of an SEC filer, excluding smaller reporting companies. Early adoption is permitted for annual and interim goodwill impairment testing dates after 1 January 2017. Adoption of ASU 2017-04 did not have any impact to our condensed consolidated financial statements.</w:t>
      </w:r>
    </w:p>
    <w:p>
      <w:pPr>
        <w:spacing w:after="0" w:line="16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consolidated financial statements.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REVENUE RECOGNITION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Gross-to-Net Sales Adjustments</w:t>
      </w:r>
    </w:p>
    <w:p>
      <w:pPr>
        <w:spacing w:after="0" w:line="297"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To date, our only source of product revenue has been from the U.S. sales of UKONIQ, which we began shipping to our customers in February 2021. We record our best estimate of sales discounts and allowances to which customers are likely to be entitled. The reconciliation of gross product sales to net product sales by each significant category of gross-to-net adjustments was as follows for the three and nine months ended September 30, 2021:</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7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20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6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8"/>
              </w:rPr>
              <w:t>Nine months ended</w:t>
            </w:r>
          </w:p>
        </w:tc>
        <w:tc>
          <w:tcPr>
            <w:tcW w:w="0" w:type="dxa"/>
            <w:vAlign w:val="bottom"/>
          </w:tcPr>
          <w:p>
            <w:pPr>
              <w:spacing w:after="0"/>
              <w:rPr>
                <w:sz w:val="1"/>
                <w:szCs w:val="1"/>
                <w:color w:val="auto"/>
              </w:rPr>
            </w:pPr>
          </w:p>
        </w:tc>
      </w:tr>
      <w:tr>
        <w:trPr>
          <w:trHeight w:val="111"/>
        </w:trPr>
        <w:tc>
          <w:tcPr>
            <w:tcW w:w="4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4"/>
                <w:szCs w:val="14"/>
                <w:color w:val="auto"/>
              </w:rPr>
            </w:pPr>
          </w:p>
        </w:tc>
        <w:tc>
          <w:tcPr>
            <w:tcW w:w="162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September 30, 2021</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product revenue</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8"/>
                <w:szCs w:val="18"/>
                <w:color w:val="auto"/>
              </w:rPr>
              <w:t>Gross-to-net adjustments:</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Chargebacks and administrative fees</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Trade discounts and allowances</w:t>
            </w:r>
          </w:p>
        </w:tc>
        <w:tc>
          <w:tcPr>
            <w:tcW w:w="22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rebates and co-payment assistance</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8"/>
                <w:szCs w:val="18"/>
                <w:color w:val="auto"/>
              </w:rPr>
              <w:t>Sales returns and allowances</w:t>
            </w:r>
          </w:p>
        </w:tc>
        <w:tc>
          <w:tcPr>
            <w:tcW w:w="220" w:type="dxa"/>
            <w:vAlign w:val="bottom"/>
          </w:tcPr>
          <w:p>
            <w:pPr>
              <w:spacing w:after="0"/>
              <w:rPr>
                <w:sz w:val="18"/>
                <w:szCs w:val="18"/>
                <w:color w:val="auto"/>
              </w:rPr>
            </w:pPr>
          </w:p>
        </w:tc>
        <w:tc>
          <w:tcPr>
            <w:tcW w:w="208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Total gross-to-net adjustments</w:t>
            </w:r>
            <w:r>
              <w:rPr>
                <w:rFonts w:ascii="Arial" w:cs="Arial" w:eastAsia="Arial" w:hAnsi="Arial"/>
                <w:sz w:val="24"/>
                <w:szCs w:val="24"/>
                <w:color w:val="auto"/>
                <w:vertAlign w:val="superscript"/>
              </w:rPr>
              <w:t>(1)</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Arial" w:cs="Arial" w:eastAsia="Arial" w:hAnsi="Arial"/>
                <w:sz w:val="18"/>
                <w:szCs w:val="18"/>
                <w:color w:val="auto"/>
              </w:rPr>
              <w:t>Net product revenue</w:t>
            </w: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1,992</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hanging="10"/>
        <w:spacing w:after="0" w:line="249" w:lineRule="auto"/>
        <w:tabs>
          <w:tab w:leader="none" w:pos="251"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As of September 30, 2021 approximately $0.4 million of estimated gross-net-accruals have been recorded as a reduction of accounts receivable, net and within accounts payable and accrued expenses on the condensed consolidated balance sheets.</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Our investments as of September 30, 2021 and December 31, 2020 are classified as held-to-maturity. Held-to-maturity investments are recorded at amortized cost.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 our investment securities at September 30, 2021 and December 31, 2020:</w:t>
      </w: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12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October 2021 and April 2022) (held-to-maturity)</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$ 30,338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30,340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2023 and June 2023) (held-to-maturity)</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24,550</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24,539</w:t>
            </w:r>
          </w:p>
        </w:tc>
        <w:tc>
          <w:tcPr>
            <w:tcW w:w="0" w:type="dxa"/>
            <w:vAlign w:val="bottom"/>
          </w:tcPr>
          <w:p>
            <w:pPr>
              <w:spacing w:after="0"/>
              <w:rPr>
                <w:sz w:val="1"/>
                <w:szCs w:val="1"/>
                <w:color w:val="auto"/>
              </w:rPr>
            </w:pPr>
          </w:p>
        </w:tc>
      </w:tr>
      <w:tr>
        <w:trPr>
          <w:trHeight w:val="209"/>
        </w:trPr>
        <w:tc>
          <w:tcPr>
            <w:tcW w:w="5160" w:type="dxa"/>
            <w:vAlign w:val="bottom"/>
          </w:tcPr>
          <w:p>
            <w:pPr>
              <w:ind w:left="220"/>
              <w:spacing w:after="0"/>
              <w:rPr>
                <w:sz w:val="20"/>
                <w:szCs w:val="20"/>
                <w:color w:val="auto"/>
              </w:rPr>
            </w:pPr>
            <w:r>
              <w:rPr>
                <w:rFonts w:ascii="Arial" w:cs="Arial" w:eastAsia="Arial" w:hAnsi="Arial"/>
                <w:sz w:val="18"/>
                <w:szCs w:val="18"/>
                <w:color w:val="auto"/>
              </w:rPr>
              <w:t>Total short-term and long-term investment securities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$ 54,888</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Estimated fair</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120" w:type="dxa"/>
            <w:vAlign w:val="bottom"/>
          </w:tcPr>
          <w:p>
            <w:pPr>
              <w:spacing w:after="0"/>
              <w:rPr>
                <w:sz w:val="14"/>
                <w:szCs w:val="14"/>
                <w:color w:val="auto"/>
              </w:rPr>
            </w:pPr>
          </w:p>
        </w:tc>
        <w:tc>
          <w:tcPr>
            <w:tcW w:w="780" w:type="dxa"/>
            <w:vAlign w:val="bottom"/>
          </w:tcPr>
          <w:p>
            <w:pPr>
              <w:jc w:val="right"/>
              <w:ind w:right="1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January 2021 and December 2021) (held-to-maturity)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$ 51,987</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51,984</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$ 51,987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46"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and liabilities;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inputs other than Level 1 quoted prices that are directly or indirectly observable;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84" w:lineRule="exact"/>
        <w:rPr>
          <w:sz w:val="20"/>
          <w:szCs w:val="20"/>
          <w:color w:val="auto"/>
        </w:rPr>
      </w:pPr>
    </w:p>
    <w:p>
      <w:pPr>
        <w:ind w:left="60" w:right="79" w:firstLine="492"/>
        <w:spacing w:after="0" w:line="277" w:lineRule="auto"/>
        <w:rPr>
          <w:sz w:val="20"/>
          <w:szCs w:val="20"/>
          <w:color w:val="auto"/>
        </w:rPr>
      </w:pPr>
      <w:r>
        <w:rPr>
          <w:rFonts w:ascii="Arial" w:cs="Arial" w:eastAsia="Arial" w:hAnsi="Arial"/>
          <w:sz w:val="18"/>
          <w:szCs w:val="18"/>
          <w:color w:val="auto"/>
        </w:rPr>
        <w:t>As of September 30, 2021 and December 31, 2020, the fair values of cash and cash equivalents, restricted cash, and notes and interest payable, approximate their carrying values.</w:t>
      </w:r>
    </w:p>
    <w:p>
      <w:pPr>
        <w:spacing w:after="0" w:line="130" w:lineRule="exact"/>
        <w:rPr>
          <w:sz w:val="20"/>
          <w:szCs w:val="20"/>
          <w:color w:val="auto"/>
        </w:rPr>
      </w:pPr>
    </w:p>
    <w:p>
      <w:pPr>
        <w:ind w:left="60" w:right="59" w:firstLine="492"/>
        <w:spacing w:after="0" w:line="277" w:lineRule="auto"/>
        <w:rPr>
          <w:sz w:val="20"/>
          <w:szCs w:val="20"/>
          <w:color w:val="auto"/>
        </w:rPr>
      </w:pPr>
      <w:r>
        <w:rPr>
          <w:rFonts w:ascii="Arial" w:cs="Arial" w:eastAsia="Arial" w:hAnsi="Arial"/>
          <w:sz w:val="18"/>
          <w:szCs w:val="18"/>
          <w:color w:val="auto"/>
        </w:rPr>
        <w:t>The following tables provide the fair value measurements of applicable financial liabilities as of September 30, 2021 and December 31, 2020:</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5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2"/>
              </w:rPr>
              <w:t>Financial liabilities at fair value as of September 30, 2021</w:t>
            </w: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7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78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20"/>
        </w:trPr>
        <w:tc>
          <w:tcPr>
            <w:tcW w:w="5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358"/>
        </w:trPr>
        <w:tc>
          <w:tcPr>
            <w:tcW w:w="5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tcBorders>
              <w:bottom w:val="single" w:sz="8" w:color="auto"/>
            </w:tcBorders>
            <w:gridSpan w:val="17"/>
          </w:tcPr>
          <w:p>
            <w:pPr>
              <w:ind w:left="20"/>
              <w:spacing w:after="0"/>
              <w:rPr>
                <w:sz w:val="20"/>
                <w:szCs w:val="20"/>
                <w:color w:val="auto"/>
              </w:rPr>
            </w:pPr>
            <w:r>
              <w:rPr>
                <w:rFonts w:ascii="Arial" w:cs="Arial" w:eastAsia="Arial" w:hAnsi="Arial"/>
                <w:sz w:val="14"/>
                <w:szCs w:val="14"/>
                <w:b w:val="1"/>
                <w:bCs w:val="1"/>
                <w:color w:val="auto"/>
                <w:w w:val="92"/>
              </w:rPr>
              <w:t>Financial liabilities at fair value as of December 31, 2020</w:t>
            </w:r>
          </w:p>
        </w:tc>
      </w:tr>
      <w:tr>
        <w:trPr>
          <w:trHeight w:val="142"/>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5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09"/>
        </w:trPr>
        <w:tc>
          <w:tcPr>
            <w:tcW w:w="538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198"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Company’s financial instruments include cash, cash equivalents consisting of money market funds, accounts payable and debt. Cash, cash equivalents, accounts payable and debt are stated at their respective historical carrying amounts, which approximate fair value due to their short-term nature.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changes in Level 3 instruments during the nine months ended September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Interest accrued on face value of 5% Notes</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764</w:t>
            </w:r>
          </w:p>
        </w:tc>
      </w:tr>
      <w:tr>
        <w:trPr>
          <w:trHeight w:val="216"/>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Level 3 liabilities</w:t>
            </w: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10"/>
        </w:trPr>
        <w:tc>
          <w:tcPr>
            <w:tcW w:w="7820" w:type="dxa"/>
            <w:vAlign w:val="bottom"/>
          </w:tcPr>
          <w:p>
            <w:pPr>
              <w:ind w:left="20"/>
              <w:spacing w:after="0"/>
              <w:rPr>
                <w:sz w:val="20"/>
                <w:szCs w:val="20"/>
                <w:color w:val="auto"/>
              </w:rPr>
            </w:pPr>
            <w:r>
              <w:rPr>
                <w:rFonts w:ascii="Arial" w:cs="Arial" w:eastAsia="Arial" w:hAnsi="Arial"/>
                <w:sz w:val="18"/>
                <w:szCs w:val="18"/>
                <w:color w:val="auto"/>
              </w:rPr>
              <w:t>Balance at September 30, 2021</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20"/>
        </w:trPr>
        <w:tc>
          <w:tcPr>
            <w:tcW w:w="7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STOCKHOLDERS’ EQUITY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175,000,000 shares of $0.001 par value common stock.</w:t>
      </w:r>
    </w:p>
    <w:p>
      <w:pPr>
        <w:spacing w:after="0" w:line="130"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 The 2021 ATM has replaced the 2020 ATM as the only active ATM program.</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had no activity on the 2021 ATM during the nine months ended September 30, 2021.</w:t>
      </w:r>
    </w:p>
    <w:p>
      <w:pPr>
        <w:spacing w:after="0" w:line="185"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color w:val="auto"/>
        </w:rPr>
        <w:t>The TG Therapeutics, Inc. Amended and Restated 2012 Incentive Plan (the 2012 Incentive Plan) was approved by stockholders in June 2020. As of September 30, 2021, 11,992,744 shares of restricted stock and 2,467,537 options were outstanding and up to an additional 1,746,700 shares may be issued under the 2012 Incentive Plan.</w:t>
      </w:r>
    </w:p>
    <w:p>
      <w:pPr>
        <w:spacing w:after="0" w:line="1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Stock-based compensation expense included in the condensed consolidated statements of operations was $14.0 million and $28.3 million for the three months ended September 30, 2021 and 2020, respectively, and $46.9 million and $46.8 million for the nine months ended September 30, 2021 and 2020, respectively.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summarizes the activity for stock options and restricted stock for the nine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7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Stock Options</w:t>
            </w:r>
          </w:p>
        </w:tc>
        <w:tc>
          <w:tcPr>
            <w:tcW w:w="160" w:type="dxa"/>
            <w:vAlign w:val="bottom"/>
          </w:tcPr>
          <w:p>
            <w:pPr>
              <w:spacing w:after="0"/>
              <w:rPr>
                <w:sz w:val="14"/>
                <w:szCs w:val="14"/>
                <w:color w:val="auto"/>
              </w:rPr>
            </w:pPr>
          </w:p>
        </w:tc>
        <w:tc>
          <w:tcPr>
            <w:tcW w:w="1460" w:type="dxa"/>
            <w:vAlign w:val="bottom"/>
          </w:tcPr>
          <w:p>
            <w:pPr>
              <w:jc w:val="right"/>
              <w:ind w:right="219"/>
              <w:spacing w:after="0"/>
              <w:rPr>
                <w:sz w:val="20"/>
                <w:szCs w:val="20"/>
                <w:color w:val="auto"/>
              </w:rPr>
            </w:pPr>
            <w:r>
              <w:rPr>
                <w:rFonts w:ascii="Arial" w:cs="Arial" w:eastAsia="Arial" w:hAnsi="Arial"/>
                <w:sz w:val="14"/>
                <w:szCs w:val="14"/>
                <w:b w:val="1"/>
                <w:bCs w:val="1"/>
                <w:color w:val="auto"/>
              </w:rPr>
              <w:t>Restricted Stock</w:t>
            </w:r>
          </w:p>
        </w:tc>
      </w:tr>
      <w:tr>
        <w:trPr>
          <w:trHeight w:val="210"/>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awards outstanding, beginning of year</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3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10,785</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Changes during the year:</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2,464</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Exercised or vested</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(1,106)</w:t>
            </w:r>
          </w:p>
        </w:tc>
      </w:tr>
      <w:tr>
        <w:trPr>
          <w:trHeight w:val="23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or Forfeited</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03"/>
        </w:trPr>
        <w:tc>
          <w:tcPr>
            <w:tcW w:w="55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Equity awards outstanding, end of period</w:t>
            </w: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2,467</w:t>
            </w:r>
          </w:p>
        </w:tc>
        <w:tc>
          <w:tcPr>
            <w:tcW w:w="300" w:type="dxa"/>
            <w:vAlign w:val="bottom"/>
            <w:tcBorders>
              <w:top w:val="single" w:sz="8" w:color="CCEEFF"/>
            </w:tcBorders>
          </w:tcPr>
          <w:p>
            <w:pPr>
              <w:spacing w:after="0"/>
              <w:rPr>
                <w:sz w:val="17"/>
                <w:szCs w:val="17"/>
                <w:color w:val="auto"/>
              </w:rPr>
            </w:pPr>
          </w:p>
        </w:tc>
        <w:tc>
          <w:tcPr>
            <w:tcW w:w="160" w:type="dxa"/>
            <w:vAlign w:val="bottom"/>
            <w:tcBorders>
              <w:top w:val="single" w:sz="8" w:color="CCEEFF"/>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11,993</w:t>
            </w:r>
          </w:p>
        </w:tc>
      </w:tr>
      <w:tr>
        <w:trPr>
          <w:trHeight w:val="20"/>
        </w:trPr>
        <w:tc>
          <w:tcPr>
            <w:tcW w:w="55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September 30, 2021, total compensation cost related to unvested awards not yet recognized and the weighted-average periods over which the awards are expected to be recognized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 Options</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Restricted Stock</w:t>
            </w:r>
          </w:p>
        </w:tc>
      </w:tr>
      <w:tr>
        <w:trPr>
          <w:trHeight w:val="209"/>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4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66,962</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w w:val="93"/>
              </w:rPr>
              <w:t>Expected weighted-average period in years of compensation cost to be recognized</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Warrants</w:t>
      </w:r>
    </w:p>
    <w:p>
      <w:pPr>
        <w:spacing w:after="0" w:line="19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Company’s only outstanding warrant is the warrant issued to Hercules as part of our debt agreement to purchase 147,058 shares of common stock with an exercise price of $4.08. See Note 6 for further details. As the warrants could not require cash settlement, the warrants were classified as equity. There will not be any ongoing stock compensation expense volatility associated with these warrants.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LOAN PAYABLE</w:t>
      </w:r>
    </w:p>
    <w:p>
      <w:pPr>
        <w:spacing w:after="0" w:line="189"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was available with different milestones and time points that have lapsed.</w:t>
      </w:r>
    </w:p>
    <w:p>
      <w:pPr>
        <w:spacing w:after="0" w:line="134"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The Term Loan will mature on March 1, 2022 (the Loan Maturity Date). Each advance accrues interest at a per annum rate of interest equal to the greater of either (i) the “prime rate” as reported in The Wall Street Journal plus 4.75%, and (ii) 10.25%. As a result of the Company having raised in excess of $150 million before the required timeline in the Loan Agreement, the interest-only period was extended to April 1, 2021. At our option, we may prepay all or any portion greater than or equal to $5.0 million of the outstanding advances by paying the entire principal balance (or portion thereof) and all accrued and unpaid interest, subject to a prepayment charges of: 3.0% if such advance is prepaid in any of the first twelve months following the Closing Date; 1.5% if such advance is prepaid after the first twelve months following the Closing Date but on or prior to twenty-four months following the Closing Date; and 0% thereafter. In addition, a final payment equal to 3.5% of the aggregate principal amount of the loan extended by Hercules is due on the maturity date. As of September 30, 2021, we have paid approximately $14.6 million of the principal loan balance due to Hercules. The Term Loan repayment schedule continues with monthly principal payments ranging from approximately $2.5 million to $2.7 million per month through March 1, 2022.</w:t>
      </w:r>
    </w:p>
    <w:p>
      <w:pPr>
        <w:sectPr>
          <w:pgSz w:w="11900" w:h="16838" w:orient="portrait"/>
          <w:cols w:equalWidth="0" w:num="1">
            <w:col w:w="9019"/>
          </w:cols>
          <w:pgMar w:left="1440" w:top="517" w:right="1440"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Term Loan is secured by a lien on substantially all of our assets, other than intellectual property, and contains customary covenants and representations. As of September 30, 2021 and through the filing date of this report, the Company has been in compliance with all covenants.</w:t>
      </w:r>
    </w:p>
    <w:p>
      <w:pPr>
        <w:spacing w:after="0" w:line="157"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Loan Agreement contains several events of default, which we are in compliance with all terms. If an event of default occurs, Hercules is entitled to take enforcement action, including acceleration of amounts due under the Loan Agreement. Amounts outstanding during an event of default shall be payable on demand and accrue interest at an additional rate of 4.0% per annum of the past due amount outstanding.</w:t>
      </w:r>
    </w:p>
    <w:p>
      <w:pPr>
        <w:spacing w:after="0" w:line="146"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Loan Agreement also contains warrant coverage of 2% of the total amount funded. A warrant (the Hercules Warrant) was issued to Hercules to purchase 147,058 shares of common stock with an exercise price of $4.08. We accounted for the Hercules Warrant as an equity instrument since it was indexed to our common shares and met the criteria for classification in shareholders’ (deficit) equity. The relative fair value of the Hercules Warrant on the date of issuance was approximately $1.0 million and was treated as debt issuance costs and as an offset to the Term Loan. This amount will be amortized to interest expense using the straight-line method, which approximates the effective interest method, over the life of the Term Loan.</w:t>
      </w:r>
    </w:p>
    <w:p>
      <w:pPr>
        <w:spacing w:after="0" w:line="154"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Company estimated the fair value of the Warrant using the Black-Scholes model based on the following key assumptions: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Common share price on date of issuance</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2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7.00 years</w:t>
            </w: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The Company incurred financing expenses of $2.8 million (including the fair value of the Hercules Warrant) related to the Hercules Loan Agreement which are recorded as debt issuance costs and as an offset to loan payable on the Company’s unaudited condensed consolidated balance sheet. The debt issuance costs are being amortized over the term of the debt using the straight-line method, which approximates the effective interest method, and are included in interest expense in the Company’s unaudited condensed consolidated statements of operations. Amortization of debt issuance costs was $0.3 million and $0.2 million for each of the three months ended September 30, 2021 and 2020, respectively, and $0.7 million for each of the nine months ended September 30, 2021 and 2020, respectively. At September 30, 2021, the remaining unamortized balance of debt issuance costs was $0.4 million.</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loan payable as of September 30, 2021 and December 31, 2020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payable</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term fee</w:t>
            </w:r>
          </w:p>
        </w:tc>
        <w:tc>
          <w:tcPr>
            <w:tcW w:w="3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Less: principal payments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(14,590)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 payable</w:t>
            </w:r>
          </w:p>
        </w:tc>
        <w:tc>
          <w:tcPr>
            <w:tcW w:w="3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(15,999)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payable non-current</w:t>
            </w: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120" w:type="dxa"/>
            <w:vAlign w:val="bottom"/>
            <w:vMerge w:val="restart"/>
          </w:tcPr>
          <w:p>
            <w:pPr>
              <w:jc w:val="right"/>
              <w:ind w:right="2030"/>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5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5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LEASES</w:t>
      </w:r>
    </w:p>
    <w:p>
      <w:pPr>
        <w:spacing w:after="0" w:line="202" w:lineRule="exact"/>
        <w:rPr>
          <w:sz w:val="20"/>
          <w:szCs w:val="20"/>
          <w:color w:val="auto"/>
        </w:rPr>
      </w:pPr>
    </w:p>
    <w:p>
      <w:pPr>
        <w:jc w:val="both"/>
        <w:ind w:left="60" w:right="60" w:firstLine="492"/>
        <w:spacing w:after="0" w:line="269" w:lineRule="auto"/>
        <w:rPr>
          <w:sz w:val="20"/>
          <w:szCs w:val="20"/>
          <w:color w:val="auto"/>
        </w:rPr>
      </w:pPr>
      <w:r>
        <w:rPr>
          <w:rFonts w:ascii="Arial" w:cs="Arial" w:eastAsia="Arial" w:hAnsi="Arial"/>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$11.5 million and $8.8 million, respectively, as of September 30, 2021. Our leases have remaining lease terms of 2 years to 10 years. One lease has a renewal option to extend the lease for an additional term of two years.</w:t>
      </w:r>
    </w:p>
    <w:p>
      <w:pPr>
        <w:spacing w:after="0" w:line="145" w:lineRule="exact"/>
        <w:rPr>
          <w:sz w:val="20"/>
          <w:szCs w:val="20"/>
          <w:color w:val="auto"/>
        </w:rPr>
      </w:pPr>
    </w:p>
    <w:p>
      <w:pPr>
        <w:jc w:val="both"/>
        <w:ind w:left="60" w:right="60" w:firstLine="492"/>
        <w:spacing w:after="0" w:line="273" w:lineRule="auto"/>
        <w:rPr>
          <w:sz w:val="20"/>
          <w:szCs w:val="20"/>
          <w:color w:val="auto"/>
        </w:rPr>
      </w:pPr>
      <w:r>
        <w:rPr>
          <w:rFonts w:ascii="Arial" w:cs="Arial" w:eastAsia="Arial" w:hAnsi="Arial"/>
          <w:sz w:val="17"/>
          <w:szCs w:val="17"/>
          <w:color w:val="auto"/>
        </w:rPr>
        <w:t>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September 30, 2021, the allocation rate is 65% and will be evaluated again in November 2021 for the following rent year. Also in connection with this lease, we have pledged $1.2 million to secure a line of credit as a security deposit for the Office Agreement, which has been recorded as restricted cash in the accompanying condensed consolidated balance sheets.</w:t>
      </w:r>
    </w:p>
    <w:p>
      <w:pPr>
        <w:spacing w:after="0" w:line="137" w:lineRule="exact"/>
        <w:rPr>
          <w:sz w:val="20"/>
          <w:szCs w:val="20"/>
          <w:color w:val="auto"/>
        </w:rPr>
      </w:pPr>
    </w:p>
    <w:p>
      <w:pPr>
        <w:jc w:val="both"/>
        <w:ind w:left="60" w:right="60" w:firstLine="492"/>
        <w:spacing w:after="0" w:line="259"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 expense of $0.2 million for the nine months ended September 30, 2021.</w:t>
      </w:r>
    </w:p>
    <w:p>
      <w:pPr>
        <w:spacing w:after="0" w:line="160" w:lineRule="exact"/>
        <w:rPr>
          <w:sz w:val="20"/>
          <w:szCs w:val="20"/>
          <w:color w:val="auto"/>
        </w:rPr>
      </w:pPr>
    </w:p>
    <w:p>
      <w:pPr>
        <w:jc w:val="both"/>
        <w:ind w:left="60" w:right="60" w:firstLine="492"/>
        <w:spacing w:after="0" w:line="277" w:lineRule="auto"/>
        <w:rPr>
          <w:sz w:val="20"/>
          <w:szCs w:val="20"/>
          <w:color w:val="auto"/>
        </w:rPr>
      </w:pPr>
      <w:r>
        <w:rPr>
          <w:rFonts w:ascii="Arial" w:cs="Arial" w:eastAsia="Arial" w:hAnsi="Arial"/>
          <w:sz w:val="18"/>
          <w:szCs w:val="18"/>
          <w:color w:val="auto"/>
        </w:rPr>
        <w:t>The following components of lease expense are included in the Company’s condensed consolidated statements of operations for the three and nine months ended September 30, 2021 and 2020:</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1740" w:type="dxa"/>
            <w:vAlign w:val="bottom"/>
            <w:gridSpan w:val="4"/>
          </w:tcPr>
          <w:p>
            <w:pPr>
              <w:jc w:val="right"/>
              <w:ind w:right="2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74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left="60" w:right="60" w:firstLine="492"/>
        <w:spacing w:after="0" w:line="263" w:lineRule="auto"/>
        <w:rPr>
          <w:sz w:val="20"/>
          <w:szCs w:val="20"/>
          <w:color w:val="auto"/>
        </w:rPr>
      </w:pPr>
      <w:r>
        <w:rPr>
          <w:rFonts w:ascii="Arial" w:cs="Arial" w:eastAsia="Arial" w:hAnsi="Arial"/>
          <w:sz w:val="18"/>
          <w:szCs w:val="18"/>
          <w:color w:val="auto"/>
        </w:rPr>
        <w:t>As of September 30, 2021, the weighted-average remaining operating lease term was 7.4 years and the weighted-average discount rate for operating leases was 10.25%. Cash paid for amounts included in the measurement of operating lease liabilities during the nine months ended September 30, 2021 was $1.5 million.</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5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Lease liability current portion</w:t>
            </w:r>
          </w:p>
        </w:tc>
        <w:tc>
          <w:tcPr>
            <w:tcW w:w="3780" w:type="dxa"/>
            <w:vAlign w:val="bottom"/>
            <w:gridSpan w:val="2"/>
          </w:tcPr>
          <w:p>
            <w:pPr>
              <w:ind w:left="35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1,468</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35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560"/>
              <w:spacing w:after="0"/>
              <w:rPr>
                <w:sz w:val="20"/>
                <w:szCs w:val="20"/>
                <w:color w:val="auto"/>
              </w:rPr>
            </w:pPr>
            <w:r>
              <w:rPr>
                <w:rFonts w:ascii="Arial" w:cs="Arial" w:eastAsia="Arial" w:hAnsi="Arial"/>
                <w:sz w:val="18"/>
                <w:szCs w:val="18"/>
                <w:color w:val="auto"/>
              </w:rPr>
              <w:t>Total lease liability</w:t>
            </w:r>
          </w:p>
        </w:tc>
        <w:tc>
          <w:tcPr>
            <w:tcW w:w="356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560" w:type="dxa"/>
            <w:vAlign w:val="bottom"/>
            <w:vMerge w:val="restart"/>
          </w:tcPr>
          <w:p>
            <w:pPr>
              <w:jc w:val="right"/>
              <w:ind w:right="217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2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517" w:right="1439"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September 30, 2021, the maturities of lease liabilities were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Operating</w:t>
            </w:r>
          </w:p>
        </w:tc>
      </w:tr>
      <w:tr>
        <w:trPr>
          <w:trHeight w:val="171"/>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leases</w:t>
            </w:r>
          </w:p>
        </w:tc>
      </w:tr>
      <w:tr>
        <w:trPr>
          <w:trHeight w:val="20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2022</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2024</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2026</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9,889</w:t>
            </w:r>
          </w:p>
        </w:tc>
      </w:tr>
      <w:tr>
        <w:trPr>
          <w:trHeight w:val="21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18,046</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r>
      <w:tr>
        <w:trPr>
          <w:trHeight w:val="209"/>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11,488</w:t>
            </w:r>
          </w:p>
        </w:tc>
      </w:tr>
      <w:tr>
        <w:trPr>
          <w:trHeight w:val="20"/>
        </w:trPr>
        <w:tc>
          <w:tcPr>
            <w:tcW w:w="22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80" w:lineRule="exact"/>
        <w:rPr>
          <w:sz w:val="20"/>
          <w:szCs w:val="20"/>
          <w:color w:val="auto"/>
        </w:rPr>
      </w:pPr>
    </w:p>
    <w:p>
      <w:pPr>
        <w:jc w:val="both"/>
        <w:ind w:left="380" w:right="739" w:hanging="330"/>
        <w:spacing w:after="0" w:line="259"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LICENSE AGREEMENTS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185"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September 30, 2021 and 2020, and approximately $114,000 for each of the nine months ended September 30, 2021 and 2020, and at September 30, 2021 and December 31, 2020, have deferred revenue of approximately $0.6 million and $0.8 million, respectively, associated with this $2.0 million payment (approximately $0.2 million of which has been classified in current liabilities at September 30, 2021 and December 31, 2020).</w:t>
      </w:r>
    </w:p>
    <w:p>
      <w:pPr>
        <w:spacing w:after="0" w:line="157"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43"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In January 2012, we entered into an exclusive license agreement with LFB Biotechnologies, GTC Biotherapeutics, and LFB/GTC LLC, all wholly owned subsidiaries of LFB Group, relating to the development and commercialization of ublituximab. Under the license agreement, we have acquired the exclusive worldwide rights (exclusive of France/Belgium) for the development and commercialization of ublituximab. As of September 30, 2021 we have incurred and paid approximately $10.0 million related to milestones. LFB Group is eligible to receive payments of up to an aggregate of approximately $31.0 million upon our successful achievement of certain clinical development, regulatory, and sales milestones, in addition to royalty payments on net sales of ublituximab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TGR-1202 (Umbralisib)</w:t>
      </w:r>
    </w:p>
    <w:p>
      <w:pPr>
        <w:spacing w:after="0" w:line="19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September 2014, we exercised our option to license the global rights to umbralisib, thereby entering into an exclusive licensing agreement (the Umbralisib License) with Rhizen Pharmaceuticals, SA (Rhizen) for the development and commercialization of umbralisib. Prior to this, we had been jointly developing umbralisib in a 50:50 joint venture with Rhizen.</w:t>
      </w:r>
    </w:p>
    <w:p>
      <w:pPr>
        <w:spacing w:after="0" w:line="146"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During the nine months ended September 30, 2021, we paid Rhizen $12.0 million as part of a primary indication approval milestone for launch of product in the US in accordance with the terms of the Umbralisib License. Rhizen will be eligible to receive additional approval and sales-based milestone payments in the aggregate of approximately $175 million payable upon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receives tiered royalties that escalate from high single digits to low double digits on any net sales of umbralisib and any New Product. During the three and nine months ended September 30, 2021, the Company recorded $0.1 million and $0.3 million, respectively, related to the worldwide royalty due under the Umbralisib License in cost of product revenue based on U.S. sales of UKONIQ and as of September 30, 2021, $0.1 million in royalties were payable under the Umbralisib License. Rhizen will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 by country basis upon the expiration of the last licensed patent right or any other exclusivity right in such country, unless the agreement is earlier terminated (i) by us for any reason, or (ii) by either party due to a breach of the agreement.</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TG-1501: PDL1 (Cosibelimab)</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March 2015, we entered into a Global Collaboration Agreement (Collaboration Agreement) with Checkpoint Therapeutics, Inc. (Checkpoint) for the development and commercialization of anti-PD-L1 and anti-GITR antibody research programs in the field of hematological malignancies. The Collaboration Agreement was amended in June 2019 and in March of 2020 we achieved the first milestone event for which we incurred expenses of zero for each of the three months ended September 30, 2021 and 2020, and zero and approximately $0.9 million for the nine months ended September 30, 2021 and 2020,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TG-1701: BTK</w:t>
      </w:r>
    </w:p>
    <w:p>
      <w:pPr>
        <w:spacing w:after="0" w:line="185" w:lineRule="exact"/>
        <w:rPr>
          <w:sz w:val="20"/>
          <w:szCs w:val="20"/>
          <w:color w:val="auto"/>
        </w:rPr>
      </w:pPr>
    </w:p>
    <w:p>
      <w:pPr>
        <w:jc w:val="both"/>
        <w:ind w:left="60" w:right="59" w:firstLine="492"/>
        <w:spacing w:after="0" w:line="251" w:lineRule="auto"/>
        <w:rPr>
          <w:sz w:val="20"/>
          <w:szCs w:val="20"/>
          <w:color w:val="auto"/>
        </w:rPr>
      </w:pPr>
      <w:r>
        <w:rPr>
          <w:rFonts w:ascii="Arial" w:cs="Arial" w:eastAsia="Arial" w:hAnsi="Arial"/>
          <w:sz w:val="17"/>
          <w:szCs w:val="17"/>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Hengrui an upfront fee of $1.0 million in our common stock recorded to noncash stock expense associated with in-licensing agreements in our condensed consolidated statement of operations. In July 2019, we paid Hengrui the first milestone of $0.1 million in our common stock recorded to noncash stock expense associated with in-licensing agreements in our consolidated statement of operations. In July 2020, we paid Hengrui $2.0 million as part of a milestone in accordance with the license agreement.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We incurred expenses of approximately $4.2 million and $0.3 million for the three months ended September 30, 2021 and 2020, respectively, and $9.0 million and $0.6 million for the nine months ended September 30, 2021 and 2020, respectively, the majority of which relates to manufacturing expenses of BTK. The relevant expenses are recorded in other research and development in the accompanying unaudited condensed consolidated statement of operations.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TG-1801: anti-CD47/anti-CD19</w:t>
      </w:r>
    </w:p>
    <w:p>
      <w:pPr>
        <w:spacing w:after="0" w:line="185" w:lineRule="exact"/>
        <w:rPr>
          <w:sz w:val="20"/>
          <w:szCs w:val="20"/>
          <w:color w:val="auto"/>
        </w:rPr>
      </w:pPr>
    </w:p>
    <w:p>
      <w:pPr>
        <w:jc w:val="both"/>
        <w:ind w:left="60" w:right="59" w:firstLine="492"/>
        <w:spacing w:after="0" w:line="251" w:lineRule="auto"/>
        <w:rPr>
          <w:sz w:val="20"/>
          <w:szCs w:val="20"/>
          <w:color w:val="auto"/>
        </w:rPr>
      </w:pPr>
      <w:r>
        <w:rPr>
          <w:rFonts w:ascii="Arial" w:cs="Arial" w:eastAsia="Arial" w:hAnsi="Arial"/>
          <w:sz w:val="17"/>
          <w:szCs w:val="17"/>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As of September 30, 2021, we have incurred approximately $2.0 million in milestone expense related to patient enrollment.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RELATED PARTY TRANSACTIONS</w:t>
      </w:r>
    </w:p>
    <w:p>
      <w:pPr>
        <w:spacing w:after="0" w:line="189"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$0.2 million for each of the three months ended September 30, 2021 and 2020, and expenses of approximately $0.6 million for each of the nine months ended September 30, 2021 and 2020, primarily related to shared personnel.</w:t>
      </w:r>
    </w:p>
    <w:p>
      <w:pPr>
        <w:spacing w:after="0" w:line="16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Please refer to Note 7 - Leases for details regarding the Office Agreement with FBIO, as well as Note 8 - License Agreements for details regarding the Collaboration Agreement with Checkpoint.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60" w:right="59" w:firstLine="486"/>
        <w:spacing w:after="0" w:line="272" w:lineRule="auto"/>
        <w:rPr>
          <w:sz w:val="20"/>
          <w:szCs w:val="20"/>
          <w:color w:val="auto"/>
        </w:rPr>
      </w:pPr>
      <w:r>
        <w:rPr>
          <w:rFonts w:ascii="Arial" w:cs="Arial" w:eastAsia="Arial" w:hAnsi="Arial"/>
          <w:sz w:val="17"/>
          <w:szCs w:val="17"/>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Additionally, many of these risks and uncertainties are currently elevated by and may or will continue to be elevated by the COVID-19 pandemic. See also the Special Cautionary Notice Regarding Forward-Looking Statements set forth at the beginning of this report.</w:t>
      </w:r>
    </w:p>
    <w:p>
      <w:pPr>
        <w:spacing w:after="0" w:line="177"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TG Therapeutics is a fully 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UKONIQ received accelerated approval from the FDA for the treatment of adult patients with relapsed or refractory MZL who have received at least one prior anti-CD20-based regimen and adult patients with relapsed or refractory FL who have received at least three prior lines of systemic therapies. Currently, we have three programs in Phase 3 development for the treatment of patients with RMS and patients with CLL and several investigational medicines in Phase 1 clinical development. We also actively evaluate complementary products, technologies and companies for in-licensing, partnership, acquisition and/or investment opportunities.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Accelerated Approval of UKONIQ and Commercial Launch</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February 5, 2021, we announced that the FDA granted accelerated approval of UKONIQ for the treatment of adult patients with relapsed or refractory MZL who have received at least one prior anti-CD20 based regimen and for the treatment of adult patients with relapsed or refractory FL who have received at least three prior lines of systemic therapy. UKONIQ is the first and only, oral, once-daily, inhibitor of phosphoinositide 3 kinase (PI3K) delta and casein kinase 1 (CK1) epsilon. Accelerated approval was granted for these indications based on overall response rate (ORR) data from the Phase 2b UNITY-NHL Trial (NCT02793583). Continued approval for these indications is contingent upon verification and description of clinical benefit in a confirmatory trial. UKONIQ was granted orphan drug designations (ODD) for the treatment of MZL and FL.</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Following the FDA approval, we launched UKONIQ, making it available to patients through a distribution network that includes a specialty pharmacy and specialty distributors. Payor coverage of UKONIQ and inclusion in the NCCN guidelines have been consistent with the FDA-approved indications. We are committed to helping patients access their prescription for UKONIQ through the TG Patient Support Program, which we launched following the approval of UKONIQ.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Products Under Development</w:t>
      </w:r>
    </w:p>
    <w:p>
      <w:pPr>
        <w:spacing w:after="0" w:line="198" w:lineRule="exact"/>
        <w:rPr>
          <w:sz w:val="20"/>
          <w:szCs w:val="20"/>
          <w:color w:val="auto"/>
        </w:rPr>
      </w:pPr>
    </w:p>
    <w:p>
      <w:pPr>
        <w:ind w:left="60" w:right="119" w:firstLine="634"/>
        <w:spacing w:after="0" w:line="263" w:lineRule="auto"/>
        <w:rPr>
          <w:sz w:val="20"/>
          <w:szCs w:val="20"/>
          <w:color w:val="auto"/>
        </w:rPr>
      </w:pPr>
      <w:r>
        <w:rPr>
          <w:rFonts w:ascii="Arial" w:cs="Arial" w:eastAsia="Arial" w:hAnsi="Arial"/>
          <w:sz w:val="18"/>
          <w:szCs w:val="18"/>
          <w:color w:val="auto"/>
        </w:rPr>
        <w:t>We have leveraged our B-cell platform to develop a robust drug pipeline of small molecule kinase inhibitors and intravenously delivered immunotherapies that leverage the patients’ own immune system. The following table summarizes our most advanced drug candidates:</w:t>
      </w:r>
    </w:p>
    <w:p>
      <w:pPr>
        <w:spacing w:after="0" w:line="151" w:lineRule="exact"/>
        <w:rPr>
          <w:sz w:val="20"/>
          <w:szCs w:val="20"/>
          <w:color w:val="auto"/>
        </w:rPr>
      </w:pPr>
    </w:p>
    <w:tbl>
      <w:tblPr>
        <w:tblLayout w:type="fixed"/>
        <w:tblInd w:w="70" w:type="dxa"/>
        <w:tblCellMar>
          <w:top w:w="0" w:type="dxa"/>
          <w:left w:w="0" w:type="dxa"/>
          <w:bottom w:w="0" w:type="dxa"/>
          <w:right w:w="0" w:type="dxa"/>
        </w:tblCellMar>
      </w:tblPr>
      <w:tr>
        <w:trPr>
          <w:trHeight w:val="211"/>
        </w:trPr>
        <w:tc>
          <w:tcPr>
            <w:tcW w:w="3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29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2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c>
          <w:tcPr>
            <w:tcW w:w="0" w:type="dxa"/>
            <w:vAlign w:val="bottom"/>
          </w:tcPr>
          <w:p>
            <w:pPr>
              <w:spacing w:after="0"/>
              <w:rPr>
                <w:sz w:val="1"/>
                <w:szCs w:val="1"/>
                <w:color w:val="auto"/>
              </w:rPr>
            </w:pPr>
          </w:p>
        </w:tc>
      </w:tr>
      <w:tr>
        <w:trPr>
          <w:trHeight w:val="23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(molecular target)</w:t>
            </w:r>
          </w:p>
        </w:tc>
        <w:tc>
          <w:tcPr>
            <w:tcW w:w="294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c>
          <w:tcPr>
            <w:tcW w:w="0" w:type="dxa"/>
            <w:vAlign w:val="bottom"/>
          </w:tcPr>
          <w:p>
            <w:pPr>
              <w:spacing w:after="0"/>
              <w:rPr>
                <w:sz w:val="1"/>
                <w:szCs w:val="1"/>
                <w:color w:val="auto"/>
              </w:rPr>
            </w:pPr>
          </w:p>
        </w:tc>
      </w:tr>
      <w:tr>
        <w:trPr>
          <w:trHeight w:val="94"/>
        </w:trPr>
        <w:tc>
          <w:tcPr>
            <w:tcW w:w="3240" w:type="dxa"/>
            <w:vAlign w:val="bottom"/>
            <w:tcBorders>
              <w:left w:val="single" w:sz="8" w:color="auto"/>
              <w:bottom w:val="single" w:sz="8" w:color="auto"/>
              <w:right w:val="single" w:sz="8" w:color="auto"/>
            </w:tcBorders>
          </w:tcPr>
          <w:p>
            <w:pPr>
              <w:spacing w:after="0"/>
              <w:rPr>
                <w:sz w:val="8"/>
                <w:szCs w:val="8"/>
                <w:color w:val="auto"/>
              </w:rPr>
            </w:pPr>
          </w:p>
        </w:tc>
        <w:tc>
          <w:tcPr>
            <w:tcW w:w="294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3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Ublituximab (anti-CD20 mAb) and</w:t>
            </w:r>
          </w:p>
        </w:tc>
        <w:tc>
          <w:tcPr>
            <w:tcW w:w="2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Chronic Lymphocytic Leukemia (CLL)</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c>
          <w:tcPr>
            <w:tcW w:w="0" w:type="dxa"/>
            <w:vAlign w:val="bottom"/>
          </w:tcPr>
          <w:p>
            <w:pPr>
              <w:spacing w:after="0"/>
              <w:rPr>
                <w:sz w:val="1"/>
                <w:szCs w:val="1"/>
                <w:color w:val="auto"/>
              </w:rPr>
            </w:pPr>
          </w:p>
        </w:tc>
      </w:tr>
      <w:tr>
        <w:trPr>
          <w:trHeight w:val="216"/>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UKONIQ (PI3K-delta and CK1-epsilon</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and Relapsed or Refractory Marginal</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(ULTRA-V)</w:t>
            </w:r>
          </w:p>
        </w:tc>
        <w:tc>
          <w:tcPr>
            <w:tcW w:w="0" w:type="dxa"/>
            <w:vAlign w:val="bottom"/>
          </w:tcPr>
          <w:p>
            <w:pPr>
              <w:spacing w:after="0"/>
              <w:rPr>
                <w:sz w:val="1"/>
                <w:szCs w:val="1"/>
                <w:color w:val="auto"/>
              </w:rPr>
            </w:pPr>
          </w:p>
        </w:tc>
      </w:tr>
      <w:tr>
        <w:trPr>
          <w:trHeight w:val="230"/>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inhibitor)</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Zone Lymphoma (MZL)</w:t>
            </w:r>
          </w:p>
        </w:tc>
        <w:tc>
          <w:tcPr>
            <w:tcW w:w="2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Phase 2b trial (UNITY-NHL)</w:t>
            </w:r>
          </w:p>
        </w:tc>
        <w:tc>
          <w:tcPr>
            <w:tcW w:w="0" w:type="dxa"/>
            <w:vAlign w:val="bottom"/>
          </w:tcPr>
          <w:p>
            <w:pPr>
              <w:spacing w:after="0"/>
              <w:rPr>
                <w:sz w:val="1"/>
                <w:szCs w:val="1"/>
                <w:color w:val="auto"/>
              </w:rPr>
            </w:pPr>
          </w:p>
        </w:tc>
      </w:tr>
      <w:tr>
        <w:trPr>
          <w:trHeight w:val="94"/>
        </w:trPr>
        <w:tc>
          <w:tcPr>
            <w:tcW w:w="3240" w:type="dxa"/>
            <w:vAlign w:val="bottom"/>
            <w:tcBorders>
              <w:left w:val="single" w:sz="8" w:color="auto"/>
              <w:right w:val="single" w:sz="8" w:color="auto"/>
            </w:tcBorders>
          </w:tcPr>
          <w:p>
            <w:pPr>
              <w:spacing w:after="0"/>
              <w:rPr>
                <w:sz w:val="8"/>
                <w:szCs w:val="8"/>
                <w:color w:val="auto"/>
              </w:rPr>
            </w:pPr>
          </w:p>
        </w:tc>
        <w:tc>
          <w:tcPr>
            <w:tcW w:w="2940" w:type="dxa"/>
            <w:vAlign w:val="bottom"/>
            <w:tcBorders>
              <w:right w:val="single" w:sz="8" w:color="auto"/>
            </w:tcBorders>
          </w:tcPr>
          <w:p>
            <w:pPr>
              <w:spacing w:after="0"/>
              <w:rPr>
                <w:sz w:val="8"/>
                <w:szCs w:val="8"/>
                <w:color w:val="auto"/>
              </w:rPr>
            </w:pPr>
          </w:p>
        </w:tc>
        <w:tc>
          <w:tcPr>
            <w:tcW w:w="2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2"/>
        </w:trPr>
        <w:tc>
          <w:tcPr>
            <w:tcW w:w="3240" w:type="dxa"/>
            <w:vAlign w:val="bottom"/>
            <w:tcBorders>
              <w:left w:val="single" w:sz="8" w:color="auto"/>
              <w:bottom w:val="single" w:sz="8" w:color="auto"/>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Ublituximab (anti-CD20 mAb)</w:t>
            </w:r>
          </w:p>
        </w:tc>
        <w:tc>
          <w:tcPr>
            <w:tcW w:w="29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Relapsing Forms of Multiple Sclerosis</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8"/>
              </w:rPr>
              <w:t>Phase 3 trials (ULTIMATE I and II)</w:t>
            </w:r>
          </w:p>
        </w:tc>
        <w:tc>
          <w:tcPr>
            <w:tcW w:w="0" w:type="dxa"/>
            <w:vAlign w:val="bottom"/>
          </w:tcPr>
          <w:p>
            <w:pPr>
              <w:spacing w:after="0"/>
              <w:rPr>
                <w:sz w:val="1"/>
                <w:szCs w:val="1"/>
                <w:color w:val="auto"/>
              </w:rPr>
            </w:pPr>
          </w:p>
        </w:tc>
      </w:tr>
      <w:tr>
        <w:trPr>
          <w:trHeight w:val="230"/>
        </w:trPr>
        <w:tc>
          <w:tcPr>
            <w:tcW w:w="3240" w:type="dxa"/>
            <w:vAlign w:val="bottom"/>
            <w:tcBorders>
              <w:left w:val="single" w:sz="8" w:color="auto"/>
              <w:right w:val="single" w:sz="8" w:color="auto"/>
            </w:tcBorders>
          </w:tcPr>
          <w:p>
            <w:pPr>
              <w:spacing w:after="0"/>
              <w:rPr>
                <w:sz w:val="20"/>
                <w:szCs w:val="20"/>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(RMS)</w:t>
            </w:r>
          </w:p>
        </w:tc>
        <w:tc>
          <w:tcPr>
            <w:tcW w:w="2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3240" w:type="dxa"/>
            <w:vAlign w:val="bottom"/>
            <w:tcBorders>
              <w:left w:val="single" w:sz="8" w:color="auto"/>
              <w:bottom w:val="single" w:sz="8" w:color="auto"/>
              <w:right w:val="single" w:sz="8" w:color="auto"/>
            </w:tcBorders>
          </w:tcPr>
          <w:p>
            <w:pPr>
              <w:spacing w:after="0"/>
              <w:rPr>
                <w:sz w:val="8"/>
                <w:szCs w:val="8"/>
                <w:color w:val="auto"/>
              </w:rPr>
            </w:pPr>
          </w:p>
        </w:tc>
        <w:tc>
          <w:tcPr>
            <w:tcW w:w="294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Cosibelimab/TG-1501 (anti-PDL1 mAb)</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c>
          <w:tcPr>
            <w:tcW w:w="0" w:type="dxa"/>
            <w:vAlign w:val="bottom"/>
          </w:tcPr>
          <w:p>
            <w:pPr>
              <w:spacing w:after="0"/>
              <w:rPr>
                <w:sz w:val="1"/>
                <w:szCs w:val="1"/>
                <w:color w:val="auto"/>
              </w:rPr>
            </w:pP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4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TG-1701 (BTK inhibitor)</w:t>
            </w:r>
          </w:p>
        </w:tc>
        <w:tc>
          <w:tcPr>
            <w:tcW w:w="2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c>
          <w:tcPr>
            <w:tcW w:w="0" w:type="dxa"/>
            <w:vAlign w:val="bottom"/>
          </w:tcPr>
          <w:p>
            <w:pPr>
              <w:spacing w:after="0"/>
              <w:rPr>
                <w:sz w:val="1"/>
                <w:szCs w:val="1"/>
                <w:color w:val="auto"/>
              </w:rPr>
            </w:pP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4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0"/>
              </w:rPr>
              <w:t>TG-1801 (anti-CD47/CD19 bispecific mAb)B</w:t>
            </w:r>
          </w:p>
        </w:tc>
        <w:tc>
          <w:tcPr>
            <w:tcW w:w="29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c>
          <w:tcPr>
            <w:tcW w:w="0" w:type="dxa"/>
            <w:vAlign w:val="bottom"/>
          </w:tcPr>
          <w:p>
            <w:pPr>
              <w:spacing w:after="0"/>
              <w:rPr>
                <w:sz w:val="1"/>
                <w:szCs w:val="1"/>
                <w:color w:val="auto"/>
              </w:rPr>
            </w:pP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4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2b and Phase 3 Clinical Trial Updates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are updates from our current Phase 2b and Phase 3 clinical trials:</w:t>
      </w:r>
    </w:p>
    <w:p>
      <w:pPr>
        <w:spacing w:after="0" w:line="194"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8"/>
          <w:szCs w:val="18"/>
          <w:b w:val="1"/>
          <w:bCs w:val="1"/>
          <w:color w:val="auto"/>
        </w:rPr>
        <w:t xml:space="preserve">UNITY-NHL Phase 2b Trial: </w:t>
      </w:r>
      <w:r>
        <w:rPr>
          <w:rFonts w:ascii="Arial" w:cs="Arial" w:eastAsia="Arial" w:hAnsi="Arial"/>
          <w:sz w:val="18"/>
          <w:szCs w:val="18"/>
          <w:color w:val="auto"/>
        </w:rPr>
        <w:t>UNITY-NHL is a broad, multicenter, open-label, Phase 2b registration-directed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designed to evaluate the efficacy and safety of UKONIQ monotherapy and UKONIQ plus ublituximab (U2) combinations in patients with previously treated NHL. There are several exploratory cohorts of the UNITY-NHL trial which are enrolled to and evaluated independently from the others, including cohorts for MZL, FL/SLL, DLBCL, and MCL.</w:t>
      </w:r>
    </w:p>
    <w:p>
      <w:pPr>
        <w:spacing w:after="0" w:line="187" w:lineRule="exact"/>
        <w:rPr>
          <w:sz w:val="20"/>
          <w:szCs w:val="20"/>
          <w:color w:val="auto"/>
        </w:rPr>
      </w:pPr>
    </w:p>
    <w:p>
      <w:pPr>
        <w:jc w:val="both"/>
        <w:ind w:left="1040" w:right="79" w:hanging="315"/>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November 4, 2021, TG abstracts to be presented during the American Society of Hematology (ASH) 2021 annual meeting were made publicly available, which included updates from U2 cohort in patients with relapsed or refractory MZL and an update from the U2 plus bendamustine cohort in relapsed or refractory Diffuse Large B-cell Lymphoma (DLBCL).</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b w:val="1"/>
          <w:bCs w:val="1"/>
          <w:color w:val="auto"/>
        </w:rPr>
        <w:t xml:space="preserve">UNITY-CLL Phase 3 Trial Evaluating UKONIQ plus Ublituximab (U2): </w:t>
      </w:r>
      <w:r>
        <w:rPr>
          <w:rFonts w:ascii="Arial" w:cs="Arial" w:eastAsia="Arial" w:hAnsi="Arial"/>
          <w:sz w:val="18"/>
          <w:szCs w:val="18"/>
          <w:color w:val="auto"/>
        </w:rPr>
        <w:t>UNITY-CLL is a global, multi-center, Phase 3, randomized, controlled clinical trial comparing the U2 combination to an active control arm of obinutuzumab plus chlorambucil in patients with both treatment-naïve and relapsed or refractory CLL. Two additional arms evaluating single-agent ublituximab and single-agent UKONIQ were also enrolled for purposes of evaluating the contribution of each drug in the U2 combination regimen. The primary endpoint for this study was progression-free survival (PFS). The study completed enrollment in October 2017 with over 600 patients across the four treatment arms, with approximately 420 patients enrolled in the U2 and the active control arms combined. This trial was conducted under a Special Protocol Assessment (SPA) with the FDA. The UNITY-CLL trial was led by John Gribben, MD, Professor of Medical Oncology, Barts Cancer Institute, United Kingdom.</w:t>
      </w:r>
    </w:p>
    <w:p>
      <w:pPr>
        <w:spacing w:after="0" w:line="192" w:lineRule="exact"/>
        <w:rPr>
          <w:sz w:val="20"/>
          <w:szCs w:val="20"/>
          <w:color w:val="auto"/>
        </w:rPr>
      </w:pPr>
    </w:p>
    <w:p>
      <w:pPr>
        <w:jc w:val="both"/>
        <w:ind w:left="720" w:right="79" w:hanging="319"/>
        <w:spacing w:after="0" w:line="25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December 7, 2020, we presented safety and efficacy results from the UNITY-CLL trial at the ASH Annual meeting demonstrating that U2 significantly improved PFS over obinutuzumab plus chlorambucil (HR=0.54, p&lt;0.0001) as well as ORR (p&lt;0.001) in patients with CLL, with consistent PFS improvement across treatment naïve CLL (HR=0.48) and relapsed or refractory CLL (HR=0.60). Grade 3/4 adverse events (AEs) of clinical interest (U2 vs Obin+Chl) included elevated ALT (8.3% vs 1.0%), elevated AST (5.3% vs 2.0%), non-infectious colitis (1.9% vs 0%), infectious colitis (0.5% vs 0.5%), pneumonitis (0.5% vs 0%), rash (2.4% vs 0.5%), and opportunistic infections (5.8% vs. 1.5%).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5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data from the UNITY-CLL Phase 3 trial, submissions of a Biologics License Application (BLA) and a supplemental New Drug Application (sNDA) were made for ublituximab, in combination with UKONIQ, as a treatment for patients with CLL and small lymphocytic lymphoma (SLL). The BLA and sNDA have been accepted by the FDA and a Prescription Drug User Fee Act (PDUFA) goal date of March 25, 2022 has been set for both applications.</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b w:val="1"/>
          <w:bCs w:val="1"/>
          <w:color w:val="auto"/>
        </w:rPr>
        <w:t xml:space="preserve">ULTIMATE I &amp; II Trials Evaluating Single-Agent Ublituximab in RMS: </w:t>
      </w:r>
      <w:r>
        <w:rPr>
          <w:rFonts w:ascii="Arial" w:cs="Arial" w:eastAsia="Arial" w:hAnsi="Arial"/>
          <w:sz w:val="17"/>
          <w:szCs w:val="17"/>
          <w:color w:val="auto"/>
        </w:rPr>
        <w:t>ULTIMATE I and ULTIMATE II</w:t>
      </w:r>
      <w:r>
        <w:rPr>
          <w:rFonts w:ascii="Arial" w:cs="Arial" w:eastAsia="Arial" w:hAnsi="Arial"/>
          <w:sz w:val="17"/>
          <w:szCs w:val="17"/>
          <w:b w:val="1"/>
          <w:bCs w:val="1"/>
          <w:color w:val="auto"/>
        </w:rPr>
        <w:t xml:space="preserve"> </w:t>
      </w:r>
      <w:r>
        <w:rPr>
          <w:rFonts w:ascii="Arial" w:cs="Arial" w:eastAsia="Arial" w:hAnsi="Arial"/>
          <w:sz w:val="17"/>
          <w:szCs w:val="17"/>
          <w:color w:val="auto"/>
        </w:rPr>
        <w:t>are two independent Phase 3 trials. Each trial is a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These trials were conducted under a SPA with the FDA. The ULTIMATE I and II trials were led by Lawrence Steinman, MD, Zimmermann Professor of Neurology &amp; Neurological Sciences, and Pediatrics at Stanford University. Full enrollment was completed in October 2018, with approximately 1,100 subjects enrolled in both studies combined.</w:t>
      </w:r>
    </w:p>
    <w:p>
      <w:pPr>
        <w:spacing w:after="0" w:line="176" w:lineRule="exact"/>
        <w:rPr>
          <w:sz w:val="20"/>
          <w:szCs w:val="20"/>
          <w:color w:val="auto"/>
        </w:rPr>
      </w:pPr>
    </w:p>
    <w:p>
      <w:pPr>
        <w:ind w:left="720" w:right="99" w:hanging="319"/>
        <w:spacing w:after="0" w:line="259"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April 2021, data from the ULTIMATE I and II trials were presented at the American Academy of Neurology Annual meeting. Both studies met their primary endpoint with ublituximab treatment demonstrating a statistically significant reduction in annualized relapse rate (ARR) over a 96-week period (p&lt;0.005 in each trial). Key secondary MRI endpoints were also met.</w:t>
      </w:r>
    </w:p>
    <w:p>
      <w:pPr>
        <w:spacing w:after="0" w:line="186" w:lineRule="exact"/>
        <w:rPr>
          <w:rFonts w:ascii="Arial" w:cs="Arial" w:eastAsia="Arial" w:hAnsi="Arial"/>
          <w:sz w:val="18"/>
          <w:szCs w:val="18"/>
          <w:color w:val="auto"/>
        </w:rPr>
      </w:pPr>
    </w:p>
    <w:p>
      <w:pPr>
        <w:ind w:left="720" w:right="23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September 2021, a BLA was submitted to the FDA for ublituximab to treat patients with RMS, based on data from the ULTIMATE I and II Phase 3 trials.</w:t>
      </w:r>
    </w:p>
    <w:p>
      <w:pPr>
        <w:spacing w:after="0" w:line="166" w:lineRule="exact"/>
        <w:rPr>
          <w:sz w:val="20"/>
          <w:szCs w:val="20"/>
          <w:color w:val="auto"/>
        </w:rPr>
      </w:pPr>
    </w:p>
    <w:p>
      <w:pPr>
        <w:jc w:val="both"/>
        <w:ind w:left="60" w:right="59" w:firstLine="648"/>
        <w:spacing w:after="0" w:line="298" w:lineRule="auto"/>
        <w:rPr>
          <w:sz w:val="20"/>
          <w:szCs w:val="20"/>
          <w:color w:val="auto"/>
        </w:rPr>
      </w:pPr>
      <w:r>
        <w:rPr>
          <w:rFonts w:ascii="Arial" w:cs="Arial" w:eastAsia="Arial" w:hAnsi="Arial"/>
          <w:sz w:val="16"/>
          <w:szCs w:val="16"/>
          <w:b w:val="1"/>
          <w:bCs w:val="1"/>
          <w:color w:val="auto"/>
        </w:rPr>
        <w:t xml:space="preserve">ULTRA-V Phase 2/3 Trial Evaluating U2 Plus Venetoclax in CLL: </w:t>
      </w:r>
      <w:r>
        <w:rPr>
          <w:rFonts w:ascii="Arial" w:cs="Arial" w:eastAsia="Arial" w:hAnsi="Arial"/>
          <w:sz w:val="16"/>
          <w:szCs w:val="16"/>
          <w:color w:val="auto"/>
        </w:rPr>
        <w:t>The ULTRA-V Study is being conducted in</w:t>
      </w:r>
      <w:r>
        <w:rPr>
          <w:rFonts w:ascii="Arial" w:cs="Arial" w:eastAsia="Arial" w:hAnsi="Arial"/>
          <w:sz w:val="16"/>
          <w:szCs w:val="16"/>
          <w:b w:val="1"/>
          <w:bCs w:val="1"/>
          <w:color w:val="auto"/>
        </w:rPr>
        <w:t xml:space="preserve"> </w:t>
      </w:r>
      <w:r>
        <w:rPr>
          <w:rFonts w:ascii="Arial" w:cs="Arial" w:eastAsia="Arial" w:hAnsi="Arial"/>
          <w:sz w:val="16"/>
          <w:szCs w:val="16"/>
          <w:color w:val="auto"/>
        </w:rPr>
        <w:t>two parts. The initial Phase 2 portion completed enrollment in 1Q21. The Phase 3 portion commenced at approximately the same time. The ULTRA-V trial is designed to investigate the efficacy and safety of U2 in combination with venetoclax in subjects with treatment-naïve CLL and relapsed or refractory CLL. The ULTRA-V Phase 2 trial is being led by Dr. Richard R. Furman, Morton Coleman, MD Distinguished Professor of Medicine Weill Cornell Medical College.</w:t>
      </w:r>
    </w:p>
    <w:p>
      <w:pPr>
        <w:spacing w:after="0" w:line="158" w:lineRule="exact"/>
        <w:rPr>
          <w:sz w:val="20"/>
          <w:szCs w:val="20"/>
          <w:color w:val="auto"/>
        </w:rPr>
      </w:pPr>
    </w:p>
    <w:p>
      <w:pPr>
        <w:jc w:val="both"/>
        <w:ind w:left="720" w:right="79" w:hanging="319"/>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ULTRA-V Phase 2 portion of the trial is an open-label, multi-center, clinical trial, and the primary endpoints for this study are ORR and Complete Response (CR) rate. This trial completed enrollment with approximately 165 patients.</w:t>
      </w:r>
    </w:p>
    <w:p>
      <w:pPr>
        <w:spacing w:after="0" w:line="183" w:lineRule="exact"/>
        <w:rPr>
          <w:rFonts w:ascii="Arial" w:cs="Arial" w:eastAsia="Arial" w:hAnsi="Arial"/>
          <w:sz w:val="18"/>
          <w:szCs w:val="18"/>
          <w:color w:val="auto"/>
        </w:rPr>
      </w:pPr>
    </w:p>
    <w:p>
      <w:pPr>
        <w:jc w:val="both"/>
        <w:ind w:left="720" w:right="79" w:hanging="319"/>
        <w:spacing w:after="0" w:line="25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ULTRA-V Phase 3 portion of the trial is an open-label, multi-center, randomized, controlled clinical trial comparing the time-limited triple combination of U2 plus venetoclax to an active control arm of continuous U2. The Phase 3 trial includes two independent randomized cohorts of CLL subjects: a treatment-naïve cohort and a previously treated cohort, with each cohort being enrolled and evaluated independently of each other. The primary endpoint for the trial is PFS.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September 30, 2021 and 2020</w:t>
      </w:r>
    </w:p>
    <w:p>
      <w:pPr>
        <w:spacing w:after="0" w:line="189"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i w:val="1"/>
          <w:iCs w:val="1"/>
          <w:color w:val="auto"/>
        </w:rPr>
        <w:t xml:space="preserve">Product Revenues (Net). </w:t>
      </w:r>
      <w:r>
        <w:rPr>
          <w:rFonts w:ascii="Arial" w:cs="Arial" w:eastAsia="Arial" w:hAnsi="Arial"/>
          <w:sz w:val="17"/>
          <w:szCs w:val="17"/>
          <w:color w:val="auto"/>
        </w:rPr>
        <w:t>Net product revenues represent U.S. sales from our sole commercial product, UKONIQ,</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approved by the FDA on February 5, 2021. During the three months ended September 30, 2021, net product revenues were $2.0 million. Sales allowances and accruals consisted of government rebates, patient financial assistance, distribution fees, discounts, and chargebacks. We did not have product revenues in 2020.</w:t>
      </w:r>
    </w:p>
    <w:p>
      <w:pPr>
        <w:spacing w:after="0" w:line="13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i w:val="1"/>
          <w:iCs w:val="1"/>
          <w:color w:val="auto"/>
        </w:rPr>
        <w:t xml:space="preserve">Cost of Product Revenue. </w:t>
      </w:r>
      <w:r>
        <w:rPr>
          <w:rFonts w:ascii="Arial" w:cs="Arial" w:eastAsia="Arial" w:hAnsi="Arial"/>
          <w:sz w:val="18"/>
          <w:szCs w:val="18"/>
          <w:color w:val="auto"/>
        </w:rPr>
        <w:t>Cost of product revenue for the three months ended September 30, 2021 was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product revenue primarily relates to freight and royalties owed to our licensing partner for UKONIQ sales. Based on our policy to expense costs associated with the manufacture of our products prior to regulatory approval, the manufacturing costs of UKONIQ units recognized as revenue during the three months ended September 30, 2021 were expensed prior to the February 5, 2021 FDA approval, and therefore are not included in costs of product revenue during the current period. We expect the cost of product revenue to increase in relation to product revenues as we deplete these inventories and we expect to use the remaining pre-commercialization inventory for product sales through the second quarter of 2022.</w:t>
      </w:r>
    </w:p>
    <w:p>
      <w:pPr>
        <w:spacing w:after="0" w:line="165"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Our license revenues currently consist of license fees arising from our agreement with Ildong.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upfront license fee revenues ratably over the estimated period in which we will have certain significant ongoing responsibilities under the sublicense agreement, with unamortized amounts recorded as deferred revenue. License revenue was approximately $38,000 for each of the three months ended September 30, 2021 and 2020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5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related to equity incentive grants totaled $4.5 million for the three months ended September 30, 2021, as compared to $4.6 million during the comparable period in 2020. The decrease in noncash compensation expense was primarily due to vesting of milestone-based grants in the prior period.</w:t>
      </w:r>
    </w:p>
    <w:p>
      <w:pPr>
        <w:spacing w:after="0" w:line="146"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i w:val="1"/>
          <w:iCs w:val="1"/>
          <w:color w:val="auto"/>
        </w:rPr>
        <w:t xml:space="preserve">Other Research and Development Expenses. </w:t>
      </w:r>
      <w:r>
        <w:rPr>
          <w:rFonts w:ascii="Arial" w:cs="Arial" w:eastAsia="Arial" w:hAnsi="Arial"/>
          <w:sz w:val="18"/>
          <w:szCs w:val="18"/>
          <w:color w:val="auto"/>
        </w:rPr>
        <w:t>Our other research and development expenses consist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Other research and development expenses increased by $1.6 million to $47.4 million for the three months ended September 30, 2021, as compared to $45.8 million for the three months ended September 30, 2020. The increase in R&amp;D expense is primarily attributable to increased headcount and ongoing late-stage clinical development programs</w:t>
      </w:r>
      <w:r>
        <w:rPr>
          <w:rFonts w:ascii="Arial" w:cs="Arial" w:eastAsia="Arial" w:hAnsi="Arial"/>
          <w:sz w:val="17"/>
          <w:szCs w:val="17"/>
          <w:color w:val="auto"/>
        </w:rPr>
        <w:t>, offset by a</w:t>
      </w:r>
      <w:r>
        <w:rPr>
          <w:rFonts w:ascii="Arial" w:cs="Arial" w:eastAsia="Arial" w:hAnsi="Arial"/>
          <w:sz w:val="18"/>
          <w:szCs w:val="18"/>
          <w:color w:val="auto"/>
        </w:rPr>
        <w:t xml:space="preserve"> </w:t>
      </w:r>
      <w:r>
        <w:rPr>
          <w:rFonts w:ascii="Arial" w:cs="Arial" w:eastAsia="Arial" w:hAnsi="Arial"/>
          <w:sz w:val="17"/>
          <w:szCs w:val="17"/>
          <w:color w:val="auto"/>
        </w:rPr>
        <w:t>decrease in license milestones..</w:t>
      </w:r>
    </w:p>
    <w:p>
      <w:pPr>
        <w:spacing w:after="0" w:line="160"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i w:val="1"/>
          <w:iCs w:val="1"/>
          <w:color w:val="auto"/>
        </w:rPr>
        <w:t xml:space="preserve">Noncash Compensation Expense (Selling, General and Administrative). </w:t>
      </w:r>
      <w:r>
        <w:rPr>
          <w:rFonts w:ascii="Arial" w:cs="Arial" w:eastAsia="Arial" w:hAnsi="Arial"/>
          <w:sz w:val="16"/>
          <w:szCs w:val="16"/>
          <w:color w:val="auto"/>
        </w:rPr>
        <w:t>Noncash compensation expense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and administrative) related to equity incentive grants decreased by $14.2 million to $9.5 million for the three months ended September 30, 2021, as compared to $23.7 million for the three months ended September 30, 2020. The decrease in noncash compensation expense was primarily related to greater compensation expense during the three months ended September 30, 2020 related to restricted stock and stock options granted to executive personnel.</w:t>
      </w:r>
    </w:p>
    <w:p>
      <w:pPr>
        <w:spacing w:after="0" w:line="121"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i w:val="1"/>
          <w:iCs w:val="1"/>
          <w:color w:val="auto"/>
        </w:rPr>
        <w:t>Other Selling, General and Administrative Expenses</w:t>
      </w:r>
      <w:r>
        <w:rPr>
          <w:rFonts w:ascii="Arial" w:cs="Arial" w:eastAsia="Arial" w:hAnsi="Arial"/>
          <w:sz w:val="18"/>
          <w:szCs w:val="18"/>
          <w:color w:val="auto"/>
        </w:rPr>
        <w:t>. Our selling, general and administrative expenses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salaries and related expenses for executive, finance, commercial, medical, and other administrative personnel, recruitment expenses, expenses for commercialization activities (including the build out of our medical affairs and commercial organizations and infrastructure), professional fees and other corporate expenses, including investor relations, legal activities and facilities-related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Other selling, general and administrative expenses was $25.4 million for the three months ended September 30, 2021, as compared to $11.6 million for the three months ended September 30, 2020. The increase was due primarily to increased personnel and other selling, general and administrative costs, associated with execution of the launch of UKONIQ and planning for the potential launches of U2 in CLL and ublituximab in RMS. We expect our selling, general and administrative expenses to increase for the remainder of 2021 as we continue to prepare for those potential 2022 launches.</w:t>
      </w:r>
    </w:p>
    <w:p>
      <w:pPr>
        <w:spacing w:after="0" w:line="16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by $0.6 million to $1.0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as compared to $1.6 million for the three months ended September 30, 2020. The decrease is mainly due to greater interest expense related to administrative fees in connection with contract manufacturing costs during the three months ended September 30, 2020.</w:t>
      </w:r>
    </w:p>
    <w:p>
      <w:pPr>
        <w:spacing w:after="0" w:line="14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$0.5 million for the three months ended September 30, 2021, as compared to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2020. The increase is mainly due to greater interest income and an increase in the change in fair value of notes payable for the three months ended September 30, 2021. We expect our other income to remain at a comparable level for the remainder of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Nine months ended September 30, 2021 and 2020</w:t>
      </w:r>
    </w:p>
    <w:p>
      <w:pPr>
        <w:spacing w:after="0" w:line="202"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i w:val="1"/>
          <w:iCs w:val="1"/>
          <w:color w:val="auto"/>
        </w:rPr>
        <w:t xml:space="preserve">Product Revenues (Net). </w:t>
      </w:r>
      <w:r>
        <w:rPr>
          <w:rFonts w:ascii="Arial" w:cs="Arial" w:eastAsia="Arial" w:hAnsi="Arial"/>
          <w:sz w:val="17"/>
          <w:szCs w:val="17"/>
          <w:color w:val="auto"/>
        </w:rPr>
        <w:t>Net product revenues represent U.S. sales from our sole commercial product, UKONIQ,</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approved by the FDA on February 5, 2021. During the nine months ended September 30, 2021, net product revenues were $4.3 million. Sales allowances and accruals consisted of government rebates, patient financial assistance, distribution fees, discounts, and chargebacks. We did not have product revenues in 2020.</w:t>
      </w:r>
    </w:p>
    <w:p>
      <w:pPr>
        <w:spacing w:after="0" w:line="13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i w:val="1"/>
          <w:iCs w:val="1"/>
          <w:color w:val="auto"/>
        </w:rPr>
        <w:t xml:space="preserve">Cost of Product Revenue. </w:t>
      </w:r>
      <w:r>
        <w:rPr>
          <w:rFonts w:ascii="Arial" w:cs="Arial" w:eastAsia="Arial" w:hAnsi="Arial"/>
          <w:sz w:val="18"/>
          <w:szCs w:val="18"/>
          <w:color w:val="auto"/>
        </w:rPr>
        <w:t>Cost of product revenue for the nine months ended September 30, 2021 was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product revenue primarily relates to freight and royalties owed to our licensing partner for UKONIQ sales. Based on our policy to expense costs associated with the manufacture of our products prior to regulatory approval, the manufacturing costs of UKONIQ units recognized as revenue during the nine months ended September 30, 2021 were expensed prior to the February 5, 2021 FDA approval, and therefore are not included in costs of product revenue during the current period. We expect the cost of product revenue to increase in relation to product revenues as we deplete these inventories and we expect to use the remaining pre-commercialization inventory for product sales through the second quarter of 2022.</w:t>
      </w:r>
    </w:p>
    <w:p>
      <w:pPr>
        <w:spacing w:after="0" w:line="15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Our license revenues currently consist of license fees arising from our agreement with Ildong. We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upfront license fee revenues ratably over the estimated period in which we will have certain significant ongoing responsibilities under the sublicense agreement, with unamortized amounts recorded as deferred revenue. License revenue was approximately $114,000 for each of the nine months ended September 30, 2021 and 2020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65"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related to equity incentive grants totaled $19.1 million for the nine months ended September 30, 2021, as compared to $8.1 million during the comparable period in 2020. The increase in noncash compensation expense was primarily due to vesting of milestone-based grants, an increase in research and development personnel and the vesting of grants with a higher stock price during the nine months ended September 30, 2021, as compared to previous periods.</w:t>
      </w:r>
    </w:p>
    <w:p>
      <w:pPr>
        <w:spacing w:after="0" w:line="121"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i w:val="1"/>
          <w:iCs w:val="1"/>
          <w:color w:val="auto"/>
        </w:rPr>
        <w:t xml:space="preserve">Other Research and Development Expenses. </w:t>
      </w:r>
      <w:r>
        <w:rPr>
          <w:rFonts w:ascii="Arial" w:cs="Arial" w:eastAsia="Arial" w:hAnsi="Arial"/>
          <w:sz w:val="18"/>
          <w:szCs w:val="18"/>
          <w:color w:val="auto"/>
        </w:rPr>
        <w:t>Our other research and development expenses consist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242424"/>
        </w:rPr>
        <w:t>Other research and development expenses increased by $26.1 million to $140.9 million for the nine months ended September 30, 2021, as compared to $114.8 million for the nine months ended September 30, 2020. The increase in R&amp;D expense is primarily attributable to consulting fees associated with the submission of our BLA for ublituximab in RMS, the achievement of license milestones, and increased manufacturing costs during the nine months ended September 30, 2021.</w:t>
      </w:r>
    </w:p>
    <w:p>
      <w:pPr>
        <w:spacing w:after="0" w:line="130"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i w:val="1"/>
          <w:iCs w:val="1"/>
          <w:color w:val="auto"/>
        </w:rPr>
        <w:t xml:space="preserve">Noncash Compensation Expense (Selling, General and Administrative). </w:t>
      </w:r>
      <w:r>
        <w:rPr>
          <w:rFonts w:ascii="Arial" w:cs="Arial" w:eastAsia="Arial" w:hAnsi="Arial"/>
          <w:sz w:val="16"/>
          <w:szCs w:val="16"/>
          <w:color w:val="auto"/>
        </w:rPr>
        <w:t>Noncash compensation expense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and administrative) related to equity incentive grants decreased by $10.8 million to $27.9 million for the nine months ended September 30, 2021, as compared to $38.6 million for the nine months ended September 30, 2020. The decrease in noncash compensation expense was primarily related to greater compensation expense during the nine months ended September 30, 2020 related to restricted stock and stock options granted to executive personnel.</w:t>
      </w:r>
    </w:p>
    <w:p>
      <w:pPr>
        <w:spacing w:after="0" w:line="121"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i w:val="1"/>
          <w:iCs w:val="1"/>
          <w:color w:val="auto"/>
        </w:rPr>
        <w:t>Other Selling, General and Administrative Expenses</w:t>
      </w:r>
      <w:r>
        <w:rPr>
          <w:rFonts w:ascii="Arial" w:cs="Arial" w:eastAsia="Arial" w:hAnsi="Arial"/>
          <w:sz w:val="18"/>
          <w:szCs w:val="18"/>
          <w:color w:val="auto"/>
        </w:rPr>
        <w:t>. Our selling, general and administrative expenses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salaries and related expenses for executive, finance, commercial, medical, and other administrative personnel, recruitment expenses, expenses for commercialization activities (including the build out of our medical affairs and commercial organizations and infrastructure), professional fees and other corporate expenses, including investor relations, legal activities and facilities-related expenses.</w:t>
      </w:r>
    </w:p>
    <w:p>
      <w:pPr>
        <w:spacing w:after="0" w:line="147"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Other selling, general and administrative expenses was $67.8 million for the nine months ended September 30, 2021, as compared to $25.4 million for the nine months ended September 30, 2020. The increase was due primarily to increased personnel and other selling, general and administrative costs associated with execution of the launch of UKONIQ and planning for the potential launches of U2 in CLL and ublituximab in RMS. We expect our selling, general and administrative expenses to increase for the remainder of 2021 as we continue to prepare for those potential 2022 launches.</w:t>
      </w:r>
    </w:p>
    <w:p>
      <w:pPr>
        <w:spacing w:after="0" w:line="134"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remained relatively consistent at $4.6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as compared to $5.0 million for the nine months ended September 30, 2020.</w:t>
      </w:r>
    </w:p>
    <w:p>
      <w:pPr>
        <w:spacing w:after="0" w:line="13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$1.6 million for the nine months ended September 30, 2021, as compared to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2020. The increase is mainly due to greater interest income and an increase in the change in fair value of notes payable for the nine months ended September 30, 2021. We expect our other income to remain at a comparable level for the remainder of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In February of 2021, umbralisib, now referred to as UKONIQ, was granted accelerated approval in the United States for the treatment of adult patients with relapsed or refractory MZL who have received at least one prior anti-CD20 based regimen and adult patients with relapsed or refractory FL who have received at least three prior lines of systemic therapy. Commercial sales of UKONIQ commenced in the first quarter of 2021. We have generated limited revenues to date from product sales. Even with the commercialization of UKONIQ and the potential future commercialization of our other drug candidates, we may not become profitable. Our ability to achieve profitability depends on many factors, including our ability to generate revenue, our ability to obtain regulatory approvals for our drug candidates, our ability to successfully complete any post-approval regulatory obligations and our ability to successfully commercialize our drug candidates. We may continue to incur substantial operating losses even as we begin to generate revenues from product sales.</w:t>
      </w:r>
    </w:p>
    <w:p>
      <w:pPr>
        <w:spacing w:after="0" w:line="128" w:lineRule="exact"/>
        <w:rPr>
          <w:sz w:val="20"/>
          <w:szCs w:val="20"/>
          <w:color w:val="auto"/>
        </w:rPr>
      </w:pPr>
    </w:p>
    <w:p>
      <w:pPr>
        <w:ind w:left="60" w:right="99" w:firstLine="492"/>
        <w:spacing w:after="0" w:line="290" w:lineRule="auto"/>
        <w:rPr>
          <w:sz w:val="20"/>
          <w:szCs w:val="20"/>
          <w:color w:val="auto"/>
        </w:rPr>
      </w:pPr>
      <w:r>
        <w:rPr>
          <w:rFonts w:ascii="Arial" w:cs="Arial" w:eastAsia="Arial" w:hAnsi="Arial"/>
          <w:sz w:val="16"/>
          <w:szCs w:val="16"/>
          <w:color w:val="auto"/>
        </w:rPr>
        <w:t>As of September 30, 2021, we had $381.4 million in cash and cash equivalents, and investment securities. We anticipate that our cash and cash equivalents, and investment securities as of September 30, 2021 will provide sufficient liquidity for more than a twelve-month period from the date of filing this Quarterly Report on Form 10Q. The actual amount of cash that we will need to operate is subject to many factors, including, but not limited to, our UKONIQ commercialization efforts, preparations for the commercialization of our other drug candidates, and the timing, design and conduct of clinical trials for our drug candidates. We are dependent upon significant future financing to provide the cash necessary to execute our ongoing and future operations, including the commercialization of any additional drug candidates. In addition, we may in-license additional compounds that may require upfront fees and milestone payments.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Discussion of Cash Flows</w:t>
      </w:r>
    </w:p>
    <w:p>
      <w:pPr>
        <w:spacing w:after="0" w:line="202" w:lineRule="exact"/>
        <w:rPr>
          <w:sz w:val="20"/>
          <w:szCs w:val="20"/>
          <w:color w:val="auto"/>
        </w:rPr>
      </w:pPr>
    </w:p>
    <w:p>
      <w:pPr>
        <w:jc w:val="both"/>
        <w:ind w:left="60" w:right="59" w:firstLine="492"/>
        <w:spacing w:after="0" w:line="301" w:lineRule="auto"/>
        <w:rPr>
          <w:sz w:val="20"/>
          <w:szCs w:val="20"/>
          <w:color w:val="auto"/>
        </w:rPr>
      </w:pPr>
      <w:r>
        <w:rPr>
          <w:rFonts w:ascii="Arial" w:cs="Arial" w:eastAsia="Arial" w:hAnsi="Arial"/>
          <w:sz w:val="16"/>
          <w:szCs w:val="16"/>
          <w:color w:val="auto"/>
        </w:rPr>
        <w:t>Cash used in operating activities for the nine months ended September 30, 2021 was $208.7 million as compared to $162.5 million for the nine months ended September 30, 2020. The increase in cash used in operating activities was due primarily to increased expenditures associated with execution of the launch of UKONIQ, our scale-up for manufacturing, ongoing clinical development programs and paydown of accounts payable and accrued expenses.</w:t>
      </w:r>
    </w:p>
    <w:p>
      <w:pPr>
        <w:spacing w:after="0" w:line="117"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Net cash used in investing activities for the nine months ended September 30, 2021, was $3.6 million as compared to cash provided by investing activities of $27.6 million for the nine months ended September 30, 2020. The increase in net cash used in investing activities was primarily due to greater investment in short-term and long-term securities during the nine months ended September 30, 2021.</w:t>
      </w:r>
    </w:p>
    <w:p>
      <w:pPr>
        <w:spacing w:after="0" w:line="146" w:lineRule="exact"/>
        <w:rPr>
          <w:sz w:val="20"/>
          <w:szCs w:val="20"/>
          <w:color w:val="auto"/>
        </w:rPr>
      </w:pPr>
    </w:p>
    <w:p>
      <w:pPr>
        <w:jc w:val="both"/>
        <w:ind w:left="60" w:right="79" w:firstLine="492"/>
        <w:spacing w:after="0" w:line="259" w:lineRule="auto"/>
        <w:rPr>
          <w:sz w:val="20"/>
          <w:szCs w:val="20"/>
          <w:color w:val="auto"/>
        </w:rPr>
      </w:pPr>
      <w:r>
        <w:rPr>
          <w:rFonts w:ascii="Arial" w:cs="Arial" w:eastAsia="Arial" w:hAnsi="Arial"/>
          <w:sz w:val="18"/>
          <w:szCs w:val="18"/>
          <w:color w:val="auto"/>
        </w:rPr>
        <w:t>Net cash used in financing activities for the nine months ended September 30, 2021, was $14.6 million as compared to cash provided by financing activities of $276.4 million for the nine months ended September 30, 2020. The period ended September 30, 2020 included proceeds from the issuance of common stock as part of our underwritten public offering in May 2020 and our ATM program.</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ATM Program</w:t>
      </w:r>
    </w:p>
    <w:p>
      <w:pPr>
        <w:spacing w:after="0" w:line="18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 The 2021 ATM has replaced the 2020 ATM as the only active ATM program.</w:t>
      </w:r>
    </w:p>
    <w:p>
      <w:pPr>
        <w:spacing w:after="0" w:line="14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Financings</w:t>
      </w:r>
    </w:p>
    <w:p>
      <w:pPr>
        <w:spacing w:after="0" w:line="18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May 2020, we completed an underwritten public offering of 8,500,000 shares of our common stock (plus an underwriter option to purchase up to an additional 1,275,000 shares of common stock, which was exercised) at a price of $18 per share. Net proceeds from this offering, including the overallotment, were approximately $165.1 million, net of underwriting discounts and offering expenses of approximately $10.8 million.</w:t>
      </w:r>
    </w:p>
    <w:p>
      <w:pPr>
        <w:spacing w:after="0" w:line="17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On December 17, 2020, we completed a public offering of 6,320,000 shares of our common stock (plus a 30-day underwriter overallotment option to purchase up to an additional 948,000 shares of common stock, which was exercised) at a price of $43.50 per share. Net proceeds from this offering, including the overallotment, were approximately $297.2 million after underwriting discounts and offering expenses of approximately $19.0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ACCOUNTING ESTIMATES</w:t>
      </w:r>
    </w:p>
    <w:p>
      <w:pPr>
        <w:spacing w:after="0" w:line="202"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2020 Annual Report on Form 10-K, and refer to Note 1 in this Quarterly Report on Form 10-Q for significant accounting policies due to commercialization for revenue recognition, gross-to-net sales adjustments, accounts receivable, inventory, and cost of product revenue.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5 – Stockholders’ Equity" and "Note 4 - Fair Value Measurements," respectively, for more information.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jc w:val="both"/>
        <w:ind w:left="60" w:right="59" w:firstLine="564"/>
        <w:spacing w:after="0" w:line="263" w:lineRule="auto"/>
        <w:rPr>
          <w:sz w:val="20"/>
          <w:szCs w:val="20"/>
          <w:color w:val="auto"/>
        </w:rPr>
      </w:pPr>
      <w:r>
        <w:rPr>
          <w:rFonts w:ascii="Arial" w:cs="Arial" w:eastAsia="Arial" w:hAnsi="Arial"/>
          <w:sz w:val="18"/>
          <w:szCs w:val="18"/>
          <w:color w:val="auto"/>
        </w:rPr>
        <w:t>Refer to "Note 1 - Organization and Summary of Significant Accounting Policies” in the Notes to Unaudited Condensed Consolidated Financial Statements for a discussion of recently issued accounting pronouncements, and their expected impact on our financial position and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9" w:firstLine="492"/>
        <w:spacing w:after="0" w:line="342" w:lineRule="auto"/>
        <w:rPr>
          <w:sz w:val="20"/>
          <w:szCs w:val="20"/>
          <w:color w:val="auto"/>
        </w:rPr>
      </w:pPr>
      <w:r>
        <w:rPr>
          <w:rFonts w:ascii="Arial" w:cs="Arial" w:eastAsia="Arial" w:hAnsi="Arial"/>
          <w:sz w:val="16"/>
          <w:szCs w:val="16"/>
          <w:color w:val="auto"/>
        </w:rPr>
        <w:t>Our exposure to market risk has not changed materially since our disclosure in Item 7A, "Quantitative and Qualitative Disclosures About Market Risk" in our Annual Report on Form 10-K for the year ended December 31,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September 30, 2021,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2021, our disclosure controls and procedures were effective.</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September 30, 2021 that materially affected, or are reasonably likely to materially affect, our internal control over financial reporting.</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Additionally, many of these risks and uncertainties are currently elevated by and may or will continue to be elevated by the COVID-19 pandemic.</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02" w:lineRule="exact"/>
        <w:rPr>
          <w:sz w:val="20"/>
          <w:szCs w:val="20"/>
          <w:color w:val="auto"/>
        </w:rPr>
      </w:pPr>
    </w:p>
    <w:p>
      <w:pPr>
        <w:jc w:val="both"/>
        <w:ind w:left="60" w:right="59" w:firstLine="693"/>
        <w:spacing w:after="0" w:line="263" w:lineRule="auto"/>
        <w:rPr>
          <w:sz w:val="20"/>
          <w:szCs w:val="20"/>
          <w:color w:val="auto"/>
        </w:rPr>
      </w:pPr>
      <w:r>
        <w:rPr>
          <w:rFonts w:ascii="Arial" w:cs="Arial" w:eastAsia="Arial" w:hAnsi="Arial"/>
          <w:sz w:val="18"/>
          <w:szCs w:val="18"/>
          <w:b w:val="1"/>
          <w:bCs w:val="1"/>
          <w:i w:val="1"/>
          <w:iCs w:val="1"/>
          <w:color w:val="auto"/>
        </w:rPr>
        <w:t>If UKONIQ, or any product candidate for which we in the future obtain regulatory approval, does not achieve broad market acceptance among physicians, patients, healthcare payors, and the medical community, the revenues that we generate from product sales will be limited.</w:t>
      </w:r>
    </w:p>
    <w:p>
      <w:pPr>
        <w:spacing w:after="0" w:line="143"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one marketed product, UKONIQ, which received accelerated approval from the FDA on February 5, 2021 for the treatment of relapsed or refractory MZL in adult patients who have received at least one prior anti-CD20-based regimen and relapsed or refractory FL in adult patients who have received at least three prior lines of systemic therapy. In addition, the FDA accepted our BLA and sNDA requesting approval of ublituximab in combination with UKONIQ as a treatment for patients with CLL/SLL and set a Prescription Drug User Fee Act (PDUFA) goal date of March 25, 2022 for the BLA and sNDA, and on September 30, 2021, we announced the submission of a BLA for ublituximab for the treatment of relapsing forms of multiple sclerosis (RMS).</w:t>
      </w:r>
    </w:p>
    <w:p>
      <w:pPr>
        <w:spacing w:after="0" w:line="13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While we have initiated the commercial launch of UKONIQ in the U.S. and have started internal planning for potential commercialization of ublituximab, we have limited experience as a commercial company and our ability to successfully overcome the risks associated with commercializing drugs in the biopharmaceutical industry, including the risk that our products do not achieve an adequate level of acceptance, remains uncertain. UKONIQ as well as other drugs that we may bring to the market in the future, including ublituximab, may not gain market acceptance by physicians, patients, third-party payors and others in the healthcare community. If our products do not achieve an adequate level of acceptance, we may not generate significant revenues or meet our revenue projections or guidance, and we may not become profitable. The degree of market acceptance of UKONIQ, as well as any future product candidates for which we obtain approval, will depend on a number of factors, including: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8"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our receipt of marketing approvals, the terms of such approvals, and the countries in which such approvals are obtained;</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 and as compared to alternative treatments;</w:t>
      </w: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market introduction of any of our product candidates as well as competitive products;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and other aspects of the approved labeling for such products;</w:t>
      </w: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or neurology clinics, and patients of our products as safe, tolerable and effective treatments;</w:t>
      </w:r>
    </w:p>
    <w:p>
      <w:pPr>
        <w:ind w:left="1040" w:hanging="315"/>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potential and perceived advantages or disadvantages of our products compared to alternative treatments;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third-party payors and government authorities;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of patient cost-sharing obligations, including copays and deductibles;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favorable or unfavorable publicity relating to our products or relating to the Company.</w:t>
      </w:r>
    </w:p>
    <w:p>
      <w:pPr>
        <w:spacing w:after="0" w:line="21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COVID-19 pandemic continues to present a substantial global public health and economic challenge. The measures to control the virus’s spread have impacted our approach to the commercial launch of UKONIQ and may impact our ability to successfully launch ublituximab, if approved. We initiated commercial sales of UKONIQ in February 2021 in an environment in which the measures taken by state and local governments as well as hospitals and oncology clinics to control the spread of COVID-19 significantly limited our opportunities for in-person interactions, including for example, interactions with physicians, hospitals, payors, and other customers at medical congresses. As a result of COVID-19 variants, many of the interactions our field personnel have with healthcare providers and other customers continue to be virtual. We cannot ensure that remote methods will be effective or as effective as in-person interactions. Other factors related to the COVID-19 pandemic that could impact the ongoing launch and potential future launches include delays in demand due to a reduction in medical visits by patients, impacts on the healthcare system and overall economy and increases in the number of uninsured or underinsured patients. In addition, our office-based employees, consultants, vendors and certain customer segments are continuing to work remotely and many of our commercialization efforts are happening virtually. The length of time and full extent to which the COVID-19 pandemic directly or indirectly impacts our commercialization efforts depend on future developments that are highly uncertain, subject to change and are difficult to predict, including, whether, even after pandemic-related restrictions ease, there is a shift in how pharmaceutical field representatives interact with healthcare providers that could have a negative effect on our future business and operations. For a discussion of additional pandemic-related risks to our business, see below under the heading “</w:t>
      </w:r>
      <w:r>
        <w:rPr>
          <w:rFonts w:ascii="Arial" w:cs="Arial" w:eastAsia="Arial" w:hAnsi="Arial"/>
          <w:sz w:val="17"/>
          <w:szCs w:val="17"/>
          <w:b w:val="1"/>
          <w:bCs w:val="1"/>
          <w:u w:val="single" w:color="auto"/>
          <w:color w:val="auto"/>
        </w:rPr>
        <w:t>Risks Related to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COVID-19 Pandemic</w:t>
      </w:r>
      <w:r>
        <w:rPr>
          <w:rFonts w:ascii="Arial" w:cs="Arial" w:eastAsia="Arial" w:hAnsi="Arial"/>
          <w:sz w:val="17"/>
          <w:szCs w:val="17"/>
          <w:color w:val="auto"/>
        </w:rPr>
        <w:t>”.</w:t>
      </w:r>
    </w:p>
    <w:p>
      <w:pPr>
        <w:spacing w:after="0" w:line="190"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If UKONIQ or any future products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limitations on the indicated uses or requirements to fulfill certain post-marketing requirements to the satisfaction of regulatory authorities or may be unable to maintain marketing approval for UKONIQ or future products that we may bring to market.</w:t>
      </w:r>
    </w:p>
    <w:p>
      <w:pPr>
        <w:spacing w:after="0" w:line="184"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Regulatory approvals for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With respect to the FDA’s approval of UKONIQ for relapsed or refractory MZL and FL, we received accelerated approval and are subject to certain post-approval requirements. For example, we will need to conduct a confirmatory clinical trial, which will involve a Phase 3 trial that may be expensive and time-consuming and may not confirm the benefit making the MZL and FL indications for UKONIQ subject to withdrawal of continued approval by the FDA, which could significantly harm our business. In addition, we will need to conduct additional clinical studies to address post-marketing commitments and post-marketing requirements related to further assessing the drug-drug interaction profile of UKONIQ and its safety, efficacy, and pharmacokinetic properties in certain at-risk populations. These studies are highly specialized in their design and conduct and are associated with considerable expenses, and based on the outcome, could result in further labeling restrictions that could impair or restrict the way in which we are able to market UKONIQ, or negatively impact its overall clinical profile.</w:t>
      </w:r>
    </w:p>
    <w:p>
      <w:pPr>
        <w:spacing w:after="0" w:line="185"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with respect to UKONIQ, and any product candidate that the FDA or a comparable foreign regulatory authority approves, the manufacturing processes,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or GMPs, with Good Clinical Practices, or GCPs, for any clinical trials that we conduct post-approval, and with Good Laboratory Practices, or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68"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UKONIQ, and any of our product candidates for which we in the future obtain approval, may after approval be found to cause undesirable side effects that could result in significant negative consequences following commercialization.</w:t>
      </w:r>
    </w:p>
    <w:p>
      <w:pPr>
        <w:spacing w:after="0" w:line="10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As UKONIQ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UKONIQ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UKONIQ or our product candidates following introduction into the market, a number of potentially significant negative consequences could result, including:</w:t>
      </w:r>
    </w:p>
    <w:p>
      <w:pPr>
        <w:spacing w:after="0" w:line="166" w:lineRule="exact"/>
        <w:rPr>
          <w:sz w:val="20"/>
          <w:szCs w:val="20"/>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products;</w:t>
      </w:r>
    </w:p>
    <w:p>
      <w:pPr>
        <w:spacing w:after="0" w:line="23"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1040" w:right="79" w:hanging="315"/>
        <w:spacing w:after="0" w:line="265"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ind w:left="1040" w:hanging="315"/>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products; and</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UKONIQ and our product candidates have not been established with precision. If the market opportunities for UKONIQ and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precise incidence and/or prevalence of relapsed or refractory MZL after one prior anti-CD20-based regimen, relapsed or refractory FL after three prior lines of systemic therapy, CLL, and relapsing forms of MS are unknown. Our projections of both the number of patients within our FDA-approved indications for UKONIQ and target indications for U2 in CLL/SLL and ublituximab in MS, as well as the subset of these patients who have the potential to benefit from treatment with our products, are based on estimates. These estimates are typically based on one on 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8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total addressable market opportunity for UKONIQ in MZL and FL, U2 in CLL/SLL, and ublituximab in MS will ultimately depend upon, among other things, the scope of the final approved indication and other elements of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9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the cancer indications for which we received FDA approval of UKONIQ or for which we are developing our product candidates, there are a number of established therapies with which we will compete:</w:t>
      </w:r>
    </w:p>
    <w:p>
      <w:pPr>
        <w:spacing w:after="0" w:line="170" w:lineRule="exact"/>
        <w:rPr>
          <w:sz w:val="20"/>
          <w:szCs w:val="20"/>
          <w:color w:val="auto"/>
        </w:rPr>
      </w:pPr>
    </w:p>
    <w:p>
      <w:pPr>
        <w:jc w:val="both"/>
        <w:ind w:left="1040" w:right="79" w:hanging="315"/>
        <w:spacing w:after="0" w:line="25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treatment of MZL, we expect UKONIQ to compete with zanubrutinib (BeiGene), ibrutinib (AbbVie and Janssen), and the combination of rituximab and lenalidomide (Bristol-Myers Squibb), as well as established treatments such as rituximab (Roche) and several generically available chemotherapies. In addition, there are investigational PI3K inhibitors being developed in MZL.</w:t>
      </w:r>
    </w:p>
    <w:p>
      <w:pPr>
        <w:spacing w:after="0" w:line="2"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the treatment of FL, we expect UKONIQ to compete with recently approved drugs such as axicabtagene ciloleucel (Gilead), obinutuzumab (Roche), idelalisib (Gilead), copanlisib (Bayer), duvelisib (Verastem), tazemetostat (Epizyme), and the combination of rituximab and lenalidomide (Bristol-Myers Squibb), and established treatments such as rituximab (Roche), and several generically available chemotherapies, many of which have FDA-approved indications for earlier lines of therapy (e.g., after two prior lines of systemic therapy) than UKONIQ. There are also several PI3K delta inhibitors in earlier stages of development for FL.</w:t>
      </w:r>
    </w:p>
    <w:p>
      <w:pPr>
        <w:spacing w:after="0" w:line="3"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the treatment of CLL, if U2 is approved, we expect the regimen to compete with recently approved drugs such as ibrutinib (AbbVie and Janssen), acalabrutinib (AstraZeneca), venetoclax (AbbVie and Roche), obinutuzumab (Roche), idelalisib (Gilead) and duvelisib (Verastem), and established treatments such as rituximab (Roche), and several generically available chemotherapies. Additionally, there are second generation BTK inhibitors similar to ibrutinib in late-stage clinical testing for CLL that could enter the market in the next 12-36 months. These agents can be used as monotherapy or in combination with one or more of the other agents.</w:t>
      </w:r>
    </w:p>
    <w:p>
      <w:pPr>
        <w:spacing w:after="0" w:line="2" w:lineRule="exact"/>
        <w:rPr>
          <w:rFonts w:ascii="Arial" w:cs="Arial" w:eastAsia="Arial" w:hAnsi="Arial"/>
          <w:sz w:val="18"/>
          <w:szCs w:val="18"/>
          <w:color w:val="auto"/>
        </w:rPr>
      </w:pPr>
    </w:p>
    <w:p>
      <w:pPr>
        <w:jc w:val="both"/>
        <w:ind w:left="1040" w:right="79" w:hanging="315"/>
        <w:spacing w:after="0" w:line="253"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UKONIQ.</w:t>
      </w:r>
    </w:p>
    <w:p>
      <w:pPr>
        <w:spacing w:after="0" w:line="193"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jc w:val="both"/>
        <w:ind w:left="1040" w:right="79" w:hanging="315"/>
        <w:spacing w:after="0" w:line="259"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ublituximab is approved, we expect ublituximab will primarily compete against other CD20-targeted agents, while the group of CD20-targeted agents will also compete broadly against a number of already approved MS therapies. Currently, there are two anti-CD20 monoclonal antibodies approved, ocrelizumab (Roche) and ofatumumab (Novartis).</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in the same therapeutic class as each of those drugs.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7"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We will also face competition from these third parties in recruiting and retaining qualified personnel, establishing clinical trial sites, patient registration for clinical trials, and in identifying and in-licensing new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UKONIQ, as well as any products that we are able to commercialize in the future, may become subject to unfavorable pricing regulations or third-party payor coverage and reimbursement policies, which would harm our business.</w:t>
      </w:r>
    </w:p>
    <w:p>
      <w:pPr>
        <w:spacing w:after="0" w:line="1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In addition, if we are successful in obtaining FDA approval for ublituximab for the treatment of CLL/SLL and MS, we will need to identify and execute a pricing strategy that takes into account the value of the product in each indication independently to realize the product’s full potential in both indications. If we are unable to identify and execute such a strategy, the pricing of ublituximab across indications may not be optimal, which may have a material adverse impact on the sales in one or both of the indications and on our overall business.</w:t>
      </w:r>
    </w:p>
    <w:p>
      <w:pPr>
        <w:spacing w:after="0" w:line="180"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payer-driven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9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If, in the future, we are unable to expand our commercial operation, including sales and marketing capabilities or enter into agreements with third parties to sell and market our drug candidates, we may not be successful in commercializing our product candidates if and when they are approved, and we may not be able to generate any revenue.</w:t>
      </w:r>
    </w:p>
    <w:p>
      <w:pPr>
        <w:spacing w:after="0" w:line="13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have made and continue to make significant investments in our commercial organization and infrastructure. We have hired and continue to hire marketing, sales, and medical support personnel and have built processes and systems to support the commercialization of UKONIQ in the U.S. We are expanding our commercialization team and infrastructure in planning for the potential commercial launches of U2 in CLL/SLL and ublituximab in MS prior to knowing whether the FDA will accept or approve the necessary regulatory submissions. It is possible that either or both FDA approvals are unexpectedly delayed or are not received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There are risks involved with establishing our own sales, marketing, and other commercialization capabilities. For example, recruiting and training a sales force are expensive and time-consuming and could delay any drug launch. If the commercial launch of a product candidate (e.g., U2 in CLL/SLL or ublituximab in MS)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Factors that may inhibit our efforts to commercialize UKONIQ and our product candidates on our own and generate product revenues include:</w:t>
      </w:r>
    </w:p>
    <w:p>
      <w:pPr>
        <w:spacing w:after="0" w:line="170"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040" w:right="79" w:hanging="315"/>
        <w:spacing w:after="0" w:line="265"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and time associated with the initial and ongoing training of sales and marketing personnel on the applicable disease states, products, competitors, and legal and regulatory compliance matters;</w:t>
      </w:r>
    </w:p>
    <w:p>
      <w:pPr>
        <w:ind w:left="1040" w:right="79" w:hanging="315"/>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to effectively promote UKONIQ or any future drugs;</w:t>
      </w:r>
    </w:p>
    <w:p>
      <w:pPr>
        <w:ind w:left="1040" w:right="79" w:hanging="315"/>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ind w:left="1040" w:right="79" w:hanging="315"/>
        <w:spacing w:after="0" w:line="250"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a healthcare compliance program including effective mechanisms for compliance monitoring; and</w:t>
      </w: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sales and marketing organization.</w:t>
      </w:r>
    </w:p>
    <w:p>
      <w:pPr>
        <w:spacing w:after="0" w:line="211"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the future, we may choose to participate in sales activities with collaborators for some of our product candidates if and when they are approved.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 candidates that we develop ourselves. In addition,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are also planning for expansion into certain European markets. Building and maintaining an infrastructure outside the United States is expensive, complex, resource intensive and time consuming. Like the situation described above in the U.S., we will need to establish our infrastructure in planning for the potential commercial launches in Europe prior to knowing whether the regulatory authorities will accept or approve the regulatory submissions or approve any of our products at an appropriate price. In either case we will incur delays that may impede or significantly delay our ability to generate revenue in those international markets and at the same time will incur significant expenses. If this were to occur, it would have a material adverse effect on the Company.</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an even greater risk in connection with the commercialization of UKONIQ and any other product candidates for which we may receive marketing authorization in the future. If we cannot successfully defend ourselves against claims that UKONIQ or our product candidates caused injuries, we could incur substantial liabilities. Regardless of merit or eventual outcome, liability claims may result in:</w:t>
      </w:r>
    </w:p>
    <w:p>
      <w:pPr>
        <w:spacing w:after="0" w:line="188"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products that we may commercialize;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1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0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undertaking pre-clinical studies and clinical trials, commercializing our only marketed product UKONIQ, which received FDA approval in February 2021, and preparing for potential commercialization of ublituximab. We are transitioning from a company with a research and development focus to a company capable of supporting commercial activities. We may not be successful in such a transition.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Since inception, we have focused our efforts and financial resources on clinical trials, manufacturing of our drug candidates, and preparing to support a commercial product. To date, we have financed our operations primarily through public offerings of our common stock and a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Other than the FDA approval of UKONIQ, we have not obtained marketing approval for any of our product candidates, which are in preclinical or clinical development stages. We expect to continue to incur significant research and development expenses in connection with continuing our existing clinical trials and beginning additional clinical trials. In addition, we expect to continue to incur significant sales, marketing and outsourced-manufacturing expenses as we commercialize UKONIQ and plan for the possible commercialization of ublituximab in CLL/SLL and RMS, if approved.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7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To date, we have not generated any significant revenue from our product sales, and it is uncertain when and if we will generate any significant revenue from the sale of our products in the future. Furthermore, no assurance can be given that we will meet revenue projections or guidance. To obtain significant and sustained revenues and meet our revenue projections or guidance, we must succeed, either alone or with others, in (i) developing and obtaining regulatory approval for our product candidates, including ublituximab, and for additional indications of UKONIQ; and (ii) manufacturing and marketing our products and product candidates. Accordingly, we do not expect to generate significant and sustained revenue unless and until we obtain marketing approval of ublituximab and additional indications of UKONIQ and/or one of our other product candidates. Our ability to generate significant and sustained revenue or meet revenue projections or guidance depends on a number of factors, including, but not limited to, our ability to:</w:t>
      </w:r>
    </w:p>
    <w:p>
      <w:pPr>
        <w:spacing w:after="0" w:line="166" w:lineRule="exact"/>
        <w:rPr>
          <w:sz w:val="20"/>
          <w:szCs w:val="20"/>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product candidates;</w:t>
      </w:r>
    </w:p>
    <w:p>
      <w:pPr>
        <w:jc w:val="both"/>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product candidates, including ublituximab in CLL /SLL and RMS, and maintain FDA approval of UKONIQ for relapsed or refractory MZL and FL;</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commercial manufacturing capabilities with third parties that are satisfactory to the regulatory authorities, cost effective, and that are capable of providing commercial supply of our product candidates, or, in the case of UKONIQ, maintain these capabilities;</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on our commercial infrastructure to commercialize ublituximab, our other product candidates, and additional indications of UKONIQ, if approved, by increasing the size of our sales force and commercialization infrastructure and/or entering into collaborations with third parties; and</w:t>
      </w:r>
    </w:p>
    <w:p>
      <w:pPr>
        <w:spacing w:after="0" w:line="1"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 market acceptance of UKONIQ and our product candidates, if approved, in the medical community and with third-party payors.</w:t>
      </w:r>
    </w:p>
    <w:p>
      <w:pPr>
        <w:spacing w:after="0" w:line="18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4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development of pharmaceuticals is capital-intensive. We are currently advancing our most advanced drug candidates, ublituximab, cosibelimab, TG-1701 and TG-1801, and UKONIQ for additional indications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seek marketing approval for, and expand our infrastructure to commercialize our product candidates and additional indications of UKONIQ. Moreover, in anticipation of potential regulatory approvals for UKONIQ and ublituximab in CLL/SLL and for ublituximab in RMS, we will need to expend substantial resources on manufacturing and BLA support over the next 12 to 18 months, which could exceed any cost savings associated with lower clinical trial expenses during the same period.</w:t>
      </w:r>
    </w:p>
    <w:p>
      <w:pPr>
        <w:spacing w:after="0" w:line="18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70" w:lineRule="exact"/>
        <w:rPr>
          <w:sz w:val="20"/>
          <w:szCs w:val="20"/>
          <w:color w:val="auto"/>
        </w:rPr>
      </w:pPr>
    </w:p>
    <w:p>
      <w:pPr>
        <w:ind w:left="1040" w:right="79" w:hanging="315"/>
        <w:spacing w:after="0" w:line="258"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relating to the COVID-19 pandemic in the U.S. and around the world;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and product candidate;</w:t>
      </w: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expanding our sales, distribution, and other commercialization capabilities;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the commercialization of UKONIQ and any product candidates, if approved;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including licensing and other arrangements;</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might be unable to complete planned preclinical studies and clinical trials or obtain approval of any of our product candidates from the FDA or any foreign regulatory authorities. In addition, we could be forced to discontinue product development, reduce or forego sales, marketing and medical educational efforts that are required for successful commercialization of UKONIQ, ublituximab (if approved), or any of our other product candidates and otherwise forego attractive business opportunities. Any additional sources of financing will likely involve the issuance of our equity securities, which would have a dilutive effect to stockholders. Currently, other than UKONIQ, our products are investigational and have not been approved by the FDA or any foreign regulatory authority for sale. Therefore, for the foreseeable future, we will have to fund all of our operations and capital expenditures from sales of UKONIQ in the U.S.,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6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“Risks Related to Our Indebtedness”.</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All commercialization and product candidate development timelines and projections in this report are based on the assumption of further financing.</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our commercialization efforts and the development of our product candidates. In the event we do not successfully raise subsequent financing, our commercialization and product development activities will necessarily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candidates as anticipated will have a negative effect on our business, future prospects, and ability to obtain further financing on acceptable terms, if at all, and the value of the enterprise.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February 2019, we entered into a Loan and Security Agreement (the Loan Agreement), with Hercules Capital, Inc., a Maryland corporation (Hercules) (see Note 6 to our consolidated financial statements for more information). Under the Loan Agreement, Hercules will provide access to term loans with an aggregate principal amount of up to $60.0 million (the Term Loan). Concurrently with the closing of the Loan Agreement, we borrowed an initial tranche of $30.0 million. As of September 30, 2021, we had outstanding obligations of $16.0 million under the Loan Agreement. In addition, we have short-term liabilities of approximately $10.9 million with a contract manufacturing organization (CMO) for the scale-up, tech-transfer, and long-term supply of one of our drug candidates. To date, this CMO has provided payment terms which we believe are reasonable. No assurance can be given that such terms will continue to be available to us in the future.</w:t>
      </w:r>
    </w:p>
    <w:p>
      <w:pPr>
        <w:spacing w:after="0" w:line="19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71" w:lineRule="exact"/>
        <w:rPr>
          <w:sz w:val="20"/>
          <w:szCs w:val="20"/>
          <w:color w:val="auto"/>
        </w:rPr>
      </w:pPr>
    </w:p>
    <w:p>
      <w:pPr>
        <w:jc w:val="both"/>
        <w:ind w:left="1040" w:right="79" w:hanging="315"/>
        <w:spacing w:after="0" w:line="25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2" w:lineRule="exact"/>
        <w:rPr>
          <w:rFonts w:ascii="Arial" w:cs="Arial" w:eastAsia="Arial" w:hAnsi="Arial"/>
          <w:sz w:val="18"/>
          <w:szCs w:val="18"/>
          <w:color w:val="auto"/>
        </w:rPr>
      </w:pPr>
    </w:p>
    <w:p>
      <w:pPr>
        <w:jc w:val="both"/>
        <w:ind w:left="1040" w:right="79" w:hanging="315"/>
        <w:spacing w:after="0" w:line="255"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Failure to satisfy our current and future debt obligations under the Loan Agreement, or the breach of any of its covenants,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308" w:lineRule="auto"/>
        <w:rPr>
          <w:sz w:val="20"/>
          <w:szCs w:val="20"/>
          <w:color w:val="auto"/>
        </w:rPr>
      </w:pPr>
      <w:r>
        <w:rPr>
          <w:rFonts w:ascii="Arial" w:cs="Arial" w:eastAsia="Arial" w:hAnsi="Arial"/>
          <w:sz w:val="17"/>
          <w:szCs w:val="17"/>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46" w:lineRule="exact"/>
        <w:rPr>
          <w:sz w:val="20"/>
          <w:szCs w:val="20"/>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175"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b w:val="1"/>
          <w:bCs w:val="1"/>
          <w:i w:val="1"/>
          <w:iCs w:val="1"/>
          <w:color w:val="auto"/>
        </w:rPr>
        <w:t>If we are unable to obtain regulatory approval for our product candidates and ultimately cannot commercialize one or more of them, or experience significant delays in doing so, our business will be materially harmed.</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6"/>
          <w:szCs w:val="16"/>
          <w:color w:val="auto"/>
        </w:rPr>
        <w:t>We have invested substantially all of our efforts and financial resources in the identification and pre-clinical and clinical development of UKONIQ and our product candidates, including ublituximab, cosibelimab, TG-1701 and TG-1801, and building a commercial infrastructure. Our ability to generate revenues from product sales will depend completely on the successful completion of our current and future Phase 3 and registration-directed clinical trials and commercialization of our product candidates and additional indications of UKONIQ, which may never occur. Each of our product candidates will require additional non-clinical or clinical development, regulatory approval in multiple jurisdictions, and we will need to obtain sufficient clinical and commercial supply. The success of our development programs and achievement of regulatory approval of our product candidates will depend on several factors, including the following:</w:t>
      </w:r>
    </w:p>
    <w:p>
      <w:pPr>
        <w:spacing w:after="0" w:line="178" w:lineRule="exact"/>
        <w:rPr>
          <w:sz w:val="20"/>
          <w:szCs w:val="20"/>
          <w:color w:val="auto"/>
        </w:rPr>
      </w:pPr>
    </w:p>
    <w:p>
      <w:pPr>
        <w:jc w:val="both"/>
        <w:ind w:left="1040" w:right="79" w:hanging="315"/>
        <w:spacing w:after="0" w:line="255"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INDs and clinical trial applications, or CTAs, being cleared/approved such that our product candidates can commence clinical trials;</w:t>
      </w: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and successful initiation of, enrollment in and completion of clinical trials;</w:t>
      </w: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product candidates, including U2 in CLL and ublituximab in RMS;</w:t>
      </w:r>
    </w:p>
    <w:p>
      <w:pPr>
        <w:ind w:left="1040" w:right="79" w:hanging="315"/>
        <w:spacing w:after="0" w:line="25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 and</w:t>
      </w:r>
    </w:p>
    <w:p>
      <w:pPr>
        <w:ind w:left="1040" w:right="79" w:hanging="315"/>
        <w:spacing w:after="0" w:line="260"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45"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9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7"/>
          <w:szCs w:val="17"/>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6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then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8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PFS have the potential to change, sometimes drastically,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candidates may be harmed, which could harm our business, operating results, prospects or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1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is uncertain as to outcome. It is impossible to predict when or if our product candidates will prove effective and safe in humans or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98"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color w:val="auto"/>
        </w:rPr>
        <w:t>Successful completion of our clinical trials is a prerequisite to submitting a New Drug Application (NDA) or a BLA to the FDA and a Marketing Authorization Application (MAA) to the European Medicines Agency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2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such as the COVID-19 pandemic, that could delay or prevent our ability to complete current clinical trials, initiate new trials, receive marketing approval or commercialize our product candidates, including:</w:t>
      </w:r>
    </w:p>
    <w:p>
      <w:pPr>
        <w:spacing w:after="0" w:line="115" w:lineRule="exact"/>
        <w:rPr>
          <w:sz w:val="20"/>
          <w:szCs w:val="20"/>
          <w:color w:val="auto"/>
        </w:rPr>
      </w:pPr>
    </w:p>
    <w:p>
      <w:pPr>
        <w:ind w:left="1040" w:right="79" w:hanging="315"/>
        <w:spacing w:after="0" w:line="228"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1040" w:right="79" w:hanging="315"/>
        <w:spacing w:after="0" w:line="232"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1040" w:right="79"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1040" w:right="79" w:hanging="315"/>
        <w:spacing w:after="0" w:line="232"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1040" w:right="79" w:hanging="315"/>
        <w:spacing w:after="0" w:line="246"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6"/>
          <w:szCs w:val="16"/>
          <w:color w:val="auto"/>
        </w:rPr>
      </w:pPr>
    </w:p>
    <w:p>
      <w:pPr>
        <w:jc w:val="both"/>
        <w:ind w:left="1040" w:right="79" w:hanging="315"/>
        <w:spacing w:after="0" w:line="243"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jc w:val="both"/>
        <w:ind w:left="1040" w:right="79" w:hanging="315"/>
        <w:spacing w:after="0" w:line="246"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may be insufficient or inadequate, including, without limitation, as a result of disruptions to our supply chains caused by the COVID-19 pandemic and related work stoppages across the globe;</w:t>
      </w:r>
    </w:p>
    <w:p>
      <w:pPr>
        <w:spacing w:after="0" w:line="1" w:lineRule="exact"/>
        <w:rPr>
          <w:rFonts w:ascii="Arial" w:cs="Arial" w:eastAsia="Arial" w:hAnsi="Arial"/>
          <w:sz w:val="16"/>
          <w:szCs w:val="16"/>
          <w:color w:val="auto"/>
        </w:rPr>
      </w:pPr>
    </w:p>
    <w:p>
      <w:pPr>
        <w:ind w:left="1040" w:right="79" w:hanging="315"/>
        <w:spacing w:after="0" w:line="219"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jc w:val="both"/>
        <w:ind w:left="1040" w:right="79" w:hanging="315"/>
        <w:spacing w:after="0" w:line="226"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6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also could encounter delays if a clinical trial is suspended or terminated by us, by the IRBs of the institutions in which such trials are being conducted, by the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8"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 than 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 All of our current Phase 3 and registration-directed clinical trials, such as UNITY-CLL, UNITY-NHL and ULTIMATE I and II, enrolled a larger number of patients than our initial projections, adding significant costs to those studies over and above what had been projected.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or impact their availability and commercial potential after approval.</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Many of our ongoing and planned clinical studies involve combinations of two or more drugs. In drug combination clinical development, there is an inherent risk of drug-drug interactions between combination agents that may affect each component’s individual pharmacologic properties and the overall efficacy and safety of the combination regimen. Both ublituximab and UKONIQ are being evaluated in combination with each other, as well as with a variety of other active anti-cancer agents, which may cause unforeseen toxicities, or impact the severity, duration, and incidence of adverse events observed compared to those seen in the single-agent studies of these agents. We also intend to explore multiple combination studies involving cosibelimab,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7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2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and distribution, and pharmacovigilance and adverse event reporting of our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FDA and foreign regulatory authorities have substantial discretion in the pharmaceutical product approval process, including the ability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and may change its view on the criteria that must be met for approval. This could happen even for a protocol that has received a SPA. In September 2015, we announced a Phase 3 clinical trial for U2 for patients with CLL, which is being conducted pursuant to a SPA with the FDA (UNITY-CLL). In addition to the SPA for UNITY-CLL, in August 2017 we announced SPAs for the ULTIMATE I and II studies evaluating ublituximab in RMS. There have been examples of companies that have been granted SPAs and have ultimately failed to obtain final approval to market their drugs. Even if the primary endpoint in a Phase 3 clinical trial is achieved, a SPA does not guarantee approval.</w:t>
      </w:r>
    </w:p>
    <w:p>
      <w:pPr>
        <w:spacing w:after="0" w:line="16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Furthermore, some of our clinical trials may be conducted as open-label studies, meaning that trial participants, investigators, site staff, some employees of our contract research organizations,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or lead the FDA to deny approval.</w:t>
      </w:r>
    </w:p>
    <w:p>
      <w:pPr>
        <w:spacing w:after="0" w:line="18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Other reasons that the FDA or regulatory authorities around the world may delay, limit or deny approval of a product candidate, include:</w:t>
      </w:r>
    </w:p>
    <w:p>
      <w:pPr>
        <w:spacing w:after="0" w:line="170" w:lineRule="exact"/>
        <w:rPr>
          <w:sz w:val="20"/>
          <w:szCs w:val="20"/>
          <w:color w:val="auto"/>
        </w:rPr>
      </w:pPr>
    </w:p>
    <w:p>
      <w:pPr>
        <w:ind w:left="1040" w:right="79" w:hanging="315"/>
        <w:spacing w:after="0" w:line="258"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jc w:val="both"/>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w:t>
      </w:r>
    </w:p>
    <w:p>
      <w:pPr>
        <w:spacing w:after="0" w:line="1" w:lineRule="exact"/>
        <w:rPr>
          <w:rFonts w:ascii="Arial" w:cs="Arial" w:eastAsia="Arial" w:hAnsi="Arial"/>
          <w:sz w:val="18"/>
          <w:szCs w:val="18"/>
          <w:color w:val="auto"/>
        </w:rPr>
      </w:pPr>
    </w:p>
    <w:p>
      <w:pPr>
        <w:jc w:val="both"/>
        <w:ind w:left="1040" w:right="79" w:hanging="315"/>
        <w:spacing w:after="0" w:line="292" w:lineRule="auto"/>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58"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or</w:t>
      </w:r>
    </w:p>
    <w:p>
      <w:pPr>
        <w:spacing w:after="0" w:line="1"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and foreign regulatory authorities as a result of the COVID-19 pandemic may negatively impact review, inspection, and approval timelines.</w:t>
      </w:r>
    </w:p>
    <w:p>
      <w:pPr>
        <w:spacing w:after="0" w:line="18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Even if we succeed in obtaining regulatory approval, the FDA may require post-marketing studies, including additional clinical trials such as those necessary to assess drug interactions or activity of a product in specific populations which also may be costly. For example, as part of the accelerated approval of UKONIQ for relapsed or refractory MZL and FL, continued approval for those indications is contingent upon verification and description of clinical benefit in a confirmatory trial. The outcomes of post-marketing studies may also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(e.g., hepatic or renal impairment or cardiac risks) among others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For example, post-marketing studies may lead to the addition of a boxed warning for UKONIQ. The inclusion of a boxed warning or other required warning language or the addition of limitations to the use of the product within the indicated population could significantly impact our ability to successfully market our product candidates. Finally, the FDA may require adoption of a REMS program requiring prescriber training or a post-marketing registry or may restrict the marketing and dissemination of our products. Any requirements to conduct post-approval studies or fulfill special post-approval requirements could impact our ability to commercialize our product candidates and increase our costs.</w:t>
      </w:r>
    </w:p>
    <w:p>
      <w:pPr>
        <w:spacing w:after="0" w:line="17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Breakthrough Therapy or Fast Track designation by the FDA may not actually lead to a faster development or regulatory review or approval process.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may seek Breakthrough Therapy or Fast Track designation for some of our drug candidates. For example, in January 2019, the FDA granted Breakthrough Therapy designation to UKONIQ for the treatment of adult patients with MZL who have received at least one prior anti-CD20 regimen, and in October 2020, the FDA granted Fast Track designation to the investigation of ublituximab in combination with UKONIQ for the treatment of adult patients with CLL.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 Despite receiving Fast Track designation for U2 for the treatment of adult patients with CLL, the FDA granted the BLA a standard review timeline with a PDUFA goal date of March 25, 2022. The FDA may also withdraw a Breakthrough Therapy or Fast Track designation if it believes that the designation is no longer supported by data from our clinical development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have received orphan drug designation for some of our drug candidates for specified indications, and we may seek additional orphan drug designations for other indications and some of our other drug candidates. However, we may be unsuccessful in obtaining or may be unable to maintain the benefits associated with orphan drug designation, including the potential for market exclusivity.</w:t>
      </w:r>
    </w:p>
    <w:p>
      <w:pPr>
        <w:spacing w:after="0" w:line="187"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Ublituximab as monotherapy received orphan drug designation from the FDA for the treatment of MZL (nodal and extranodal) in September 2013, for the treatment of CLL in August 2010, and received orphan drug designation by the EMA for the treatment of CLL in November 2009. We also obtained orphan drug designation for umbralisib as monotherapy for the treatment of CLL in August 2016, all three types of MZL (nodal, extranodal and splenic) in April 2019, and FL in March 2020. In January 2017, we announced that the FDA granted orphan drug designation covering the combination of ublituximab and umbralisib for the treatment of patients with CLL and DLBCL. As part of our business strategy, we may seek orphan drug designation for our other drug candidates; however, we may be unsuccessful. 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our orphan drug designations for any of our products.</w:t>
      </w:r>
    </w:p>
    <w:p>
      <w:pPr>
        <w:spacing w:after="0" w:line="19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conducting clinical trials, and anticipate additional clinical trials, for product candidates at sites outside the United States, and the FDA may not accept data from trials conducted in such locations.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Many of our Phase 3 and registration-directed clinical trials such as UNITY-CLL, UNITY-NHL and ULTIMATE I and II utilize international clinical research sites, including sites in eastern European countries.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The geographic variability of the recent COVID-19 pandemic also introduces increased risk in the conduct of clinical research in certain countries and territories where vaccination rates and available standard of care anti-viral therapy varies significantly.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approval of one of our product candidates in the United States would not assure approval of that candidate in foreign jurisdictions.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intend to seek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and may negatively impact the regulatory process in other countries.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174"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We have product candidates still under development and are also preparing for commercial manufacturing activities, and as such clinical and commercial manufacturing site additions, scale-up and process improvements implemented in the production of those product candidates may affect their ultimate activity or function.</w:t>
      </w:r>
    </w:p>
    <w:p>
      <w:pPr>
        <w:spacing w:after="0" w:line="14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Many of our product candidates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the Phase 3 study and materials from more than one manufacturing process were utilized in the Phase 3 UNITY-CLL trial and the Phase 3 ULTIMATE I and II trials.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may also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conduct additional analyses of the Phase 3 study(ies) to confirm that there is no difference in safety or efficacy between the product made by each process in order to allow us to utilize data from all enrolled patients, as well as be able to integrate clinical safety and/or efficacy results across studies to support any potential marketing</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application. There can be no assurance given that such analyses will be successful in demonstrating that there are no clinical differences between these drug products, which could substantially impact the approvability of the combination of UKONIQ and ublituximab based on the results of the UNITY-CLL study. In such circumstances, that would have a material adverse effect on the Company.</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have engaged a secondary manufacturer for ublituximab to meet our current clinical and future commercial needs and anticipate engaging additional manufacturing sources for UKONIQ to meet expanded clinical trial and projected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UKONIQ as manufactured to date and used in currently available pre-clinical data and or in clinical trials presented publicly or reported in this or any previous filing, or that the relevant regulatory agencies will agree with our interpretation of comparability.</w:t>
      </w:r>
    </w:p>
    <w:p>
      <w:pPr>
        <w:spacing w:after="0" w:line="19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with the FDA approval of UKONIQ and as we move closer to commercialization of ublituximab, we are scaling-up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an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Governmental Regulation of Pharmaceutical Industry and Legal Compliance Matters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affect further changes to the ACA would have on our business.</w:t>
      </w:r>
    </w:p>
    <w:p>
      <w:pPr>
        <w:spacing w:after="0" w:line="18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Beyond the ACA, there has been increasing legislative, regulatory and enforcement interest with respect to prescription drug pricing practices. With the election of President Biden and changes in make-up of the Senate following the 2020 election, we face uncertainties with respect to executive and legislative actions relating to drug pricing.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At the state level, individual states are experiencing significant economic pressure within their state Medicaid programs and responding to public concern over the cost of healthcare. The economic impact of the COVID-19 pandemic has further exacerbated state budgetary pressures.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6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7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61"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With the FDA approval of UKONIQ in February 2021, we became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81" w:lineRule="exact"/>
        <w:rPr>
          <w:sz w:val="20"/>
          <w:szCs w:val="20"/>
          <w:color w:val="auto"/>
        </w:rPr>
      </w:pPr>
    </w:p>
    <w:p>
      <w:pPr>
        <w:jc w:val="both"/>
        <w:ind w:left="1040" w:right="79" w:hanging="315"/>
        <w:spacing w:after="0" w:line="253"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3"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information related to payments and other transfers of value to and the ownership and investment interests of physicians and teaching hospitals (and additional categories of healthcare providers beginning with reports submitted in 2022) to the federal government for redisclosure to the public;</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8"/>
          <w:szCs w:val="18"/>
          <w:color w:val="auto"/>
        </w:rPr>
      </w:pPr>
    </w:p>
    <w:p>
      <w:pPr>
        <w:ind w:left="1040" w:right="79" w:hanging="315"/>
        <w:spacing w:after="0" w:line="281" w:lineRule="auto"/>
        <w:tabs>
          <w:tab w:leader="none" w:pos="1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wide range of federal and state consumer protection and unfair competition laws, which broadly regulate marketplace activities and activities that potentially harm consumers including those related to privacy;</w:t>
      </w:r>
    </w:p>
    <w:p>
      <w:pPr>
        <w:spacing w:after="0" w:line="1" w:lineRule="exact"/>
        <w:rPr>
          <w:rFonts w:ascii="Arial" w:cs="Arial" w:eastAsia="Arial" w:hAnsi="Arial"/>
          <w:sz w:val="16"/>
          <w:szCs w:val="16"/>
          <w:color w:val="auto"/>
        </w:rPr>
      </w:pPr>
    </w:p>
    <w:p>
      <w:pPr>
        <w:jc w:val="both"/>
        <w:ind w:left="1020" w:right="79" w:hanging="313"/>
        <w:spacing w:after="0" w:line="263"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6"/>
        <w:spacing w:after="0" w:line="254"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2" w:lineRule="exact"/>
        <w:rPr>
          <w:rFonts w:ascii="Arial" w:cs="Arial" w:eastAsia="Arial" w:hAnsi="Arial"/>
          <w:sz w:val="18"/>
          <w:szCs w:val="18"/>
          <w:color w:val="auto"/>
        </w:rPr>
      </w:pPr>
    </w:p>
    <w:p>
      <w:pPr>
        <w:jc w:val="both"/>
        <w:ind w:left="1020" w:right="79" w:hanging="326"/>
        <w:spacing w:after="0" w:line="255"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Drug Supply Chain Security Act, or DSCSA, which imposes obligations on entities in the commercial product supply chain, including manufacturers, to identify and track prescription drugs as they are distributed in the U.S.; and</w:t>
      </w:r>
    </w:p>
    <w:p>
      <w:pPr>
        <w:spacing w:after="0" w:line="1" w:lineRule="exact"/>
        <w:rPr>
          <w:rFonts w:ascii="Arial" w:cs="Arial" w:eastAsia="Arial" w:hAnsi="Arial"/>
          <w:sz w:val="18"/>
          <w:szCs w:val="18"/>
          <w:color w:val="auto"/>
        </w:rPr>
      </w:pPr>
    </w:p>
    <w:p>
      <w:pPr>
        <w:jc w:val="both"/>
        <w:ind w:left="1040" w:right="79" w:hanging="315"/>
        <w:spacing w:after="0" w:line="252"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9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the U.S., to help patients who have no or inadequate insurance coverage of UKONIQ, we have a patient support program that we administer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6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AKS are subject to change through legislative and regulatory action, and we may decide to adjust our business practices or be subject to heightened scrutiny as a result.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5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violate applicable data privacy and security laws, we may be subject to penalties, including civil and criminal penalties, damages, fines and the curtailment or restructuring of our operations.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w:t>
      </w:r>
    </w:p>
    <w:p>
      <w:pPr>
        <w:spacing w:after="0" w:line="18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Although we are not currently directly subject to HIPAA, HIPAA affects the ability of healthcare providers and other entities with which we may interact, including clinical trial sites, to disclose patient health information to us. Under Section 5(a) of the Federal Trade Commission Act, or the FTCA, the FTC expects a company’s data security measures to be reasonable and appropriate in light of the sensitivity and volume of consumer information it holds, the size and complexity of its business, and the cost of available tools to improve security and reduce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vulnerabilities. Medical data is considered sensitive data that merits stronger safeguards. States may also impose requirements, for example the California Consumer Privacy Act, or the CCPA, went into effect in January 2020 creating data privacy obligations for covered companies and providing privacy rights to California residents, including the right to opt out of certain disclosures of their information.</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Numerous other jurisdictions regulate the privacy and security of personally identifiable data. For example, the processing of personal data in the European Economic Area, or the EEA, is subject to the General Data Protection Regulation, or the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17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6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1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1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quality control, quality assurance and corresponding maintenance of records and documents, and requirements regarding promotional interactions with healthcare professionals.</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87"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ind w:left="1040"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1040"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1040"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letters;</w:t>
      </w:r>
    </w:p>
    <w:p>
      <w:pPr>
        <w:ind w:left="1040"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1040" w:right="79"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ind w:left="1040"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recalls;</w:t>
      </w:r>
    </w:p>
    <w:p>
      <w:pPr>
        <w:ind w:left="1040"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ind w:left="1040"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ind w:left="1040"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1040"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1040" w:hanging="315"/>
        <w:spacing w:after="0" w:line="219"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9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third-party manufacturers may use hazardous materials in the production of UKONIQ and our product candidates and if so, they must comply with environmental laws and regulations, which can be expensive and restrict how we or they do business.</w:t>
      </w:r>
    </w:p>
    <w:p>
      <w:pPr>
        <w:spacing w:after="0" w:line="18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Manufacturing activities for the production of UKONIQ and our product candidates involve the controlled storage, use, and disposal of hazardous materials, including the components of our product candidates, and other hazardous compounds. Our third-party manufacturers and we are subject to federal, state, and local laws and regulations governing the use, manufacture, storage, handling, release, disposal of, and exposure to, these hazardous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w:t>
      </w:r>
    </w:p>
    <w:p>
      <w:pPr>
        <w:spacing w:after="0" w:line="178"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patients.</w:t>
      </w:r>
    </w:p>
    <w:p>
      <w:pPr>
        <w:spacing w:after="0" w:line="39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4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2" w:lineRule="exact"/>
        <w:rPr>
          <w:sz w:val="20"/>
          <w:szCs w:val="20"/>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We contract with third parties for the manufacture of UKONIQ for commercial supply and of our product candidates for pre-clinical development and clinical trials, and we expect to continue to do so, including for commercial supply of ublituximab.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packaging and labeling of any products that we commercialize, including UKONIQ, and our product candidates for pre-clinical development and clinical testing. In some circumstances, our licensor has entered into arrangements with contract manufacturers to supply product for our clinical and commercial demand.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facilities used by contract manufacturers to manufacture our drug candidates typically undergo inspections by the FDA or a comparable foreign regulatory to verify compliance with applicable cGMP regulations. Such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satisfaction in a timely manner during the review of our NDAs or BLAs,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7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For certain of our product candidates, we do not have long-term supply agreements with contract manufacturers. For these product candidates, we purchase our required drug supply, including the drug product and drug substance on a purchase order basis. We may be unable to establish or maintain agreements with third-party manufacturers for these products or product candidates or do so on acceptable terms.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If they are unable to do so, it could have a material adverse impact on our business.</w:t>
      </w:r>
    </w:p>
    <w:p>
      <w:pPr>
        <w:spacing w:after="0" w:line="16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32" w:lineRule="exact"/>
        <w:rPr>
          <w:rFonts w:ascii="Arial" w:cs="Arial" w:eastAsia="Arial" w:hAnsi="Arial"/>
          <w:sz w:val="16"/>
          <w:szCs w:val="16"/>
          <w:color w:val="auto"/>
        </w:rPr>
      </w:pPr>
    </w:p>
    <w:p>
      <w:pPr>
        <w:ind w:left="1040" w:right="79" w:hanging="315"/>
        <w:spacing w:after="0" w:line="260"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our current long-term supply agreement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of our products or product candidates could result in significant delays or gaps in availability of such products or product candidates and may adversely affect our future profit margins and our ability to commercialize any drugs that receive marketing approval on a timely and competitive basis.</w:t>
      </w:r>
    </w:p>
    <w:p>
      <w:pPr>
        <w:spacing w:after="0" w:line="187"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and for commercial demand for UKONIQ and expect to continue to do so for any other product candidates that may receive approval.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including as a result of the COVID-19 pandemic, could significantly harm our business.</w:t>
      </w:r>
    </w:p>
    <w:p>
      <w:pPr>
        <w:spacing w:after="0" w:line="18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38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Although COVID-19 has not had a material adverse effect on our supply chain to date, no assurance can be given that it will not in the future if the situation persists or worsens. UKONIQ is manufactured in India, ublituximab is manufactured in South Korea, and TG-1701 is manufactured in China. Each of these countries continues to be, or has been, subject to government-imposed quarantines and travel restrictions due to the COVID-19 pandemic, which, in some cases, have resulted in reduced operations at manufacturing and research locations and time-limited shutdowns. India, for example, experienced a surge of Covid-19 infections in April and May 2021. Our contract manufacturers for UKONIQ and ublituximab are continuing operations at varying levels of capacity. We have worked closely with our contract manufacturer for UKONIQ to plan for anticipated commercial supply needs. We also are working closely with our contract manufacturer for ublituximab to plan for our anticipated commercial supply needs if we are successful in obtaining FDA approval of the product. We will continue to monitor the situation very closely with our suppliers in impacted regions.</w:t>
      </w:r>
    </w:p>
    <w:p>
      <w:pPr>
        <w:spacing w:after="0" w:line="168"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and drug product,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7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b w:val="1"/>
          <w:bCs w:val="1"/>
          <w:i w:val="1"/>
          <w:iCs w:val="1"/>
          <w:color w:val="auto"/>
        </w:rPr>
        <w:t>Because we have in-licensed UKONIQ and our product candidates from third parties, any dispute with or non-performance by our licensors will adversely affect our ability to develop and commercialize the applicable product or product candidate.</w:t>
      </w:r>
    </w:p>
    <w:p>
      <w:pPr>
        <w:spacing w:after="0" w:line="148" w:lineRule="exact"/>
        <w:rPr>
          <w:sz w:val="20"/>
          <w:szCs w:val="20"/>
          <w:color w:val="auto"/>
        </w:rPr>
      </w:pPr>
    </w:p>
    <w:p>
      <w:pPr>
        <w:jc w:val="both"/>
        <w:ind w:left="60" w:right="59" w:firstLine="648"/>
        <w:spacing w:after="0" w:line="228" w:lineRule="auto"/>
        <w:rPr>
          <w:sz w:val="20"/>
          <w:szCs w:val="20"/>
          <w:color w:val="auto"/>
        </w:rPr>
      </w:pPr>
      <w:r>
        <w:rPr>
          <w:rFonts w:ascii="Arial" w:cs="Arial" w:eastAsia="Arial" w:hAnsi="Arial"/>
          <w:sz w:val="18"/>
          <w:szCs w:val="18"/>
          <w:color w:val="auto"/>
        </w:rPr>
        <w:t>Because we license UKONIQ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49"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ind w:left="1040" w:right="79" w:hanging="315"/>
        <w:spacing w:after="0" w:line="219"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ind w:left="1040" w:right="79" w:hanging="315"/>
        <w:spacing w:after="0" w:line="219"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ind w:left="1040" w:hanging="315"/>
        <w:spacing w:after="0"/>
        <w:tabs>
          <w:tab w:leader="none" w:pos="10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5" w:lineRule="exact"/>
        <w:rPr>
          <w:rFonts w:ascii="Arial" w:cs="Arial" w:eastAsia="Arial" w:hAnsi="Arial"/>
          <w:sz w:val="16"/>
          <w:szCs w:val="16"/>
          <w:color w:val="auto"/>
        </w:rPr>
      </w:pPr>
    </w:p>
    <w:p>
      <w:pPr>
        <w:ind w:left="1040" w:right="79" w:hanging="315"/>
        <w:spacing w:after="0" w:line="219"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7"/>
          <w:szCs w:val="17"/>
          <w:color w:val="auto"/>
        </w:rPr>
        <w:t>In addition, the agreements under which we currently license UKONIQ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5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4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43" w:lineRule="exact"/>
        <w:rPr>
          <w:sz w:val="20"/>
          <w:szCs w:val="20"/>
          <w:color w:val="auto"/>
        </w:rPr>
      </w:pPr>
    </w:p>
    <w:p>
      <w:pPr>
        <w:jc w:val="both"/>
        <w:ind w:left="60" w:right="59" w:firstLine="486"/>
        <w:spacing w:after="0" w:line="231"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9" w:lineRule="exact"/>
        <w:rPr>
          <w:sz w:val="20"/>
          <w:szCs w:val="20"/>
          <w:color w:val="auto"/>
        </w:rPr>
      </w:pPr>
    </w:p>
    <w:p>
      <w:pPr>
        <w:jc w:val="both"/>
        <w:ind w:left="60" w:right="59" w:firstLine="486"/>
        <w:spacing w:after="0" w:line="271"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46"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6"/>
          <w:szCs w:val="16"/>
          <w:color w:val="auto"/>
        </w:rPr>
        <w:t>Our commercial success in part depends on obtaining and maintaining patent protection and trade secret protection in the United States and other countries with respect to any product we commercialize, including UKONIQ,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307" w:lineRule="auto"/>
        <w:rPr>
          <w:sz w:val="20"/>
          <w:szCs w:val="20"/>
          <w:color w:val="auto"/>
        </w:rPr>
      </w:pPr>
      <w:r>
        <w:rPr>
          <w:rFonts w:ascii="Arial" w:cs="Arial" w:eastAsia="Arial" w:hAnsi="Arial"/>
          <w:sz w:val="16"/>
          <w:szCs w:val="16"/>
          <w:color w:val="auto"/>
        </w:rPr>
        <w:t>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96"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6"/>
          <w:szCs w:val="16"/>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rights to the same extent as the laws of the United States.</w:t>
      </w:r>
    </w:p>
    <w:p>
      <w:pPr>
        <w:spacing w:after="0" w:line="138"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product candidates, including generic versions of such drugs.</w:t>
      </w:r>
    </w:p>
    <w:p>
      <w:pPr>
        <w:spacing w:after="0" w:line="136"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7"/>
          <w:szCs w:val="17"/>
          <w:color w:val="auto"/>
        </w:rPr>
        <w:t>Currently, the composition of matter patent for ublituximab and UKONIQ are granted in both the United States and EU, among other countries. A method of use patent covering the combination of ublituximab and UKONIQ has also been granted in the United States, Europe, Japan, and several other territories. Additionally, several method of use patents for ublituximab and UKONIQ in various indications and settings have also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for cosibelimab, TG-1701 and TG-1801 or for our pre-clinical product candidates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and uncertainties include the following:</w:t>
      </w:r>
    </w:p>
    <w:p>
      <w:pPr>
        <w:spacing w:after="0" w:line="198" w:lineRule="exact"/>
        <w:rPr>
          <w:sz w:val="20"/>
          <w:szCs w:val="20"/>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1040" w:right="79" w:hanging="315"/>
        <w:spacing w:after="0" w:line="250"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1040" w:right="79" w:hanging="315"/>
        <w:spacing w:after="0" w:line="265"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jc w:val="both"/>
        <w:ind w:left="1040" w:right="79" w:hanging="315"/>
        <w:spacing w:after="0" w:line="265"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jc w:val="both"/>
        <w:ind w:left="1040" w:right="79" w:hanging="315"/>
        <w:spacing w:after="0" w:line="255"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If patents are not issued that protect our products or product candidates, it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398"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6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9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0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product candidates that we may in-license or acquire could be subject to similar risks and uncertainties.</w:t>
      </w:r>
    </w:p>
    <w:p>
      <w:pPr>
        <w:spacing w:after="0" w:line="23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8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Risks Related to Our Business Organization and Governance, Strategy, Employees and Growth Management</w:t>
      </w:r>
    </w:p>
    <w:p>
      <w:pPr>
        <w:spacing w:after="0" w:line="24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commercial, and clinical development personnel, we may be unable to successfully develop or commercialize our product candidates.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expect to continue hiring qualified personnel across a range of functions, including development and commercialization. Recruiting and retaining qualified scientific, clinical, manufacturing and sales and marketing personnel will be critical to our success. The loss of the services of our chief executive officer or other key employees could impede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7"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7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Expanding our business will increase our operating needs. As of September 30, 2021, we had 365 full -time employees, and we expect to continue to increase our number of employees and expand the scope of our operations. Our management and medical, commercial, and scientific personnel, systems and facilities currently in place may not be adequate to support our anticipated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business.</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advance the commercialization of UKONIQ and further develop and commercialize our product candidates and, accordingly, may not achieve our research, development and commercialization goals.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6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2020, we had federal net operating loss carryforwards of approximately $956.3 million,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“CARES Act” was signed by the U.S. President.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60"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2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Certain of our executive officers, directors and stockholders own more than 10%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2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8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January 31, 2019 (Brexit Day), the United Kingdom formally left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Although the United Kingdom and the European Union reached a trade agreement in late 2020, the long-term impact of Brexit, including on our business and our industry, remains uncertain. Despite the Brexit developments, we do not expect macroeconomic conditions to have a significant impact on our liquidity needs, financial condition or results of operations.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5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4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0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5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6"/>
          <w:szCs w:val="16"/>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pandemic caused by COVID-19, could have an adverse impact on our financial condition and results of operations and other aspects of our business.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December 2019, a novel strain of coronavirus which causes a disease referred to as COVID-19, was first detected in Wuhan, China, and has since spread around the world. On March 11, 2020, the World Health Organization declared that the rapidly spreading COVID-19 outbreak had evolved into a pandemic. In response to the pandemic, many governments around the world have implemented a variety of control measures to reduce the spread of COVID-19, including travel restrictions and bans, instructions to residents to practice social distancing, quarantine advisories, shelter-in-place orders and required closures of non-essential businesses.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COVID-19 pandemic has negatively impacted the global economy, disrupted global supply chains, and created significant volatility and disruption of financial markets. Although COVID-19 has not had a material adverse effect on our business to date, no assurance can be given that it will not in the future if the situation persists or worsens. The extent to which the COVID-19 pandemic impacts our business and operating results will depend on future developments that are highly uncertain and cannot be accurately predicted, including new information that may emerge concerning the, the rate of vaccination and efficacy of approved vaccines against the virus and any variant strains of the virus, other actions to contain the virus or treat its impact, and how quickly and to what extent normal economic and operating conditions can resume if and when the pandemic subsides, among others.</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Should the COVID-19 pandemic persist or worsen and government restrictions continue, our business operations could be materially delayed or interrupted. For instance, our ongoing clinical trials may be delayed or compromised; our ability to conduct new clinical trials may be adversely impacted; our supply chain may be disrupted; health authority inspections of clinical sites or manufacturing facilities, or review of our regulatory submissions may be delayed, and our commercialization efforts may be impacted. For example, during the course of the pandemic the FDA has at points delayed both domestic and foreign facility inspections. The agency announced in July 2020 that domestic facility inspections would be conducted but prioritized through a risk-based approach, while foreign facility inspections remained delayed unless the FDA determines they can be conducted based on a “mission-critical” assessment. More recently, in April 2021, the FDA announced that it may request to conduct “remote interactive evaluations,” which in a variety of circumstances are inclusive of Pre-Approval Inspections (PAIs), where it is determined to be appropriate based on risk management methods and related tools and any travel limitations. We expect the impact of COVID-19 on the FDA’s operations will continue to evolve. It is unknown how long these disruptions could continue, were they to occur. Any delay in our clinical trials, PAIs or in the regulatory review of our pending BLA submission for ublituximab resulting from such disruptions could materially affect the development and commercialization of our product candidates.</w:t>
      </w:r>
    </w:p>
    <w:p>
      <w:pPr>
        <w:spacing w:after="0" w:line="17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currently rely on third parties for certain functions or services in support of our clinical trials and key areas of our operations. These third parties include contract research organizations (CROs), medical institutions and clinical investigators, contract manufacturing organizations, suppliers, and external business partners supporting commercialization of UKONIQ. If these third parties themselves are adversely impacted by restrictions resulting from the COVID-19 outbreak, we will likely experience delays and/or realize additional costs. As a result, our efforts to commercialize UKONIQ and obtain regulatory approvals for, and to commercialize, our product candidates may be delayed or disrupted.</w:t>
      </w:r>
    </w:p>
    <w:p>
      <w:pPr>
        <w:spacing w:after="0" w:line="16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to protect the health of our workforce, starting in March 2020 we asked our office-based employees to work remotely. Although many of the social distancing guidelines and capacity restrictions have been lifted, our office-based employees have continued to work remotely as we plan for office reopening. Third parties on which we rely may also be continuing to use remote working arrangements that they had implemented in response to COVID-19. Our increased reliance on personnel working remotely may negatively impact productivity, including our ability to monitor clinical trials, prepare regulatory applications, and conduct data analysis, or disrupt, delay, or otherwise adversely impact our business. In addition, remote working could increase our cybersecurity risk and make us more susceptible to communication disruptions, any of which could adversely impact our business operations or delay necessary interactions with local and federal regulators, manufacturing sites, research or clinical trial sites and contractors.</w:t>
      </w:r>
    </w:p>
    <w:p>
      <w:pPr>
        <w:spacing w:after="0" w:line="16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ability to successfully commercialize UKONIQ, and any of our product candidates for which we in the future obtain regulatory approval, also may be adversely impacted by restrictions and safety measures instituted due to COVID-</w:t>
      </w:r>
    </w:p>
    <w:p>
      <w:pPr>
        <w:jc w:val="both"/>
        <w:ind w:left="60" w:right="59" w:hanging="10"/>
        <w:spacing w:after="0" w:line="273" w:lineRule="auto"/>
        <w:tabs>
          <w:tab w:leader="none" w:pos="352"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example, reduced access to healthcare providers and institutions as a result of COVID-19 safety protocols has impacted our commercialization activities, including, the manner in which our field teams engage with healthcare providers and facilities. Our compliance monitoring and oversight of interactions and communications with HCPs, payors, and other stakeholders also has been impacted by the remote work environment.</w:t>
      </w:r>
    </w:p>
    <w:p>
      <w:pPr>
        <w:spacing w:after="0" w:line="17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potential economic impact brought by and the duration of the pandemic may be difficult to assess or predict. However, it has already caused, and is likely to result in further, significant disruption of global financial markets. It is likely that the pandemic will cause an economic slowdown of potentially extended duration, and it is possible that it could cause a global recession. This disruption may reduce our ability to access capital either at all or on favorable terms. In</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addition, a recession, depression or other sustained adverse market event resulting from the spread of COVID-19 could materially and adversely affect our business and the value of our common stock.</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 ultimate impact of the current pandemic, or any other health epidemic, is highly uncertain and subject to change. We do not yet know the full extent of potential delays or impacts on our business, our clinical trials, our research programs, healthcare systems or the global economy as a whole. However, these effects could have a material adverse effect on our business, financial condition and results of operations.</w:t>
      </w:r>
    </w:p>
    <w:p>
      <w:pPr>
        <w:spacing w:after="0" w:line="187"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To the extent the COVID-19 pandemic materially adversely affects our business and financial results, it may also have the effect of significantly heightening many of the other risks described in this Risk Factors section.</w:t>
      </w:r>
    </w:p>
    <w:p>
      <w:pPr>
        <w:spacing w:after="0" w:line="14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clinical development program if the pandemic and associated government control measures continue.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ongoing COVID-19 pandemic has presented substantial public health challenges and is impacting the global healthcare system, including the conduct of clinical trials in the U.S. and other parts of the world. While global infection rates have significantly reduced from their peak during 2020, new variants continue to circulate, and uncertainty remains as to whether additional restrictions may be implemented to address the spread of new variants. As a result of the COVID-19 pandemic, we may encounter delays in our clinical development program. The majority of our clinical trials involve patients with cancer or those receiving ongoing immunosuppressive therapy who may be at higher risk of infection. These patients are thus more likely to be subject to travel restrictions and self-quarantining and may be more likely to withdraw from our clinical trials or unable to complete study assessments, which may affect our ability to meet our projected timelines.</w:t>
      </w:r>
    </w:p>
    <w:p>
      <w:pPr>
        <w:spacing w:after="0" w:line="19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Further, we may not be able to complete our clinical trials that we initiated more recently and for which we have not yet completed enrollment in the time frame that we had previously planned. In addition, the pandemic may adversely affect our ability to conduct new trials. Some factors from the COVID-19 outbreak that may delay or otherwise adversely affect our clinical trial programs, as well as adversely impact our business generally, include:</w:t>
      </w:r>
    </w:p>
    <w:p>
      <w:pPr>
        <w:spacing w:after="0" w:line="171" w:lineRule="exact"/>
        <w:rPr>
          <w:sz w:val="20"/>
          <w:szCs w:val="20"/>
          <w:color w:val="auto"/>
        </w:rPr>
      </w:pPr>
    </w:p>
    <w:p>
      <w:pPr>
        <w:jc w:val="both"/>
        <w:ind w:left="1040" w:right="79" w:hanging="315"/>
        <w:spacing w:after="0" w:line="252"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5" w:lineRule="exact"/>
        <w:rPr>
          <w:rFonts w:ascii="Arial" w:cs="Arial" w:eastAsia="Arial" w:hAnsi="Arial"/>
          <w:sz w:val="18"/>
          <w:szCs w:val="18"/>
          <w:color w:val="auto"/>
        </w:rPr>
      </w:pPr>
    </w:p>
    <w:p>
      <w:pPr>
        <w:ind w:left="1040" w:right="79" w:hanging="315"/>
        <w:spacing w:after="0" w:line="191" w:lineRule="auto"/>
        <w:tabs>
          <w:tab w:leader="none" w:pos="104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spacing w:after="0" w:line="1" w:lineRule="exact"/>
        <w:rPr>
          <w:rFonts w:ascii="Arial" w:cs="Arial" w:eastAsia="Arial" w:hAnsi="Arial"/>
          <w:sz w:val="29"/>
          <w:szCs w:val="29"/>
          <w:color w:val="auto"/>
          <w:vertAlign w:val="superscript"/>
        </w:rPr>
      </w:pPr>
    </w:p>
    <w:p>
      <w:pPr>
        <w:jc w:val="both"/>
        <w:ind w:left="1040" w:right="79" w:hanging="315"/>
        <w:spacing w:after="0" w:line="217" w:lineRule="auto"/>
        <w:tabs>
          <w:tab w:leader="none" w:pos="104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prioritization by healthcare providers, facilities, lawmakers, and regulators of COVID-19-related healthcare needs or, when the pandemic subsides, to address the potential backlog of patients who have deferred medical procedures during the pendency of the pandemic, which may reduce availability of professionals and resources for clinical trials in other disease areas;</w:t>
      </w:r>
    </w:p>
    <w:p>
      <w:pPr>
        <w:spacing w:after="0" w:line="1" w:lineRule="exact"/>
        <w:rPr>
          <w:rFonts w:ascii="Arial" w:cs="Arial" w:eastAsia="Arial" w:hAnsi="Arial"/>
          <w:sz w:val="29"/>
          <w:szCs w:val="29"/>
          <w:color w:val="auto"/>
          <w:vertAlign w:val="superscript"/>
        </w:rPr>
      </w:pPr>
    </w:p>
    <w:p>
      <w:pPr>
        <w:jc w:val="both"/>
        <w:ind w:left="1040" w:right="79" w:hanging="315"/>
        <w:spacing w:after="0" w:line="250"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could impact the reliability or integrity of subject data and clinical study endpoints;</w:t>
      </w:r>
    </w:p>
    <w:p>
      <w:pPr>
        <w:spacing w:after="0" w:line="1" w:lineRule="exact"/>
        <w:rPr>
          <w:rFonts w:ascii="Arial" w:cs="Arial" w:eastAsia="Arial" w:hAnsi="Arial"/>
          <w:sz w:val="18"/>
          <w:szCs w:val="18"/>
          <w:color w:val="auto"/>
        </w:rPr>
      </w:pPr>
    </w:p>
    <w:p>
      <w:pPr>
        <w:jc w:val="both"/>
        <w:ind w:left="1040" w:right="79" w:hanging="315"/>
        <w:spacing w:after="0" w:line="208" w:lineRule="auto"/>
        <w:tabs>
          <w:tab w:leader="none" w:pos="104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ind w:left="1040" w:right="79" w:hanging="315"/>
        <w:spacing w:after="0" w:line="191" w:lineRule="auto"/>
        <w:tabs>
          <w:tab w:leader="none" w:pos="104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disruptions and delays caused by potential workplace, laboratory and office closures and an increased reliance on employees working from home across the healthcare system;</w:t>
      </w:r>
    </w:p>
    <w:p>
      <w:pPr>
        <w:spacing w:after="0" w:line="1" w:lineRule="exact"/>
        <w:rPr>
          <w:rFonts w:ascii="Arial" w:cs="Arial" w:eastAsia="Arial" w:hAnsi="Arial"/>
          <w:sz w:val="29"/>
          <w:szCs w:val="29"/>
          <w:color w:val="auto"/>
          <w:vertAlign w:val="superscript"/>
        </w:rPr>
      </w:pPr>
    </w:p>
    <w:p>
      <w:pPr>
        <w:jc w:val="both"/>
        <w:ind w:left="1040" w:right="79" w:hanging="315"/>
        <w:spacing w:after="0" w:line="277"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disruptions in or delays to regulatory reviews, responses, inspections, or other regulatory activities, including review of marketing applications and approvals of protocol changes or amendments to SPAs, as a result of the spread of COVID-19 affecting the operations of the FDA or other regulatory authorities;</w:t>
      </w:r>
    </w:p>
    <w:p>
      <w:pPr>
        <w:sectPr>
          <w:pgSz w:w="11900" w:h="16838" w:orient="portrait"/>
          <w:cols w:equalWidth="0" w:num="1">
            <w:col w:w="9019"/>
          </w:cols>
          <w:pgMar w:left="1440" w:top="517"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5"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clinical trials are conducted, which may result in unexpected costs, or to discontinue the clinical trials altogether;</w:t>
      </w:r>
    </w:p>
    <w:p>
      <w:pPr>
        <w:spacing w:after="0" w:line="2" w:lineRule="exact"/>
        <w:rPr>
          <w:rFonts w:ascii="Arial" w:cs="Arial" w:eastAsia="Arial" w:hAnsi="Arial"/>
          <w:sz w:val="18"/>
          <w:szCs w:val="18"/>
          <w:color w:val="auto"/>
        </w:rPr>
      </w:pPr>
    </w:p>
    <w:p>
      <w:pPr>
        <w:ind w:left="1040" w:hanging="315"/>
        <w:spacing w:after="0"/>
        <w:tabs>
          <w:tab w:leader="none" w:pos="10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refusal of the FDA to accept data from clinical trials in affected geographies outside the United States; and</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negative effects on the quality, completeness, integrity, interpretability and cost of our clinical study data.</w:t>
      </w:r>
    </w:p>
    <w:p>
      <w:pPr>
        <w:spacing w:after="0" w:line="22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potential disruptions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the combination of ublituximab plus UKONIQ for patients with CLL (UNITY-CLL) and our registration program for ublituximab in RMS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w:t>
      </w:r>
    </w:p>
    <w:p>
      <w:pPr>
        <w:spacing w:after="0" w:line="1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clinical trial program, however, the full extent to which the COVID-19 pandemic may directly or indirectly impact the progress of our current and planned trials will depend on future developments that are highly uncertain and cannot be accurately predicted.</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stock price is, and we expect it to remain, volatile, which could limit investors’ ability to sell stock at a profit.</w:t>
      </w:r>
    </w:p>
    <w:p>
      <w:pPr>
        <w:spacing w:after="0" w:line="235"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1040" w:right="79"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ind w:left="1040" w:right="79"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ind w:left="1040"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ind w:left="1040"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1040"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1040"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1040"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1040" w:right="79"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w:t>
      </w:r>
    </w:p>
    <w:p>
      <w:pPr>
        <w:ind w:left="1040"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1040"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to meet our revenue projections or guidance;</w:t>
      </w:r>
    </w:p>
    <w:p>
      <w:pPr>
        <w:ind w:left="1040" w:hanging="315"/>
        <w:spacing w:after="0" w:line="219"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1040" w:hanging="315"/>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8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the sole source of gain for our stockholders for the foreseeable future.</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Volatility in the price of our common stock may subject us to securities and shareholder derivative litigation, which could cause us to incur substantial costs and divert management’s attention, financial resources and other company assets.</w:t>
      </w:r>
    </w:p>
    <w:p>
      <w:pPr>
        <w:spacing w:after="0" w:line="184"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198" w:lineRule="exact"/>
        <w:rPr>
          <w:sz w:val="20"/>
          <w:szCs w:val="20"/>
          <w:color w:val="auto"/>
        </w:rPr>
      </w:pPr>
    </w:p>
    <w:p>
      <w:pPr>
        <w:ind w:left="1080" w:right="619" w:hanging="580"/>
        <w:spacing w:after="0" w:line="258"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85">
        <w:r>
          <w:rPr>
            <w:rFonts w:ascii="Arial" w:cs="Arial" w:eastAsia="Arial" w:hAnsi="Arial"/>
            <w:sz w:val="18"/>
            <w:szCs w:val="18"/>
            <w:u w:val="single" w:color="auto"/>
            <w:color w:val="0000EE"/>
          </w:rPr>
          <w:t>Certification of Chief Executive Officer pursuant to Rule 13a-14(a)/15d-14(a), as adopted pursuant to</w:t>
        </w:r>
      </w:hyperlink>
      <w:r>
        <w:rPr>
          <w:rFonts w:ascii="Arial" w:cs="Arial" w:eastAsia="Arial" w:hAnsi="Arial"/>
          <w:sz w:val="18"/>
          <w:szCs w:val="18"/>
          <w:u w:val="single" w:color="auto"/>
          <w:color w:val="0000EE"/>
        </w:rPr>
        <w:t xml:space="preserve"> </w:t>
      </w:r>
      <w:hyperlink w:anchor="page85">
        <w:r>
          <w:rPr>
            <w:rFonts w:ascii="Arial" w:cs="Arial" w:eastAsia="Arial" w:hAnsi="Arial"/>
            <w:sz w:val="18"/>
            <w:szCs w:val="18"/>
            <w:u w:val="single" w:color="auto"/>
            <w:color w:val="0000EE"/>
          </w:rPr>
          <w:t>Section 302 of the Sarbanes-Oxley Act of 2002, dated November 8, 2021.</w:t>
        </w:r>
      </w:hyperlink>
    </w:p>
    <w:p>
      <w:pPr>
        <w:spacing w:after="0" w:line="1" w:lineRule="exact"/>
        <w:rPr>
          <w:sz w:val="20"/>
          <w:szCs w:val="20"/>
          <w:color w:val="auto"/>
        </w:rPr>
      </w:pPr>
    </w:p>
    <w:p>
      <w:pPr>
        <w:ind w:left="1080" w:right="679" w:hanging="580"/>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86">
        <w:r>
          <w:rPr>
            <w:rFonts w:ascii="Arial" w:cs="Arial" w:eastAsia="Arial" w:hAnsi="Arial"/>
            <w:sz w:val="18"/>
            <w:szCs w:val="18"/>
            <w:u w:val="single" w:color="auto"/>
            <w:color w:val="0000EE"/>
          </w:rPr>
          <w:t>Certification of Chief Financial Officer pursuant to Rule 13a-14(a)/15d-14(a), as adopted pursuant to</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Section 302 of the Sarbanes-Oxley Act of 2002, dated November 8, 2021.</w:t>
        </w:r>
      </w:hyperlink>
    </w:p>
    <w:p>
      <w:pPr>
        <w:spacing w:after="0" w:line="1" w:lineRule="exact"/>
        <w:rPr>
          <w:sz w:val="20"/>
          <w:szCs w:val="20"/>
          <w:color w:val="auto"/>
        </w:rPr>
      </w:pPr>
    </w:p>
    <w:p>
      <w:pPr>
        <w:ind w:left="500"/>
        <w:spacing w:after="0"/>
        <w:rPr>
          <w:rFonts w:ascii="Arial" w:cs="Arial" w:eastAsia="Arial" w:hAnsi="Arial"/>
          <w:sz w:val="17"/>
          <w:szCs w:val="17"/>
          <w:color w:val="auto"/>
        </w:rPr>
      </w:pPr>
      <w:r>
        <w:rPr>
          <w:rFonts w:ascii="Arial" w:cs="Arial" w:eastAsia="Arial" w:hAnsi="Arial"/>
          <w:sz w:val="17"/>
          <w:szCs w:val="17"/>
          <w:color w:val="auto"/>
        </w:rPr>
        <w:t xml:space="preserve">32.1** </w:t>
      </w:r>
      <w:hyperlink w:anchor="page87">
        <w:r>
          <w:rPr>
            <w:rFonts w:ascii="Arial" w:cs="Arial" w:eastAsia="Arial" w:hAnsi="Arial"/>
            <w:sz w:val="17"/>
            <w:szCs w:val="17"/>
            <w:u w:val="single" w:color="auto"/>
            <w:color w:val="0000EE"/>
          </w:rPr>
          <w:t>Certification of Chief Executive Officer pursuant to 18 U.S.C. 1350, as adopted pursuant to Section</w:t>
        </w:r>
      </w:hyperlink>
    </w:p>
    <w:p>
      <w:pPr>
        <w:spacing w:after="0" w:line="21" w:lineRule="exact"/>
        <w:rPr>
          <w:sz w:val="20"/>
          <w:szCs w:val="20"/>
          <w:color w:val="auto"/>
        </w:rPr>
      </w:pPr>
    </w:p>
    <w:p>
      <w:pPr>
        <w:ind w:left="108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906 of the Sarbanes-Oxley Act of 2002, dated November 8, 2021.</w:t>
        </w:r>
      </w:hyperlink>
    </w:p>
    <w:p>
      <w:pPr>
        <w:spacing w:after="0" w:line="9" w:lineRule="exact"/>
        <w:rPr>
          <w:sz w:val="20"/>
          <w:szCs w:val="20"/>
          <w:color w:val="auto"/>
        </w:rPr>
      </w:pPr>
    </w:p>
    <w:p>
      <w:pPr>
        <w:ind w:left="500"/>
        <w:spacing w:after="0"/>
        <w:rPr>
          <w:rFonts w:ascii="Arial" w:cs="Arial" w:eastAsia="Arial" w:hAnsi="Arial"/>
          <w:sz w:val="17"/>
          <w:szCs w:val="17"/>
          <w:color w:val="auto"/>
        </w:rPr>
      </w:pPr>
      <w:r>
        <w:rPr>
          <w:rFonts w:ascii="Arial" w:cs="Arial" w:eastAsia="Arial" w:hAnsi="Arial"/>
          <w:sz w:val="17"/>
          <w:szCs w:val="17"/>
          <w:color w:val="auto"/>
        </w:rPr>
        <w:t xml:space="preserve">32.2** </w:t>
      </w:r>
      <w:hyperlink w:anchor="page88">
        <w:r>
          <w:rPr>
            <w:rFonts w:ascii="Arial" w:cs="Arial" w:eastAsia="Arial" w:hAnsi="Arial"/>
            <w:sz w:val="17"/>
            <w:szCs w:val="17"/>
            <w:u w:val="single" w:color="auto"/>
            <w:color w:val="0000EE"/>
          </w:rPr>
          <w:t>Certification of Chief Financial Officer pursuant to 18 U.S.C. 1350, as adopted pursuant to Section</w:t>
        </w:r>
      </w:hyperlink>
    </w:p>
    <w:p>
      <w:pPr>
        <w:spacing w:after="0" w:line="21" w:lineRule="exact"/>
        <w:rPr>
          <w:sz w:val="20"/>
          <w:szCs w:val="20"/>
          <w:color w:val="auto"/>
        </w:rPr>
      </w:pPr>
    </w:p>
    <w:p>
      <w:pPr>
        <w:ind w:left="108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906 of the Sarbanes-Oxley Act of 2002, dated November 8, 2021.</w:t>
        </w:r>
      </w:hyperlink>
    </w:p>
    <w:p>
      <w:pPr>
        <w:spacing w:after="0" w:line="9" w:lineRule="exact"/>
        <w:rPr>
          <w:sz w:val="20"/>
          <w:szCs w:val="20"/>
          <w:color w:val="auto"/>
        </w:rPr>
      </w:pPr>
    </w:p>
    <w:p>
      <w:pPr>
        <w:ind w:left="1080" w:right="539" w:hanging="579"/>
        <w:spacing w:after="0" w:line="250" w:lineRule="auto"/>
        <w:tabs>
          <w:tab w:leader="none" w:pos="1060" w:val="left"/>
        </w:tabs>
        <w:rPr>
          <w:sz w:val="20"/>
          <w:szCs w:val="20"/>
          <w:color w:val="auto"/>
        </w:rPr>
      </w:pPr>
      <w:r>
        <w:rPr>
          <w:rFonts w:ascii="Arial" w:cs="Arial" w:eastAsia="Arial" w:hAnsi="Arial"/>
          <w:sz w:val="18"/>
          <w:szCs w:val="18"/>
          <w:color w:val="auto"/>
        </w:rPr>
        <w:t>101*</w:t>
        <w:tab/>
        <w:t>The following financial information from the Company’s Quarterly Report on Form 10-Q for the period ended September 30, 2021, formatted in Inline Extensible Business Reporting Language (iXBRL): (i) the Condensed Consolidated Balance Sheets, (ii) the Condensed Consolidated Statements of Operations, (iii) the Condensed Consolidated Statements of Changes in Stockholders’ Equity, (iv) the Condensed Consolidated Statements of Cash Flows, and (v) Notes to the Condensed Consolidated Financial Statements (filed herewith).</w:t>
      </w:r>
    </w:p>
    <w:p>
      <w:pPr>
        <w:spacing w:after="0" w:line="2"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139"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5780" w:type="dxa"/>
            <w:vAlign w:val="bottom"/>
            <w:gridSpan w:val="2"/>
          </w:tcPr>
          <w:p>
            <w:pPr>
              <w:ind w:left="1340"/>
              <w:spacing w:after="0"/>
              <w:rPr>
                <w:sz w:val="20"/>
                <w:szCs w:val="20"/>
                <w:color w:val="auto"/>
              </w:rPr>
            </w:pPr>
            <w:r>
              <w:rPr>
                <w:rFonts w:ascii="Arial" w:cs="Arial" w:eastAsia="Arial" w:hAnsi="Arial"/>
                <w:sz w:val="18"/>
                <w:szCs w:val="18"/>
                <w:color w:val="auto"/>
              </w:rPr>
              <w:t>TG THERAPEUTICS, INC.</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Date: November 8, 2021</w:t>
            </w:r>
          </w:p>
        </w:tc>
        <w:tc>
          <w:tcPr>
            <w:tcW w:w="5780" w:type="dxa"/>
            <w:vAlign w:val="bottom"/>
            <w:gridSpan w:val="2"/>
          </w:tcPr>
          <w:p>
            <w:pPr>
              <w:ind w:left="1340"/>
              <w:spacing w:after="0"/>
              <w:rPr>
                <w:sz w:val="20"/>
                <w:szCs w:val="20"/>
                <w:color w:val="auto"/>
              </w:rPr>
            </w:pPr>
            <w:r>
              <w:rPr>
                <w:rFonts w:ascii="Arial" w:cs="Arial" w:eastAsia="Arial" w:hAnsi="Arial"/>
                <w:sz w:val="18"/>
                <w:szCs w:val="18"/>
                <w:color w:val="auto"/>
              </w:rPr>
              <w:t>By: /s/ Sean A. Power</w:t>
            </w:r>
          </w:p>
        </w:tc>
      </w:tr>
      <w:tr>
        <w:trPr>
          <w:trHeight w:val="195"/>
        </w:trPr>
        <w:tc>
          <w:tcPr>
            <w:tcW w:w="3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3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8,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99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5" w:name="page86"/>
    <w:bookmarkEnd w:id="8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8,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6" w:name="page87"/>
    <w:bookmarkEnd w:id="86"/>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2021 as filed with the Securities and Exchange Commission (the “Report”), I, Michael S. Weiss, Chairman and Chief Executive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8,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992"/>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87" w:name="page88"/>
    <w:bookmarkEnd w:id="87"/>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September 30, 2021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November 8,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7"/>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lvl w:ilvl="1">
      <w:lvlJc w:val="left"/>
      <w:lvlText w:val="●"/>
      <w:numFmt w:val="bullet"/>
      <w:start w:val="1"/>
    </w:lvl>
  </w:abstractNum>
  <w:abstractNum w:abstractNumId="40">
    <w:nsid w:val="7644A45C"/>
    <w:multiLevelType w:val="hybridMultilevel"/>
    <w:lvl w:ilvl="0">
      <w:lvlJc w:val="left"/>
      <w:lvlText w:val="●"/>
      <w:numFmt w:val="bullet"/>
      <w:start w:val="1"/>
    </w:lvl>
    <w:lvl w:ilvl="1">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9"/>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2021-11-08T15:31:17Z</dcterms:created>
  <dcterms:modified xsi:type="dcterms:W3CDTF">2021-11-08T15:31:17Z</dcterms:modified>
</cp:coreProperties>
</file>