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245110</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68" w:lineRule="exact"/>
        <w:rPr>
          <w:sz w:val="24"/>
          <w:szCs w:val="24"/>
          <w:color w:val="auto"/>
        </w:rPr>
      </w:pPr>
    </w:p>
    <w:p>
      <w:pPr>
        <w:ind w:left="580" w:right="2020" w:hanging="572"/>
        <w:spacing w:after="0" w:line="34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2013.</w:t>
      </w:r>
    </w:p>
    <w:p>
      <w:pPr>
        <w:spacing w:after="0" w:line="1" w:lineRule="exact"/>
        <w:rPr>
          <w:sz w:val="24"/>
          <w:szCs w:val="24"/>
          <w:color w:val="auto"/>
        </w:rPr>
      </w:pPr>
    </w:p>
    <w:p>
      <w:pPr>
        <w:ind w:left="5860"/>
        <w:spacing w:after="0"/>
        <w:rPr>
          <w:sz w:val="20"/>
          <w:szCs w:val="20"/>
          <w:color w:val="auto"/>
        </w:rPr>
      </w:pPr>
      <w:r>
        <w:rPr>
          <w:rFonts w:ascii="Arial" w:cs="Arial" w:eastAsia="Arial" w:hAnsi="Arial"/>
          <w:sz w:val="18"/>
          <w:szCs w:val="18"/>
          <w:b w:val="1"/>
          <w:bCs w:val="1"/>
          <w:color w:val="auto"/>
        </w:rPr>
        <w:t>OR</w:t>
      </w:r>
    </w:p>
    <w:p>
      <w:pPr>
        <w:spacing w:after="0" w:line="13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257810</wp:posOffset>
            </wp:positionV>
            <wp:extent cx="746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TG THERAPEUTICS, INC.</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8" w:lineRule="exact"/>
        <w:rPr>
          <w:sz w:val="24"/>
          <w:szCs w:val="24"/>
          <w:color w:val="auto"/>
        </w:rPr>
      </w:pPr>
    </w:p>
    <w:tbl>
      <w:tblPr>
        <w:tblLayout w:type="fixed"/>
        <w:tblInd w:w="1260" w:type="dxa"/>
        <w:tblCellMar>
          <w:top w:w="0" w:type="dxa"/>
          <w:left w:w="0" w:type="dxa"/>
          <w:bottom w:w="0" w:type="dxa"/>
          <w:right w:w="0" w:type="dxa"/>
        </w:tblCellMar>
      </w:tblPr>
      <w:tr>
        <w:trPr>
          <w:trHeight w:val="220"/>
        </w:trPr>
        <w:tc>
          <w:tcPr>
            <w:tcW w:w="46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Delaware</w:t>
            </w:r>
          </w:p>
        </w:tc>
        <w:tc>
          <w:tcPr>
            <w:tcW w:w="4440" w:type="dxa"/>
            <w:vAlign w:val="bottom"/>
          </w:tcPr>
          <w:p>
            <w:pPr>
              <w:jc w:val="right"/>
              <w:ind w:right="1770"/>
              <w:spacing w:after="0"/>
              <w:rPr>
                <w:sz w:val="20"/>
                <w:szCs w:val="20"/>
                <w:color w:val="auto"/>
              </w:rPr>
            </w:pPr>
            <w:r>
              <w:rPr>
                <w:rFonts w:ascii="Arial" w:cs="Arial" w:eastAsia="Arial" w:hAnsi="Arial"/>
                <w:sz w:val="18"/>
                <w:szCs w:val="18"/>
                <w:b w:val="1"/>
                <w:bCs w:val="1"/>
                <w:color w:val="auto"/>
              </w:rPr>
              <w:t>36-3898269</w:t>
            </w:r>
          </w:p>
        </w:tc>
        <w:tc>
          <w:tcPr>
            <w:tcW w:w="0" w:type="dxa"/>
            <w:vAlign w:val="bottom"/>
          </w:tcPr>
          <w:p>
            <w:pPr>
              <w:spacing w:after="0"/>
              <w:rPr>
                <w:sz w:val="1"/>
                <w:szCs w:val="1"/>
                <w:color w:val="auto"/>
              </w:rPr>
            </w:pPr>
          </w:p>
        </w:tc>
      </w:tr>
      <w:tr>
        <w:trPr>
          <w:trHeight w:val="216"/>
        </w:trPr>
        <w:tc>
          <w:tcPr>
            <w:tcW w:w="4600" w:type="dxa"/>
            <w:vAlign w:val="bottom"/>
          </w:tcPr>
          <w:p>
            <w:pPr>
              <w:jc w:val="center"/>
              <w:ind w:right="150"/>
              <w:spacing w:after="0"/>
              <w:rPr>
                <w:sz w:val="20"/>
                <w:szCs w:val="20"/>
                <w:color w:val="auto"/>
              </w:rPr>
            </w:pPr>
            <w:r>
              <w:rPr>
                <w:rFonts w:ascii="Arial" w:cs="Arial" w:eastAsia="Arial" w:hAnsi="Arial"/>
                <w:sz w:val="18"/>
                <w:szCs w:val="18"/>
                <w:color w:val="auto"/>
                <w:w w:val="92"/>
              </w:rPr>
              <w:t>(State or other jurisdiction of</w:t>
            </w:r>
          </w:p>
        </w:tc>
        <w:tc>
          <w:tcPr>
            <w:tcW w:w="4440" w:type="dxa"/>
            <w:vAlign w:val="bottom"/>
          </w:tcPr>
          <w:p>
            <w:pPr>
              <w:jc w:val="center"/>
              <w:ind w:right="70"/>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4600" w:type="dxa"/>
            <w:vAlign w:val="bottom"/>
          </w:tcPr>
          <w:p>
            <w:pPr>
              <w:jc w:val="center"/>
              <w:ind w:right="150"/>
              <w:spacing w:after="0"/>
              <w:rPr>
                <w:sz w:val="20"/>
                <w:szCs w:val="20"/>
                <w:color w:val="auto"/>
              </w:rPr>
            </w:pPr>
            <w:r>
              <w:rPr>
                <w:rFonts w:ascii="Arial" w:cs="Arial" w:eastAsia="Arial" w:hAnsi="Arial"/>
                <w:sz w:val="18"/>
                <w:szCs w:val="18"/>
                <w:color w:val="auto"/>
                <w:w w:val="92"/>
              </w:rPr>
              <w:t>incorporation or organization)</w:t>
            </w:r>
          </w:p>
        </w:tc>
        <w:tc>
          <w:tcPr>
            <w:tcW w:w="4440" w:type="dxa"/>
            <w:vAlign w:val="bottom"/>
          </w:tcPr>
          <w:p>
            <w:pPr>
              <w:jc w:val="center"/>
              <w:ind w:right="5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18"/>
        </w:trPr>
        <w:tc>
          <w:tcPr>
            <w:tcW w:w="46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3 Columbus Circle</w:t>
            </w:r>
          </w:p>
        </w:tc>
        <w:tc>
          <w:tcPr>
            <w:tcW w:w="4440" w:type="dxa"/>
            <w:vAlign w:val="bottom"/>
            <w:vMerge w:val="restart"/>
          </w:tcPr>
          <w:p>
            <w:pPr>
              <w:jc w:val="right"/>
              <w:ind w:right="1990"/>
              <w:spacing w:after="0"/>
              <w:rPr>
                <w:sz w:val="20"/>
                <w:szCs w:val="20"/>
                <w:color w:val="auto"/>
              </w:rPr>
            </w:pPr>
            <w:r>
              <w:rPr>
                <w:rFonts w:ascii="Arial" w:cs="Arial" w:eastAsia="Arial" w:hAnsi="Arial"/>
                <w:sz w:val="18"/>
                <w:szCs w:val="18"/>
                <w:b w:val="1"/>
                <w:bCs w:val="1"/>
                <w:color w:val="auto"/>
              </w:rPr>
              <w:t>10019</w:t>
            </w:r>
          </w:p>
        </w:tc>
        <w:tc>
          <w:tcPr>
            <w:tcW w:w="0" w:type="dxa"/>
            <w:vAlign w:val="bottom"/>
          </w:tcPr>
          <w:p>
            <w:pPr>
              <w:spacing w:after="0"/>
              <w:rPr>
                <w:sz w:val="1"/>
                <w:szCs w:val="1"/>
                <w:color w:val="auto"/>
              </w:rPr>
            </w:pPr>
          </w:p>
        </w:tc>
      </w:tr>
      <w:tr>
        <w:trPr>
          <w:trHeight w:val="253"/>
        </w:trPr>
        <w:tc>
          <w:tcPr>
            <w:tcW w:w="4600" w:type="dxa"/>
            <w:vAlign w:val="bottom"/>
          </w:tcPr>
          <w:p>
            <w:pPr>
              <w:jc w:val="center"/>
              <w:ind w:right="170"/>
              <w:spacing w:after="0" w:line="253" w:lineRule="exact"/>
              <w:rPr>
                <w:sz w:val="20"/>
                <w:szCs w:val="20"/>
                <w:color w:val="auto"/>
              </w:rPr>
            </w:pPr>
            <w:r>
              <w:rPr>
                <w:rFonts w:ascii="Arial" w:cs="Arial" w:eastAsia="Arial" w:hAnsi="Arial"/>
                <w:sz w:val="18"/>
                <w:szCs w:val="18"/>
                <w:b w:val="1"/>
                <w:bCs w:val="1"/>
                <w:color w:val="auto"/>
                <w:w w:val="88"/>
              </w:rPr>
              <w:t>15</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w:t>
            </w:r>
          </w:p>
        </w:tc>
        <w:tc>
          <w:tcPr>
            <w:tcW w:w="4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60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New York, New York</w:t>
            </w:r>
          </w:p>
        </w:tc>
        <w:tc>
          <w:tcPr>
            <w:tcW w:w="4440" w:type="dxa"/>
            <w:vAlign w:val="bottom"/>
          </w:tcPr>
          <w:p>
            <w:pPr>
              <w:jc w:val="center"/>
              <w:ind w:right="7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230"/>
        </w:trPr>
        <w:tc>
          <w:tcPr>
            <w:tcW w:w="460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4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040" w:type="dxa"/>
            <w:vAlign w:val="bottom"/>
            <w:gridSpan w:val="2"/>
          </w:tcPr>
          <w:p>
            <w:pPr>
              <w:ind w:left="2020"/>
              <w:spacing w:after="0"/>
              <w:rPr>
                <w:sz w:val="20"/>
                <w:szCs w:val="20"/>
                <w:color w:val="auto"/>
              </w:rPr>
            </w:pPr>
            <w:r>
              <w:rPr>
                <w:rFonts w:ascii="Arial" w:cs="Arial" w:eastAsia="Arial" w:hAnsi="Arial"/>
                <w:sz w:val="18"/>
                <w:szCs w:val="18"/>
                <w:b w:val="1"/>
                <w:bCs w:val="1"/>
                <w:color w:val="auto"/>
              </w:rPr>
              <w:t>Registrant’s telephone number, including area code: (212) 554-4484</w:t>
            </w:r>
          </w:p>
        </w:tc>
        <w:tc>
          <w:tcPr>
            <w:tcW w:w="0" w:type="dxa"/>
            <w:vAlign w:val="bottom"/>
          </w:tcPr>
          <w:p>
            <w:pPr>
              <w:spacing w:after="0"/>
              <w:rPr>
                <w:sz w:val="1"/>
                <w:szCs w:val="1"/>
                <w:color w:val="auto"/>
              </w:rPr>
            </w:pPr>
          </w:p>
        </w:tc>
      </w:tr>
      <w:tr>
        <w:trPr>
          <w:trHeight w:val="365"/>
        </w:trPr>
        <w:tc>
          <w:tcPr>
            <w:tcW w:w="9040" w:type="dxa"/>
            <w:vAlign w:val="bottom"/>
            <w:gridSpan w:val="2"/>
          </w:tcPr>
          <w:p>
            <w:pPr>
              <w:ind w:left="226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0" w:type="dxa"/>
            <w:vAlign w:val="bottom"/>
          </w:tcPr>
          <w:p>
            <w:pPr>
              <w:spacing w:after="0"/>
              <w:rPr>
                <w:sz w:val="1"/>
                <w:szCs w:val="1"/>
                <w:color w:val="auto"/>
              </w:rPr>
            </w:pPr>
          </w:p>
        </w:tc>
      </w:tr>
      <w:tr>
        <w:trPr>
          <w:trHeight w:val="418"/>
        </w:trPr>
        <w:tc>
          <w:tcPr>
            <w:tcW w:w="4600" w:type="dxa"/>
            <w:vAlign w:val="bottom"/>
          </w:tcPr>
          <w:p>
            <w:pPr>
              <w:jc w:val="center"/>
              <w:ind w:right="1310"/>
              <w:spacing w:after="0"/>
              <w:rPr>
                <w:sz w:val="20"/>
                <w:szCs w:val="20"/>
                <w:color w:val="auto"/>
              </w:rPr>
            </w:pPr>
            <w:r>
              <w:rPr>
                <w:rFonts w:ascii="Arial" w:cs="Arial" w:eastAsia="Arial" w:hAnsi="Arial"/>
                <w:sz w:val="18"/>
                <w:szCs w:val="18"/>
                <w:color w:val="auto"/>
                <w:w w:val="89"/>
              </w:rPr>
              <w:t>Common Stock, Par Value $0.001 Per Share</w:t>
            </w:r>
          </w:p>
        </w:tc>
        <w:tc>
          <w:tcPr>
            <w:tcW w:w="4440" w:type="dxa"/>
            <w:vAlign w:val="bottom"/>
          </w:tcPr>
          <w:p>
            <w:pPr>
              <w:jc w:val="center"/>
              <w:ind w:left="910"/>
              <w:spacing w:after="0"/>
              <w:rPr>
                <w:sz w:val="20"/>
                <w:szCs w:val="20"/>
                <w:color w:val="auto"/>
              </w:rPr>
            </w:pPr>
            <w:r>
              <w:rPr>
                <w:rFonts w:ascii="Arial" w:cs="Arial" w:eastAsia="Arial" w:hAnsi="Arial"/>
                <w:sz w:val="18"/>
                <w:szCs w:val="18"/>
                <w:color w:val="auto"/>
                <w:w w:val="95"/>
              </w:rPr>
              <w:t>NASDAQ Capital Market</w:t>
            </w:r>
          </w:p>
        </w:tc>
        <w:tc>
          <w:tcPr>
            <w:tcW w:w="0" w:type="dxa"/>
            <w:vAlign w:val="bottom"/>
          </w:tcPr>
          <w:p>
            <w:pPr>
              <w:spacing w:after="0"/>
              <w:rPr>
                <w:sz w:val="1"/>
                <w:szCs w:val="1"/>
                <w:color w:val="auto"/>
              </w:rPr>
            </w:pPr>
          </w:p>
        </w:tc>
      </w:tr>
      <w:tr>
        <w:trPr>
          <w:trHeight w:val="230"/>
        </w:trPr>
        <w:tc>
          <w:tcPr>
            <w:tcW w:w="4600" w:type="dxa"/>
            <w:vAlign w:val="bottom"/>
          </w:tcPr>
          <w:p>
            <w:pPr>
              <w:jc w:val="center"/>
              <w:ind w:right="1310"/>
              <w:spacing w:after="0"/>
              <w:rPr>
                <w:sz w:val="20"/>
                <w:szCs w:val="20"/>
                <w:color w:val="auto"/>
              </w:rPr>
            </w:pPr>
            <w:r>
              <w:rPr>
                <w:rFonts w:ascii="Arial" w:cs="Arial" w:eastAsia="Arial" w:hAnsi="Arial"/>
                <w:sz w:val="18"/>
                <w:szCs w:val="18"/>
                <w:color w:val="auto"/>
                <w:w w:val="93"/>
              </w:rPr>
              <w:t>(Title of Class)</w:t>
            </w:r>
          </w:p>
        </w:tc>
        <w:tc>
          <w:tcPr>
            <w:tcW w:w="4440" w:type="dxa"/>
            <w:vAlign w:val="bottom"/>
          </w:tcPr>
          <w:p>
            <w:pPr>
              <w:jc w:val="center"/>
              <w:ind w:left="890"/>
              <w:spacing w:after="0"/>
              <w:rPr>
                <w:sz w:val="20"/>
                <w:szCs w:val="20"/>
                <w:color w:val="auto"/>
              </w:rPr>
            </w:pPr>
            <w:r>
              <w:rPr>
                <w:rFonts w:ascii="Arial" w:cs="Arial" w:eastAsia="Arial" w:hAnsi="Arial"/>
                <w:sz w:val="18"/>
                <w:szCs w:val="18"/>
                <w:color w:val="auto"/>
                <w:w w:val="90"/>
              </w:rPr>
              <w:t>(Name of Each Exchange on Which Registered)</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ind w:left="5520"/>
        <w:spacing w:after="0"/>
        <w:rPr>
          <w:sz w:val="20"/>
          <w:szCs w:val="20"/>
          <w:color w:val="auto"/>
        </w:rPr>
      </w:pPr>
      <w:r>
        <w:rPr>
          <w:rFonts w:ascii="Arial" w:cs="Arial" w:eastAsia="Arial" w:hAnsi="Arial"/>
          <w:sz w:val="18"/>
          <w:szCs w:val="18"/>
          <w:color w:val="auto"/>
        </w:rPr>
        <w:t>None</w:t>
      </w:r>
    </w:p>
    <w:p>
      <w:pPr>
        <w:spacing w:after="0" w:line="14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Yes £ No x</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Yes £ No x</w:t>
      </w:r>
    </w:p>
    <w:p>
      <w:pPr>
        <w:spacing w:after="0" w:line="211" w:lineRule="exact"/>
        <w:rPr>
          <w:sz w:val="24"/>
          <w:szCs w:val="24"/>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114"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p>
    <w:p>
      <w:pPr>
        <w:spacing w:after="0" w:line="181"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spacing w:after="0" w:line="11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filed,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definitions of “large accelerated filer,” “accelerated filer,” and “smaller reporting company” in Rule 12b-2 of the Exchange Act). (Check one):</w:t>
      </w:r>
    </w:p>
    <w:p>
      <w:pPr>
        <w:sectPr>
          <w:pgSz w:w="11900" w:h="16838" w:orient="portrait"/>
          <w:cols w:equalWidth="0" w:num="1">
            <w:col w:w="11400"/>
          </w:cols>
          <w:pgMar w:left="240" w:top="679" w:right="259" w:bottom="0" w:gutter="0" w:footer="0" w:header="0"/>
        </w:sectPr>
      </w:pPr>
    </w:p>
    <w:p>
      <w:pPr>
        <w:spacing w:after="0" w:line="22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Large accelerated filer £</w:t>
      </w:r>
    </w:p>
    <w:p>
      <w:pPr>
        <w:spacing w:after="0" w:line="46" w:lineRule="exact"/>
        <w:rPr>
          <w:sz w:val="24"/>
          <w:szCs w:val="24"/>
          <w:color w:val="auto"/>
        </w:rPr>
      </w:pPr>
    </w:p>
    <w:p>
      <w:pPr>
        <w:ind w:left="660"/>
        <w:spacing w:after="0"/>
        <w:rPr>
          <w:sz w:val="20"/>
          <w:szCs w:val="20"/>
          <w:color w:val="auto"/>
        </w:rPr>
      </w:pPr>
      <w:r>
        <w:rPr>
          <w:rFonts w:ascii="Arial" w:cs="Arial" w:eastAsia="Arial" w:hAnsi="Arial"/>
          <w:sz w:val="17"/>
          <w:szCs w:val="17"/>
          <w:color w:val="auto"/>
        </w:rPr>
        <w:t>Non-accelerated filer £</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11" w:lineRule="exact"/>
        <w:rPr>
          <w:sz w:val="24"/>
          <w:szCs w:val="24"/>
          <w:color w:val="auto"/>
        </w:rPr>
      </w:pPr>
    </w:p>
    <w:p>
      <w:pPr>
        <w:sectPr>
          <w:pgSz w:w="11900" w:h="16838" w:orient="portrait"/>
          <w:cols w:equalWidth="0" w:num="2">
            <w:col w:w="5000" w:space="720"/>
            <w:col w:w="5680"/>
          </w:cols>
          <w:pgMar w:left="240" w:top="679" w:right="259" w:bottom="0" w:gutter="0" w:footer="0" w:header="0"/>
          <w:type w:val="continuous"/>
        </w:sectPr>
      </w:pPr>
    </w:p>
    <w:p>
      <w:pPr>
        <w:spacing w:after="0" w:line="2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Yes £ No x</w:t>
      </w:r>
    </w:p>
    <w:p>
      <w:pPr>
        <w:spacing w:after="0" w:line="211" w:lineRule="exact"/>
        <w:rPr>
          <w:sz w:val="24"/>
          <w:szCs w:val="24"/>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aggregate market value of voting common stock held by non-affiliates of the registrant (assuming, for purposes of this calculation, without conceding, that all executive officers and directors are “affiliates”) was $74,983,321 as of June 30, 2013, based on the closing sale price of such stock as reported on the NASDAQ Capital Market.</w:t>
      </w:r>
    </w:p>
    <w:p>
      <w:pPr>
        <w:sectPr>
          <w:pgSz w:w="11900" w:h="16838" w:orient="portrait"/>
          <w:cols w:equalWidth="0" w:num="1">
            <w:col w:w="11400"/>
          </w:cols>
          <w:pgMar w:left="240" w:top="679" w:right="259" w:bottom="0" w:gutter="0" w:footer="0" w:header="0"/>
          <w:type w:val="continuous"/>
        </w:sectPr>
      </w:pPr>
    </w:p>
    <w:bookmarkStart w:id="1" w:name="page2"/>
    <w:bookmarkEnd w:id="1"/>
    <w:p>
      <w:pPr>
        <w:ind w:left="660"/>
        <w:spacing w:after="0"/>
        <w:rPr>
          <w:sz w:val="20"/>
          <w:szCs w:val="20"/>
          <w:color w:val="auto"/>
        </w:rPr>
      </w:pPr>
      <w:r>
        <w:rPr>
          <w:rFonts w:ascii="Arial" w:cs="Arial" w:eastAsia="Arial" w:hAnsi="Arial"/>
          <w:sz w:val="18"/>
          <w:szCs w:val="18"/>
          <w:color w:val="auto"/>
        </w:rPr>
        <w:t>There were 34,373,925 shares of the registrant’s common stock, $0.001 par value, outstanding as of March 1, 2014.</w:t>
      </w: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the registrant’s Proxy Statement for the 2014 Annual Meeting of Stockholders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80" w:type="dxa"/>
            <w:vAlign w:val="bottom"/>
          </w:tcPr>
          <w:p>
            <w:pPr>
              <w:jc w:val="center"/>
              <w:ind w:right="50"/>
              <w:spacing w:after="0"/>
              <w:rPr>
                <w:sz w:val="20"/>
                <w:szCs w:val="20"/>
                <w:color w:val="auto"/>
              </w:rPr>
            </w:pPr>
            <w:r>
              <w:rPr>
                <w:rFonts w:ascii="Arial" w:cs="Arial" w:eastAsia="Arial" w:hAnsi="Arial"/>
                <w:sz w:val="18"/>
                <w:szCs w:val="18"/>
                <w:b w:val="1"/>
                <w:bCs w:val="1"/>
                <w:color w:val="auto"/>
              </w:rPr>
              <w:t>TG THERAPEUTICS, INC.</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ANNUAL REPORT ON FORM 10-K</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8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FOR THE FISCAL YEAR ENDED DECEMBER 31, 2013</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SPECIAL CAUTIONARY NOTICE REGARDING FORWARD-LOOKING STATEMENTS</w:t>
            </w:r>
          </w:p>
        </w:tc>
        <w:tc>
          <w:tcPr>
            <w:tcW w:w="9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9480" w:type="dxa"/>
            <w:vAlign w:val="bottom"/>
            <w:shd w:val="clear" w:color="auto" w:fill="CCFFCC"/>
          </w:tcPr>
          <w:p>
            <w:pPr>
              <w:jc w:val="center"/>
              <w:ind w:left="250"/>
              <w:spacing w:after="0"/>
              <w:rPr>
                <w:sz w:val="20"/>
                <w:szCs w:val="20"/>
                <w:color w:val="auto"/>
              </w:rPr>
            </w:pPr>
            <w:r>
              <w:rPr>
                <w:rFonts w:ascii="Arial" w:cs="Arial" w:eastAsia="Arial" w:hAnsi="Arial"/>
                <w:sz w:val="18"/>
                <w:szCs w:val="18"/>
                <w:b w:val="1"/>
                <w:bCs w:val="1"/>
                <w:color w:val="auto"/>
                <w:w w:val="98"/>
              </w:rPr>
              <w:t>PART I</w:t>
            </w:r>
          </w:p>
        </w:tc>
        <w:tc>
          <w:tcPr>
            <w:tcW w:w="9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480" w:type="dxa"/>
            <w:vAlign w:val="bottom"/>
          </w:tcPr>
          <w:p>
            <w:pPr>
              <w:ind w:left="340"/>
              <w:spacing w:after="0"/>
              <w:rPr>
                <w:sz w:val="20"/>
                <w:szCs w:val="20"/>
                <w:color w:val="auto"/>
              </w:rPr>
            </w:pPr>
            <w:r>
              <w:rPr>
                <w:rFonts w:ascii="Arial" w:cs="Arial" w:eastAsia="Arial" w:hAnsi="Arial"/>
                <w:sz w:val="18"/>
                <w:szCs w:val="18"/>
                <w:color w:val="auto"/>
              </w:rPr>
              <w:t>Business</w:t>
            </w:r>
          </w:p>
        </w:tc>
        <w:tc>
          <w:tcPr>
            <w:tcW w:w="900" w:type="dxa"/>
            <w:vAlign w:val="bottom"/>
          </w:tcPr>
          <w:p>
            <w:pPr>
              <w:ind w:left="3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4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Risk Factors</w:t>
            </w:r>
          </w:p>
        </w:tc>
        <w:tc>
          <w:tcPr>
            <w:tcW w:w="9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tcPr>
          <w:p>
            <w:pPr>
              <w:ind w:left="340"/>
              <w:spacing w:after="0"/>
              <w:rPr>
                <w:sz w:val="20"/>
                <w:szCs w:val="20"/>
                <w:color w:val="auto"/>
              </w:rPr>
            </w:pPr>
            <w:r>
              <w:rPr>
                <w:rFonts w:ascii="Arial" w:cs="Arial" w:eastAsia="Arial" w:hAnsi="Arial"/>
                <w:sz w:val="18"/>
                <w:szCs w:val="18"/>
                <w:color w:val="auto"/>
              </w:rPr>
              <w:t>Properties</w:t>
            </w:r>
          </w:p>
        </w:tc>
        <w:tc>
          <w:tcPr>
            <w:tcW w:w="900" w:type="dxa"/>
            <w:vAlign w:val="bottom"/>
          </w:tcPr>
          <w:p>
            <w:pPr>
              <w:ind w:left="3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4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Legal Proceedings</w:t>
            </w:r>
          </w:p>
        </w:tc>
        <w:tc>
          <w:tcPr>
            <w:tcW w:w="9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480" w:type="dxa"/>
            <w:vAlign w:val="bottom"/>
          </w:tcPr>
          <w:p>
            <w:pPr>
              <w:ind w:left="340"/>
              <w:spacing w:after="0"/>
              <w:rPr>
                <w:sz w:val="20"/>
                <w:szCs w:val="20"/>
                <w:color w:val="auto"/>
              </w:rPr>
            </w:pPr>
            <w:r>
              <w:rPr>
                <w:rFonts w:ascii="Arial" w:cs="Arial" w:eastAsia="Arial" w:hAnsi="Arial"/>
                <w:sz w:val="18"/>
                <w:szCs w:val="18"/>
                <w:color w:val="auto"/>
              </w:rPr>
              <w:t>Mine Safety Disclosures</w:t>
            </w:r>
          </w:p>
        </w:tc>
        <w:tc>
          <w:tcPr>
            <w:tcW w:w="900" w:type="dxa"/>
            <w:vAlign w:val="bottom"/>
          </w:tcPr>
          <w:p>
            <w:pPr>
              <w:ind w:left="3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94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80" w:type="dxa"/>
            <w:vAlign w:val="bottom"/>
          </w:tcPr>
          <w:p>
            <w:pPr>
              <w:jc w:val="center"/>
              <w:ind w:left="250"/>
              <w:spacing w:after="0"/>
              <w:rPr>
                <w:sz w:val="20"/>
                <w:szCs w:val="20"/>
                <w:color w:val="auto"/>
              </w:rPr>
            </w:pPr>
            <w:r>
              <w:rPr>
                <w:rFonts w:ascii="Arial" w:cs="Arial" w:eastAsia="Arial" w:hAnsi="Arial"/>
                <w:sz w:val="18"/>
                <w:szCs w:val="18"/>
                <w:b w:val="1"/>
                <w:bCs w:val="1"/>
                <w:color w:val="auto"/>
              </w:rPr>
              <w:t>PART II</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94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9480" w:type="dxa"/>
            <w:vAlign w:val="bottom"/>
          </w:tcPr>
          <w:p>
            <w:pPr>
              <w:ind w:left="34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900" w:type="dxa"/>
            <w:vAlign w:val="bottom"/>
          </w:tcPr>
          <w:p>
            <w:pPr>
              <w:ind w:left="3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ITEM 7</w:t>
            </w:r>
          </w:p>
        </w:tc>
        <w:tc>
          <w:tcPr>
            <w:tcW w:w="94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8</w:t>
            </w:r>
          </w:p>
        </w:tc>
        <w:tc>
          <w:tcPr>
            <w:tcW w:w="9480" w:type="dxa"/>
            <w:vAlign w:val="bottom"/>
          </w:tcPr>
          <w:p>
            <w:pPr>
              <w:ind w:left="340"/>
              <w:spacing w:after="0"/>
              <w:rPr>
                <w:sz w:val="20"/>
                <w:szCs w:val="20"/>
                <w:color w:val="auto"/>
              </w:rPr>
            </w:pPr>
            <w:r>
              <w:rPr>
                <w:rFonts w:ascii="Arial" w:cs="Arial" w:eastAsia="Arial" w:hAnsi="Arial"/>
                <w:sz w:val="18"/>
                <w:szCs w:val="18"/>
                <w:color w:val="auto"/>
              </w:rPr>
              <w:t>Financial Statements and Supplementary Data</w:t>
            </w:r>
          </w:p>
        </w:tc>
        <w:tc>
          <w:tcPr>
            <w:tcW w:w="900" w:type="dxa"/>
            <w:vAlign w:val="bottom"/>
          </w:tcPr>
          <w:p>
            <w:pPr>
              <w:ind w:left="3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ITEM 9</w:t>
            </w:r>
          </w:p>
        </w:tc>
        <w:tc>
          <w:tcPr>
            <w:tcW w:w="94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Changes in and Disagreements With Accountants on Accounting and Financial Disclosures</w:t>
            </w:r>
          </w:p>
        </w:tc>
        <w:tc>
          <w:tcPr>
            <w:tcW w:w="9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9A</w:t>
            </w:r>
          </w:p>
        </w:tc>
        <w:tc>
          <w:tcPr>
            <w:tcW w:w="9480" w:type="dxa"/>
            <w:vAlign w:val="bottom"/>
          </w:tcPr>
          <w:p>
            <w:pPr>
              <w:ind w:left="340"/>
              <w:spacing w:after="0"/>
              <w:rPr>
                <w:sz w:val="20"/>
                <w:szCs w:val="20"/>
                <w:color w:val="auto"/>
              </w:rPr>
            </w:pPr>
            <w:r>
              <w:rPr>
                <w:rFonts w:ascii="Arial" w:cs="Arial" w:eastAsia="Arial" w:hAnsi="Arial"/>
                <w:sz w:val="18"/>
                <w:szCs w:val="18"/>
                <w:color w:val="auto"/>
              </w:rPr>
              <w:t>Controls and Procedures</w:t>
            </w:r>
          </w:p>
        </w:tc>
        <w:tc>
          <w:tcPr>
            <w:tcW w:w="900" w:type="dxa"/>
            <w:vAlign w:val="bottom"/>
          </w:tcPr>
          <w:p>
            <w:pPr>
              <w:ind w:left="3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ITEM 9B</w:t>
            </w:r>
          </w:p>
        </w:tc>
        <w:tc>
          <w:tcPr>
            <w:tcW w:w="94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Other Information</w:t>
            </w:r>
          </w:p>
        </w:tc>
        <w:tc>
          <w:tcPr>
            <w:tcW w:w="9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9480" w:type="dxa"/>
            <w:vAlign w:val="bottom"/>
            <w:shd w:val="clear" w:color="auto" w:fill="CCFFCC"/>
          </w:tcPr>
          <w:p>
            <w:pPr>
              <w:jc w:val="center"/>
              <w:ind w:left="250"/>
              <w:spacing w:after="0"/>
              <w:rPr>
                <w:sz w:val="20"/>
                <w:szCs w:val="20"/>
                <w:color w:val="auto"/>
              </w:rPr>
            </w:pPr>
            <w:r>
              <w:rPr>
                <w:rFonts w:ascii="Arial" w:cs="Arial" w:eastAsia="Arial" w:hAnsi="Arial"/>
                <w:sz w:val="18"/>
                <w:szCs w:val="18"/>
                <w:b w:val="1"/>
                <w:bCs w:val="1"/>
                <w:color w:val="auto"/>
              </w:rPr>
              <w:t>PART III</w:t>
            </w:r>
          </w:p>
        </w:tc>
        <w:tc>
          <w:tcPr>
            <w:tcW w:w="9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ITEM 10</w:t>
            </w:r>
          </w:p>
        </w:tc>
        <w:tc>
          <w:tcPr>
            <w:tcW w:w="94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Directors, Executive Officers and Corporate Governance</w:t>
            </w:r>
          </w:p>
        </w:tc>
        <w:tc>
          <w:tcPr>
            <w:tcW w:w="9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11</w:t>
            </w:r>
          </w:p>
        </w:tc>
        <w:tc>
          <w:tcPr>
            <w:tcW w:w="9480" w:type="dxa"/>
            <w:vAlign w:val="bottom"/>
          </w:tcPr>
          <w:p>
            <w:pPr>
              <w:ind w:left="340"/>
              <w:spacing w:after="0"/>
              <w:rPr>
                <w:sz w:val="20"/>
                <w:szCs w:val="20"/>
                <w:color w:val="auto"/>
              </w:rPr>
            </w:pPr>
            <w:r>
              <w:rPr>
                <w:rFonts w:ascii="Arial" w:cs="Arial" w:eastAsia="Arial" w:hAnsi="Arial"/>
                <w:sz w:val="18"/>
                <w:szCs w:val="18"/>
                <w:color w:val="auto"/>
              </w:rPr>
              <w:t>Executive Compensation</w:t>
            </w:r>
          </w:p>
        </w:tc>
        <w:tc>
          <w:tcPr>
            <w:tcW w:w="900" w:type="dxa"/>
            <w:vAlign w:val="bottom"/>
          </w:tcPr>
          <w:p>
            <w:pPr>
              <w:ind w:left="3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ITEM 12</w:t>
            </w:r>
          </w:p>
        </w:tc>
        <w:tc>
          <w:tcPr>
            <w:tcW w:w="94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9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13</w:t>
            </w:r>
          </w:p>
        </w:tc>
        <w:tc>
          <w:tcPr>
            <w:tcW w:w="9480" w:type="dxa"/>
            <w:vAlign w:val="bottom"/>
          </w:tcPr>
          <w:p>
            <w:pPr>
              <w:ind w:left="3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900" w:type="dxa"/>
            <w:vAlign w:val="bottom"/>
          </w:tcPr>
          <w:p>
            <w:pPr>
              <w:ind w:left="3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ITEM 14</w:t>
            </w:r>
          </w:p>
        </w:tc>
        <w:tc>
          <w:tcPr>
            <w:tcW w:w="94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Principal Accountant Fees and Services</w:t>
            </w:r>
          </w:p>
        </w:tc>
        <w:tc>
          <w:tcPr>
            <w:tcW w:w="9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9480" w:type="dxa"/>
            <w:vAlign w:val="bottom"/>
            <w:shd w:val="clear" w:color="auto" w:fill="CCFFCC"/>
          </w:tcPr>
          <w:p>
            <w:pPr>
              <w:jc w:val="center"/>
              <w:ind w:left="250"/>
              <w:spacing w:after="0"/>
              <w:rPr>
                <w:sz w:val="20"/>
                <w:szCs w:val="20"/>
                <w:color w:val="auto"/>
              </w:rPr>
            </w:pPr>
            <w:r>
              <w:rPr>
                <w:rFonts w:ascii="Arial" w:cs="Arial" w:eastAsia="Arial" w:hAnsi="Arial"/>
                <w:sz w:val="18"/>
                <w:szCs w:val="18"/>
                <w:b w:val="1"/>
                <w:bCs w:val="1"/>
                <w:color w:val="auto"/>
                <w:w w:val="98"/>
              </w:rPr>
              <w:t>PART IV</w:t>
            </w:r>
          </w:p>
        </w:tc>
        <w:tc>
          <w:tcPr>
            <w:tcW w:w="9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ITEM 15</w:t>
            </w:r>
          </w:p>
        </w:tc>
        <w:tc>
          <w:tcPr>
            <w:tcW w:w="94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Exhibits and Financial Statement Schedules</w:t>
            </w:r>
          </w:p>
        </w:tc>
        <w:tc>
          <w:tcPr>
            <w:tcW w:w="9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Annual Report on Form 10-K contains trademarks and trade names of TG Therapeutics, Inc., including our name and logo. All other trademarks, service marks, or trade names referenced in this Annual Report on Form 10-K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83"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25" w:lineRule="exact"/>
        <w:rPr>
          <w:rFonts w:ascii="Arial" w:cs="Arial" w:eastAsia="Arial" w:hAnsi="Arial"/>
          <w:sz w:val="18"/>
          <w:szCs w:val="18"/>
          <w:color w:val="auto"/>
        </w:rPr>
      </w:pPr>
    </w:p>
    <w:p>
      <w:pPr>
        <w:ind w:left="1300" w:right="10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as to the timing of commencing or completing pre-clinical and clinical trials and the expected outcomes of those trials;</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of our products by doctors, patients or payors;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reimbursement for our products;</w:t>
      </w:r>
    </w:p>
    <w:p>
      <w:pPr>
        <w:spacing w:after="0" w:line="225" w:lineRule="exact"/>
        <w:rPr>
          <w:rFonts w:ascii="Arial" w:cs="Arial" w:eastAsia="Arial" w:hAnsi="Arial"/>
          <w:sz w:val="18"/>
          <w:szCs w:val="18"/>
          <w:color w:val="auto"/>
        </w:rPr>
      </w:pPr>
    </w:p>
    <w:p>
      <w:pPr>
        <w:ind w:left="1300" w:right="34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and its volatility;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losses;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the company is developing two therapies targeting hematological malignancies. TG-1101 (ublituximab), is a novel, glycoengineered monoclonal antibody that targets a specific and unique epitope on the CD20 antigen found on B-lymphocytes. We are also developing TGR-1202, an orally available PI3K delta inhibitor.</w:t>
      </w:r>
    </w:p>
    <w:p>
      <w:pPr>
        <w:spacing w:after="0" w:line="19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were incorporated in Delaware in 1993. Our executive offices are located at 3 Columbus Circle, New York, New York 10019. Our telephone number is 212-554-4484, and our e-mail address is info@tgtxinc.com.</w:t>
      </w:r>
    </w:p>
    <w:p>
      <w:pPr>
        <w:spacing w:after="0" w:line="17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 xml:space="preserve">We file reports with the SEC on an annual basis using Form 10-K, quarterly reports on Form 10-Q and current reports on Form 8-K. You may read and copy any such reports and amendments thereto at the SEC’s Public Reference Room at 100 F Street, N.E., Washington, D.C. 20549 on official business days during the hours of 10:00 a.m. to 3:00 p.m. Please call the SEC at 1-800-SEC-0330 for information on the Public Reference Room. Additionally, the SEC maintains a website that contains annual, quarterly, and current reports, proxy statements, and other information that issuers (including us) file electronically with the SEC. The SEC’s website address is </w:t>
      </w:r>
      <w:r>
        <w:rPr>
          <w:rFonts w:ascii="Arial" w:cs="Arial" w:eastAsia="Arial" w:hAnsi="Arial"/>
          <w:sz w:val="17"/>
          <w:szCs w:val="17"/>
          <w:u w:val="single" w:color="auto"/>
          <w:color w:val="auto"/>
        </w:rPr>
        <w:t>http://www.sec.gov</w:t>
      </w: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UNDER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and South Korea and Southeast Asia which were licensed to Ildong Pharmaceutical Co. Ltd (“Ildong”) in November 2012.</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7"/>
          <w:szCs w:val="17"/>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w:t>
      </w:r>
      <w:r>
        <w:rPr>
          <w:rFonts w:ascii="Arial" w:cs="Arial" w:eastAsia="Arial" w:hAnsi="Arial"/>
          <w:sz w:val="28"/>
          <w:szCs w:val="28"/>
          <w:color w:val="auto"/>
          <w:vertAlign w:val="superscript"/>
        </w:rPr>
        <w:t>®</w:t>
      </w:r>
      <w:r>
        <w:rPr>
          <w:rFonts w:ascii="Arial" w:cs="Arial" w:eastAsia="Arial" w:hAnsi="Arial"/>
          <w:sz w:val="17"/>
          <w:szCs w:val="17"/>
          <w:color w:val="auto"/>
        </w:rPr>
        <w:t>, the leading anti-CD20 monoclonal antibody, which had worldwide sales in 2012 of approximately $7 billion.</w:t>
      </w:r>
    </w:p>
    <w:p>
      <w:pPr>
        <w:spacing w:after="0" w:line="42" w:lineRule="exact"/>
        <w:rPr>
          <w:sz w:val="20"/>
          <w:szCs w:val="20"/>
          <w:color w:val="auto"/>
        </w:rPr>
      </w:pPr>
    </w:p>
    <w:p>
      <w:pPr>
        <w:ind w:right="240" w:firstLine="648"/>
        <w:spacing w:after="0" w:line="288" w:lineRule="auto"/>
        <w:rPr>
          <w:sz w:val="20"/>
          <w:szCs w:val="20"/>
          <w:color w:val="auto"/>
        </w:rPr>
      </w:pPr>
      <w:r>
        <w:rPr>
          <w:rFonts w:ascii="Arial" w:cs="Arial" w:eastAsia="Arial" w:hAnsi="Arial"/>
          <w:sz w:val="16"/>
          <w:szCs w:val="16"/>
          <w:color w:val="auto"/>
        </w:rPr>
        <w:t>Two single-agent, dose-escalation, Phase I studies were undertaken with TG-1101 to establish an optimal dose in patients with Non-Hodgkin’s Lymphoma (“NHL”) and Chronic Lymphocytic Leukemia (“CLL”). A two part first-in-human Phase I clinical trial was first completed in France in which TG-1101 was evaluated in relapsed or refractory CLL patients at doses as high as 450mg per infusion. Preliminary results from Part 2 of this study were</w:t>
      </w:r>
    </w:p>
    <w:p>
      <w:pPr>
        <w:ind w:right="220"/>
        <w:spacing w:after="0" w:line="229" w:lineRule="auto"/>
        <w:rPr>
          <w:sz w:val="20"/>
          <w:szCs w:val="20"/>
          <w:color w:val="auto"/>
        </w:rPr>
      </w:pPr>
      <w:r>
        <w:rPr>
          <w:rFonts w:ascii="Arial" w:cs="Arial" w:eastAsia="Arial" w:hAnsi="Arial"/>
          <w:sz w:val="18"/>
          <w:szCs w:val="18"/>
          <w:color w:val="auto"/>
        </w:rPr>
        <w:t>presented at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Annual American Society of Hematology Meeting in December 2011 and recently presented again at the 2013 European Hematology Annual Meeting. Subsequently, a single-agent Phase I study was undertaken in the US enrolling patients with both NHL and CLL, dosing patients up to 1200mg per infusion. In oncology settings, anti-CD20 therapy is generally used in combination with other anti-cancer agents where it demonstrates maximum activity as opposed to single agent usage. As a result, subsequent clinical development for TG-1101 has focused on combination therapy with Phase I studies undertaken evaluating the following regimens:</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 w:name="page6"/>
    <w:bookmarkEnd w:id="5"/>
    <w:p>
      <w:pPr>
        <w:ind w:left="1300" w:hanging="320"/>
        <w:spacing w:after="0"/>
        <w:tabs>
          <w:tab w:leader="none" w:pos="1300" w:val="left"/>
        </w:tabs>
        <w:numPr>
          <w:ilvl w:val="0"/>
          <w:numId w:val="4"/>
        </w:numPr>
        <w:rPr>
          <w:rFonts w:ascii="Arial" w:cs="Arial" w:eastAsia="Arial" w:hAnsi="Arial"/>
          <w:sz w:val="34"/>
          <w:szCs w:val="34"/>
          <w:color w:val="auto"/>
          <w:vertAlign w:val="superscript"/>
        </w:rPr>
      </w:pPr>
      <w:r>
        <w:rPr>
          <w:rFonts w:ascii="Arial" w:cs="Arial" w:eastAsia="Arial" w:hAnsi="Arial"/>
          <w:sz w:val="17"/>
          <w:szCs w:val="17"/>
          <w:color w:val="auto"/>
        </w:rPr>
        <w:t>TG-1101 in combination with lenalidomide (trade name Revlimid</w:t>
      </w:r>
      <w:r>
        <w:rPr>
          <w:rFonts w:ascii="Arial" w:cs="Arial" w:eastAsia="Arial" w:hAnsi="Arial"/>
          <w:sz w:val="28"/>
          <w:szCs w:val="28"/>
          <w:color w:val="auto"/>
          <w:vertAlign w:val="superscript"/>
        </w:rPr>
        <w:t>®</w:t>
      </w:r>
      <w:r>
        <w:rPr>
          <w:rFonts w:ascii="Arial" w:cs="Arial" w:eastAsia="Arial" w:hAnsi="Arial"/>
          <w:sz w:val="17"/>
          <w:szCs w:val="17"/>
          <w:color w:val="auto"/>
        </w:rPr>
        <w:t>), an immunomodulatory agent, for patients with NHL and CLL;</w:t>
      </w:r>
    </w:p>
    <w:p>
      <w:pPr>
        <w:ind w:left="1300" w:right="80" w:hanging="320"/>
        <w:spacing w:after="0" w:line="24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TG-1101 in combination with ibrutinib (trade name IMBRUVICA™), a BTK inhibitor, for patients with CLL and Mantle Cell Lymphoma (MCL); and</w:t>
      </w: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TG-1101 in combination with TGR-1202, the Company’s development stage PI3Kδ inhibitor, for patients with CLL and NHL.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combinations studies with novel agents are planned.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Manufacturing of TG-1101 is currently performed by our partner, LFB Biotechnologies.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 Overview</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mechanism of action of anti-CD20 antibodies, including rituximab and TG-1101 has been elucidated and detailed in numerous academic and clinical studies. Upon conjugation of the antibody to the CD20 surface antigen, rituximab has been found to deplete B-lymphocytes through three primary mechanisms: ADCC, CDC, and DCD or PCD.</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Antibody dependent cellular cytotoxicity, or ADCC, is a mechanism that is dependent on interactions between the Fc region of the antibody and the FcγR receptors on immune system effector cells, most notably the FcγRIIIA (CD16) receptor found on NK cells. These interactions trigger cells to release pre-forming proteins and proteases resulting in B-cell death. CDC occurs when binding of the antibody to the CD20 epitope leads to activation of the complement immune system, also known as the “innate” immune system, which can lead to destruction of the target cell. In programmed cell death, or PCD, the binding of the antibody to the CD20 antigen leads to the activation of apoptotic signaling pathways, contributing to cell death.</w:t>
      </w:r>
    </w:p>
    <w:p>
      <w:pPr>
        <w:spacing w:after="0" w:line="15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TG-1101 is a third generation, type I chimeric IgG1 monoclonal antibody with a glycoengineered Fc region designed specifically to induce higher ADCC activity in comparison to rituximab.</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i w:val="1"/>
          <w:iCs w:val="1"/>
          <w:color w:val="auto"/>
        </w:rPr>
        <w:t xml:space="preserve">In vitro </w:t>
      </w:r>
      <w:r>
        <w:rPr>
          <w:rFonts w:ascii="Arial" w:cs="Arial" w:eastAsia="Arial" w:hAnsi="Arial"/>
          <w:sz w:val="18"/>
          <w:szCs w:val="18"/>
          <w:color w:val="auto"/>
        </w:rPr>
        <w:t>testing has demonstrated superior ADCC induction of TG-1101 over rituximab (</w:t>
      </w:r>
      <w:r>
        <w:rPr>
          <w:rFonts w:ascii="Arial" w:cs="Arial" w:eastAsia="Arial" w:hAnsi="Arial"/>
          <w:sz w:val="18"/>
          <w:szCs w:val="18"/>
          <w:i w:val="1"/>
          <w:iCs w:val="1"/>
          <w:color w:val="auto"/>
        </w:rPr>
        <w:t>see Figure 1</w:t>
      </w:r>
      <w:r>
        <w:rPr>
          <w:rFonts w:ascii="Arial" w:cs="Arial" w:eastAsia="Arial" w:hAnsi="Arial"/>
          <w:sz w:val="18"/>
          <w:szCs w:val="18"/>
          <w:color w:val="auto"/>
        </w:rPr>
        <w:t>). Tested on CLL patient B-cell samples at</w:t>
      </w:r>
      <w:r>
        <w:rPr>
          <w:rFonts w:ascii="Arial" w:cs="Arial" w:eastAsia="Arial" w:hAnsi="Arial"/>
          <w:sz w:val="18"/>
          <w:szCs w:val="18"/>
          <w:i w:val="1"/>
          <w:iCs w:val="1"/>
          <w:color w:val="auto"/>
        </w:rPr>
        <w:t xml:space="preserve"> </w:t>
      </w:r>
      <w:r>
        <w:rPr>
          <w:rFonts w:ascii="Arial" w:cs="Arial" w:eastAsia="Arial" w:hAnsi="Arial"/>
          <w:sz w:val="18"/>
          <w:szCs w:val="18"/>
          <w:color w:val="auto"/>
        </w:rPr>
        <w:t>concentrations of 50 ng/mL, TG-1101 produces ADCC activity of 35%, while rituximab was found to exhibit ADCC levels of only 5% at the same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5342890" cy="2049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2890"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firstLine="648"/>
        <w:spacing w:after="0" w:line="222" w:lineRule="auto"/>
        <w:rPr>
          <w:sz w:val="20"/>
          <w:szCs w:val="20"/>
          <w:color w:val="auto"/>
        </w:rPr>
      </w:pPr>
      <w:r>
        <w:rPr>
          <w:rFonts w:ascii="Arial" w:cs="Arial" w:eastAsia="Arial" w:hAnsi="Arial"/>
          <w:sz w:val="18"/>
          <w:szCs w:val="18"/>
          <w:color w:val="auto"/>
        </w:rPr>
        <w:t xml:space="preserve">Extensive pre-clinical studies of TG-1101, including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assays as a single agent and in combination with chemotherapeutic agents have been conducted, with recent presentations in abstract and poster form given at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and 54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American Society of Hematology Meetings in December 2011 and 2012,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Data Overview and 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TG-1101 in Relapsed/Refractory CLL</w:t>
      </w:r>
    </w:p>
    <w:p>
      <w:pPr>
        <w:spacing w:after="0" w:line="225" w:lineRule="exact"/>
        <w:rPr>
          <w:sz w:val="20"/>
          <w:szCs w:val="20"/>
          <w:color w:val="auto"/>
        </w:rPr>
      </w:pPr>
    </w:p>
    <w:p>
      <w:pPr>
        <w:ind w:right="20" w:firstLine="648"/>
        <w:spacing w:after="0" w:line="292" w:lineRule="auto"/>
        <w:rPr>
          <w:sz w:val="20"/>
          <w:szCs w:val="20"/>
          <w:color w:val="auto"/>
        </w:rPr>
      </w:pPr>
      <w:r>
        <w:rPr>
          <w:rFonts w:ascii="Arial" w:cs="Arial" w:eastAsia="Arial" w:hAnsi="Arial"/>
          <w:sz w:val="17"/>
          <w:szCs w:val="17"/>
          <w:color w:val="auto"/>
        </w:rPr>
        <w:t>A multicenter, open-label Phase I/Ib clinical trial of TG-1101 was completed which aimed to assess the safety, tolerability, and efficacy of TG-1101 in patients with relapsed or refractory CLL. This two part, first-in-man, dose escalating trial was conducted in nine centers in France with preliminary results from Parts 1 and 2 presented at the 52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and 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Annual American Society of Hematology (“ASH”) meetings, respectively.</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3" w:right="299" w:bottom="1440" w:gutter="0" w:footer="0" w:header="0"/>
        </w:sectPr>
      </w:pPr>
    </w:p>
    <w:bookmarkStart w:id="6" w:name="page7"/>
    <w:bookmarkEnd w:id="6"/>
    <w:p>
      <w:pPr>
        <w:ind w:right="100" w:firstLine="648"/>
        <w:spacing w:after="0" w:line="257" w:lineRule="auto"/>
        <w:rPr>
          <w:sz w:val="20"/>
          <w:szCs w:val="20"/>
          <w:color w:val="auto"/>
        </w:rPr>
      </w:pPr>
      <w:r>
        <w:rPr>
          <w:rFonts w:ascii="Arial" w:cs="Arial" w:eastAsia="Arial" w:hAnsi="Arial"/>
          <w:sz w:val="18"/>
          <w:szCs w:val="18"/>
          <w:color w:val="auto"/>
        </w:rPr>
        <w:t>The study regimen in Part 1 involved 21 patients in five dosing cohorts receiving infusions of TG-1101 at a dose ranging from 5mg to 450mg once weekly over the course of four weeks. Part 2 of this study evaluated the safety and efficacy profile of TG-1101 when administered in an 8-dose regimen (150mg initial dose, followed by seven doses of 450mg). Inclusion criteria were the same in Parts 1 and 2 of the study. In Part 2, 12 patients were enrolled, having a median age of 69.5 years, and a median of 3 prior therapies (58% previously treated with rituximab). Patients were assessed for efficacy every eight weeks.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TG-1101 was well tolerated with adverse events generally consistent with those exhibited by other anti-CD20 antibodies.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Part 2 of the study, rapid, near total blood lymphocyte depletion was observed in all patients (</w:t>
      </w:r>
      <w:r>
        <w:rPr>
          <w:rFonts w:ascii="Arial" w:cs="Arial" w:eastAsia="Arial" w:hAnsi="Arial"/>
          <w:sz w:val="17"/>
          <w:szCs w:val="17"/>
          <w:i w:val="1"/>
          <w:iCs w:val="1"/>
          <w:color w:val="auto"/>
        </w:rPr>
        <w:t>see Figure 2</w:t>
      </w:r>
      <w:r>
        <w:rPr>
          <w:rFonts w:ascii="Arial" w:cs="Arial" w:eastAsia="Arial" w:hAnsi="Arial"/>
          <w:sz w:val="17"/>
          <w:szCs w:val="17"/>
          <w:color w:val="auto"/>
        </w:rPr>
        <w:t>). Overall response assessment at month four according to NCI-WG guidelines following treatment, TG-1101 was found to produce a durable partial response (“PR”) in 5/11 (45%) evaluable patients (1 patient not evaluable for efficacy due to early withdrawal as a result of a secondary acute leukemia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222875" cy="1775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287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 Phase I/II trials with TG-1101 are currently ongoing,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TG-1101 in Relapsed/Refractory NHL &amp; CLL</w:t>
      </w:r>
    </w:p>
    <w:p>
      <w:pPr>
        <w:spacing w:after="0" w:line="229" w:lineRule="exact"/>
        <w:rPr>
          <w:sz w:val="20"/>
          <w:szCs w:val="20"/>
          <w:color w:val="auto"/>
        </w:rPr>
      </w:pPr>
    </w:p>
    <w:p>
      <w:pPr>
        <w:ind w:right="140" w:firstLine="648"/>
        <w:spacing w:after="0" w:line="231" w:lineRule="auto"/>
        <w:rPr>
          <w:sz w:val="20"/>
          <w:szCs w:val="20"/>
          <w:color w:val="auto"/>
        </w:rPr>
      </w:pPr>
      <w:r>
        <w:rPr>
          <w:rFonts w:ascii="Arial" w:cs="Arial" w:eastAsia="Arial" w:hAnsi="Arial"/>
          <w:sz w:val="18"/>
          <w:szCs w:val="18"/>
          <w:color w:val="auto"/>
        </w:rPr>
        <w:t>Our first US based trial was launched in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of 2012. The trial is entitled "An Open Label Phase I/II Trial of the Efficacy and Safety of TG-1101 in Patients with B-cell Non-Hodgkin Lymphoma who have Relapsed or are Refractory After CD20 Directed Antibody Therapy." All enrolled patients were relapsed or refractory to Rituxan® or a Rituxan® containing regimen, and in most cases multiple other lines of therapy. Dr. Owen O'Connor, Professor of Medicine and Director, Center for Lymphoid Malignancies at New York Presbyterian Columbia Medical Center is the Principal Investigator for the multi-center study.</w:t>
      </w:r>
    </w:p>
    <w:p>
      <w:pPr>
        <w:spacing w:after="0" w:line="20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have completed the dose escalation portion of this study, with three patients enrolled into four dose cohorts each (450mg, 600mg, 900mg, and 1200mg), with preliminary safety and efficacy data for these patients presented at the American Society of Clinical Oncology (ASCO) Annual Meeting in June 2013 and at the European Hematology Association (“EHA”) Annual Meeting in June 2013. Cohort expansions were undertaken at the 900 and 1200 mg doses for NHL patients and at the 600 and 900 mg doses for CLL patients. A summary of the ASCO presentation for TG-1101 is provided below.</w:t>
      </w:r>
    </w:p>
    <w:p>
      <w:pPr>
        <w:spacing w:after="0" w:line="15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June 2013, 12 NHL patients had been enrolled (3 per cohort) including 7 Follicular Lymphoma (FL), 3 Marginal Zone Lymphoma (MZL) and 2 Mantle Cell Lymphoma (MCL). No dose-limiting toxicities have been reported up through the 1200 mg dose. Most adverse events reported to date have been Grade 1/2 infusion related reactions (IRR’s) appropriately managed by supportive care and occurring mostly with the first infusion. All NHL patients have completed all scheduled doses.</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Data on the CLL/SLL patient group has not been published to date, however as of June 2013, no DLT’s have been observed in the CLL/SLL patient groups up through 900 mg.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ind w:left="660"/>
        <w:spacing w:after="0"/>
        <w:rPr>
          <w:sz w:val="20"/>
          <w:szCs w:val="20"/>
          <w:color w:val="auto"/>
        </w:rPr>
      </w:pPr>
      <w:r>
        <w:rPr>
          <w:rFonts w:ascii="Arial" w:cs="Arial" w:eastAsia="Arial" w:hAnsi="Arial"/>
          <w:sz w:val="17"/>
          <w:szCs w:val="17"/>
          <w:color w:val="auto"/>
        </w:rPr>
        <w:t>As of data presentation, 10 NHL patients were evaluable for efficacy of which, 5 patients achieved at least a PR (50% ORR) as per the revised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Response Criteria for Malignant Lymphoma (J Clin Oncol. 2007), as follows:</w:t>
      </w:r>
    </w:p>
    <w:p>
      <w:pPr>
        <w:spacing w:after="0" w:line="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Response (“CR”) : 3 patients – 1 rituximab-refractory MZL, 1 rituximab-refractory FL, and 1 rituximab-relapsed MZL</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Partial Response (“PR”) : 2 patients – 1 rituximab-relapsed MZL, 1 rituximab-relapsed FL</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90% of patients had exhibited tumor size reductions on TG-1101 monotherapy. Patients achieving SD or better continue on TG-1101 maintenance therapy. As of February 2014, enrollment has completed for this study, with updated data from this study anticipated to be presented during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Lenalidomide for Relapsed/Refractory NHL &amp; CLL</w:t>
      </w:r>
    </w:p>
    <w:p>
      <w:pPr>
        <w:spacing w:after="0" w:line="225" w:lineRule="exact"/>
        <w:rPr>
          <w:sz w:val="20"/>
          <w:szCs w:val="20"/>
          <w:color w:val="auto"/>
        </w:rPr>
      </w:pPr>
    </w:p>
    <w:p>
      <w:pPr>
        <w:ind w:right="300" w:firstLine="648"/>
        <w:spacing w:after="0" w:line="222" w:lineRule="auto"/>
        <w:rPr>
          <w:sz w:val="20"/>
          <w:szCs w:val="20"/>
          <w:color w:val="auto"/>
        </w:rPr>
      </w:pPr>
      <w:r>
        <w:rPr>
          <w:rFonts w:ascii="Arial" w:cs="Arial" w:eastAsia="Arial" w:hAnsi="Arial"/>
          <w:sz w:val="18"/>
          <w:szCs w:val="18"/>
          <w:color w:val="auto"/>
        </w:rPr>
        <w:t>In December of 2012, the Company initiated its second US based clinical trial entitled "TG-1101-102: A Phase I/II Study of Ublituximab in Combination with Lenalidomide (Revlimid</w:t>
      </w:r>
      <w:r>
        <w:rPr>
          <w:rFonts w:ascii="Arial" w:cs="Arial" w:eastAsia="Arial" w:hAnsi="Arial"/>
          <w:sz w:val="30"/>
          <w:szCs w:val="30"/>
          <w:color w:val="auto"/>
          <w:vertAlign w:val="superscript"/>
        </w:rPr>
        <w:t>®</w:t>
      </w:r>
      <w:r>
        <w:rPr>
          <w:rFonts w:ascii="Arial" w:cs="Arial" w:eastAsia="Arial" w:hAnsi="Arial"/>
          <w:sz w:val="18"/>
          <w:szCs w:val="18"/>
          <w:color w:val="auto"/>
        </w:rPr>
        <w:t>) in Patients with B-Cell Lymphoid Malignancies who have Relapsed or are Refractory After CD20 Directed Antibody Therapy".</w:t>
      </w:r>
    </w:p>
    <w:p>
      <w:pPr>
        <w:spacing w:after="0" w:line="203"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trial was designed as a Phase I dose escalation study with the potential to enroll one or more expansion cohorts once the optimal dose was determined. All enrolled patients were relapsed or refractory to a prior anti-CD20 antibody containing regimen. The patients enrolled into this study were heavily pre-treated, most of which were refractory to Rituxan or a Rituxan containing regimen. This multicenter trial was being led by Dr. Marshall Schreeder of the Clearview Cancer Institute in Huntsville, AL.</w:t>
      </w:r>
    </w:p>
    <w:p>
      <w:pPr>
        <w:spacing w:after="0" w:line="187"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In June 2013, preliminary data was presented from this study at the 18th annual congress of the EHA in Stockholm, Sweden. As of the date of presentation, six patients had been enrolled in the study, and it was reported that the combination regimen has been well tolerated to date with no DLT’s observed.</w:t>
      </w:r>
    </w:p>
    <w:p>
      <w:pPr>
        <w:spacing w:after="0" w:line="1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Presently we have completed enrollment in this study, with the highest cohort dosing patients at 900mg of TG-1101 in combination with Revlimid</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starting at 10mg and titrated based on tolerability in 5mg increments per cycle to a maximum dose of 20mg for patients with NHL and 15mg for patients with CLL.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for Relapsed/Refractory NHL &amp; CLL</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November 2013, we initiated a multi-center, Phase I study to evaluate the safety and efficacy of the combination of TG-1101 and TGR-1202, the Company's novel, once per day, PI3Kδ inhibitor, for patients with relapsed and/or refractory CLL and NHL. This is the first clinical trial evaluating the combination of TG-1101 and TGR-1202. In this study, dosing of TGR-1202 is commencing at 800mg once per day (QD) with dose escalation proceeding in a 3+3 design.</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trial, entitled "A Multi-center Phase I/Ib Study Evaluating the Efficacy and Safety of TG-1101 (Ublituximab), a novel Glycoengineered Anti-CD20 Monoclonal Antibody, in Combination with TGR-1202, a Novel PI3k Delta Inhibitor, in Patients with B-cell Malignancies," will enroll CLL and NHL patients whose disease is relapsed from or refractory to prior therapies, including prior anti-CD20 monoclonal antibodies, PI3Kδ inhibitors, and/or BTK inhibitors. The MD Anderson Cancer Center is the lead center for the trial. Susan O'Brien, MD, Professor in the Department of Leukemia, is the Study Chair for the CLL patient group, and Nathan Fowler, MD, Assistant Professor and Co-Director of Clinical Research in the Department of Lymphoma, is the Study Chair for the NHL patient group.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Ibrutinib for Relapsed/Refractory MCL &amp; CLL</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December 2013, we initiated a multi-center Phase 2 clinical trial to evaluate the safety and efficacy of the combination of TG-1101 and ibrutinib (IMBRUVICA™) for patients with CLL and mantle cell lymphoma (MCL). This is the first clinical trial evaluating the combination of TG-1101 and ibrutinib, an oral Bruton’s Tyrosine Kinase (BTK) inhibitor which was recently granted approval by the U.S. Food and Drug Administration (FDA).</w:t>
      </w:r>
    </w:p>
    <w:p>
      <w:pPr>
        <w:spacing w:after="0" w:line="166"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color w:val="auto"/>
        </w:rPr>
        <w:t>The trial, entitled "A Multi-center Phase 2 Study with Safety Run-in Evaluating the Efficacy and Safety of Ublituximab in Combination with Ibrutinib in Patients with Select B-Cell Malignancies," will enroll patients with CLL and MCL who are eligible to receive ibrutinib. TG Therapeutics has partnered with the US Oncology Network, Columbia University and other select centers throughout the United States on the study. Jeff Sharman, MD, Medical Director for Hematology Research, US Oncology Network, is the Study Chair for the CLL patient group, while Owen A. O'Connor, MD, PhD, Professor and Director of the Center for Lymphoid Malignancies, Columbia University Medical Center is the Study Chair for the MCL patient group.</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TG-1101 Orphan Drug Designation for Marginal Zone Lymphoma</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In September 2013, TG-1101 received two Orphan Drug designations from the U.S. Food and Drug Administration (FDA); 1) For the treatment of Nodal Marginal Zone Lymphoma and 2) For the treatment of Extranodal Marginal Zone Lymphoma (Mucosa-Associated Lymphatic Tissue, MALT). Both are rare subtypes of non-Hodgkin's lymphoma (NHL).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8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TGR-1202 is an orally available PI3K delta inhibitor with nanomolar potency to the delta isoform and several fold selectivity over the alpha, beta, and gamma isoforms. TGR-1202 has demonstrated activity in several pre-clinical models and primary cells from patients with hematologic malignancies.</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TGR-1202 is being developed jointly with Rhizen Pharmaceuticals, S A, a Switzerland based drug discovery and biotechnology company (“Rhizen”). The Company and Rhizen are jointly developing the product on a worldwide basis, excluding India, initially focusing on indications in the area of hematologic malignancies and autoimmune disease. Rhizen shall maintain rights to manufacture and supply the product, while we will be responsible for all clinical and regulatory development for TGR-1202 globally.</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Company’s Investigational New Drug (“IND”) application for TGR-1202 was accepted by the FDA in December 2012 and a first in-human Phase I clinical trial was initiated in January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 Overview</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an enzyme based assay, TGR-1202 demonstrated potency and specificity towards PI3Kδ with &gt;1000, 50 and 48-fold selectivity over the α, β, and γ PI3K isoforms.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117475</wp:posOffset>
            </wp:positionV>
            <wp:extent cx="5574030" cy="1054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7403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40" w:firstLine="648"/>
        <w:spacing w:after="0" w:line="210" w:lineRule="auto"/>
        <w:rPr>
          <w:sz w:val="20"/>
          <w:szCs w:val="20"/>
          <w:color w:val="auto"/>
        </w:rPr>
      </w:pPr>
      <w:r>
        <w:rPr>
          <w:rFonts w:ascii="Arial" w:cs="Arial" w:eastAsia="Arial" w:hAnsi="Arial"/>
          <w:sz w:val="18"/>
          <w:szCs w:val="18"/>
          <w:color w:val="auto"/>
        </w:rPr>
        <w:t>Pre-clinical studies of TGR-1202 were presented in abstract and poster form at the 55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ASH Meeting in New Orleans, LA in December 2013. Highlights from the meeting included the following:</w:t>
      </w:r>
    </w:p>
    <w:p>
      <w:pPr>
        <w:spacing w:after="0" w:line="206" w:lineRule="exact"/>
        <w:rPr>
          <w:sz w:val="20"/>
          <w:szCs w:val="20"/>
          <w:color w:val="auto"/>
        </w:rPr>
      </w:pPr>
    </w:p>
    <w:p>
      <w:pPr>
        <w:ind w:left="660" w:right="260" w:hanging="328"/>
        <w:spacing w:after="0" w:line="186" w:lineRule="auto"/>
        <w:tabs>
          <w:tab w:leader="none" w:pos="66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Potent synergy observed with the combination of TGR-1202 and brentuximab vedotin (ADCETRIS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Hodgkin’s Lymphoma cell lines. </w:t>
      </w:r>
      <w:r>
        <w:rPr>
          <w:rFonts w:ascii="Arial" w:cs="Arial" w:eastAsia="Arial" w:hAnsi="Arial"/>
          <w:sz w:val="18"/>
          <w:szCs w:val="18"/>
          <w:i w:val="1"/>
          <w:iCs w:val="1"/>
          <w:color w:val="auto"/>
        </w:rPr>
        <w:t>Poster</w:t>
      </w:r>
      <w:r>
        <w:rPr>
          <w:rFonts w:ascii="Arial" w:cs="Arial" w:eastAsia="Arial" w:hAnsi="Arial"/>
          <w:sz w:val="18"/>
          <w:szCs w:val="18"/>
          <w:color w:val="auto"/>
        </w:rPr>
        <w:t xml:space="preserve"> </w:t>
      </w:r>
      <w:r>
        <w:rPr>
          <w:rFonts w:ascii="Arial" w:cs="Arial" w:eastAsia="Arial" w:hAnsi="Arial"/>
          <w:sz w:val="18"/>
          <w:szCs w:val="18"/>
          <w:i w:val="1"/>
          <w:iCs w:val="1"/>
          <w:color w:val="auto"/>
        </w:rPr>
        <w:t>1835.</w:t>
      </w:r>
    </w:p>
    <w:p>
      <w:pPr>
        <w:spacing w:after="0" w:line="2" w:lineRule="exact"/>
        <w:rPr>
          <w:rFonts w:ascii="Arial" w:cs="Arial" w:eastAsia="Arial" w:hAnsi="Arial"/>
          <w:sz w:val="36"/>
          <w:szCs w:val="36"/>
          <w:color w:val="auto"/>
          <w:vertAlign w:val="superscript"/>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TGR-1202 demonstrates enhanced Myeloma cell apoptosis in combination with the proteasome inhibitor carfilzomib (KYPROLIS™) in </w:t>
      </w:r>
      <w:r>
        <w:rPr>
          <w:rFonts w:ascii="Arial" w:cs="Arial" w:eastAsia="Arial" w:hAnsi="Arial"/>
          <w:sz w:val="18"/>
          <w:szCs w:val="18"/>
          <w:i w:val="1"/>
          <w:iCs w:val="1"/>
          <w:color w:val="auto"/>
        </w:rPr>
        <w:t>in-vitro</w:t>
      </w:r>
      <w:r>
        <w:rPr>
          <w:rFonts w:ascii="Arial" w:cs="Arial" w:eastAsia="Arial" w:hAnsi="Arial"/>
          <w:sz w:val="18"/>
          <w:szCs w:val="18"/>
          <w:color w:val="auto"/>
        </w:rPr>
        <w:t xml:space="preserve"> cell lines. </w:t>
      </w:r>
      <w:r>
        <w:rPr>
          <w:rFonts w:ascii="Arial" w:cs="Arial" w:eastAsia="Arial" w:hAnsi="Arial"/>
          <w:sz w:val="18"/>
          <w:szCs w:val="18"/>
          <w:i w:val="1"/>
          <w:iCs w:val="1"/>
          <w:color w:val="auto"/>
        </w:rPr>
        <w:t>Poster 3224.</w:t>
      </w:r>
    </w:p>
    <w:p>
      <w:pPr>
        <w:ind w:left="660" w:right="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combination of TGR-1202 and proteasome inhibitor carfilzomib demonstrate marked synergy in the killing of various B- and T-Cell lymphoma cell lines. </w:t>
      </w:r>
      <w:r>
        <w:rPr>
          <w:rFonts w:ascii="Arial" w:cs="Arial" w:eastAsia="Arial" w:hAnsi="Arial"/>
          <w:sz w:val="18"/>
          <w:szCs w:val="18"/>
          <w:i w:val="1"/>
          <w:iCs w:val="1"/>
          <w:color w:val="auto"/>
        </w:rPr>
        <w:t>Poster 4421.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Data Overview and Recent Developments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In January 2013, the Company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Enrollment is open to patients with relapsed or refractory NHL, CLL, and Peripheral T-Cell Lymphoma. As of February 2014, TGR-1202-101 is ongoing and enrolling patients in the dose escalation component of the Phase I study and select expansion cohorts.</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 w:name="page10"/>
    <w:bookmarkEnd w:id="9"/>
    <w:p>
      <w:pPr>
        <w:ind w:right="100" w:firstLine="648"/>
        <w:spacing w:after="0" w:line="259" w:lineRule="auto"/>
        <w:rPr>
          <w:sz w:val="20"/>
          <w:szCs w:val="20"/>
          <w:color w:val="auto"/>
        </w:rPr>
      </w:pPr>
      <w:r>
        <w:rPr>
          <w:rFonts w:ascii="Arial" w:cs="Arial" w:eastAsia="Arial" w:hAnsi="Arial"/>
          <w:sz w:val="18"/>
          <w:szCs w:val="18"/>
          <w:color w:val="auto"/>
        </w:rPr>
        <w:t>As of December 1, 2013, 23 patients had been evaluated with single agent TGR-1202 (4 patients at 50 mg QD, and 3 patients each at 100 mg QD, 200 mg QD, 400 mg QD and 1200 mg QD, while 7 patients were evaluated at the 800 mg QD dose). No safety concerns have been recognized by the Study Chair and Medical Monitor for the trial for up through 1200 mg QD. Preliminary data from this ongoing Phase I study was presented at the 2013 Annual Meeting of the American Society of Hematology, as summarized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Overall, TGR-1202 was considered to be well tolerated by treating investigators with the majority of adverse events classified as Grade 1 or 2 in severity. One DLT event of Grade 3 rash was observed at the 800 mg dose level, which necessitated enrollment of an additional 3 patients. The Grade 3 rash resolved upon interruption of TGR-1202 and concomitant medications and did not recur upon re-challenging the patient at 800 mg QD. No other DLTs have been reported through 1200 mg QD dosing and adverse events have been manageable, with Grade 3/4 adverse events consisting of the following observed events (regardless of attribution to TGR-1202): neutropenia, anemia, low WBC, shortness of breath, pruritic rash, diffuse macular papular rash, and thrombocytopenia. Notably, no liver function laboratory abnormalities, including increases in ALT/AST, have been observed.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Pharmacokinetics</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TGR-1202 was rapidly absorbed (mean Tmax ~2 hours), and displayed a Cycle 1, Day 1 half-life of ~15 hours, supporting a once-daily (QD) administration schedule. Steady state pharmacokinetics were achieved by Day 15 of dosing, with an estimated steady state half-life of ~50 hours observed. Kinetics were observed to be linear through 1200 mg QD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124460</wp:posOffset>
            </wp:positionV>
            <wp:extent cx="4159250" cy="1534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5925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Efficacy</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significant dose-response relationship was observed with patients treated at higher doses (400 mg QD or greater) demonstrating marked reduction in tumor burden. Of the 5 CLL patients treated at 800 mg QD, one patient was removed from study due to a Richter’s Transformation, however, of the remaining 4 patients, 3 achieved a nodal response (&gt;50% reduction in lymphadenopathy), while the fourth achieved a significant nodal reduction (&gt;40%) at first response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127635</wp:posOffset>
            </wp:positionV>
            <wp:extent cx="3816350" cy="1895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16350"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Overall, TGR-1202 was well tolerated and displayed promising signs of clinical activity at the higher dosing cohorts. Dose escalation is ongoing, now dosing patients at 1800 mg QD with select expansion cohorts opened and enrolling additional patients.</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Pre-clinical activity of TGR-1202 in CLL</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In September 2013, a pre-clinical poster on TGR-1202 was presented at the 15th International Workshop on Chronic Lymphocytic Leukemia (iwCLL) which was held in Cologne, Germany.</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poster presentation, entitled "The PI3K-δ inhibitor TGR-1202 induces cytotoxicity and inhibits phosphorylation of AKT in 17p deleted and non-17p deleted CLL cells </w:t>
      </w:r>
      <w:r>
        <w:rPr>
          <w:rFonts w:ascii="Arial" w:cs="Arial" w:eastAsia="Arial" w:hAnsi="Arial"/>
          <w:sz w:val="18"/>
          <w:szCs w:val="18"/>
          <w:i w:val="1"/>
          <w:iCs w:val="1"/>
          <w:color w:val="auto"/>
        </w:rPr>
        <w:t>in vitro</w:t>
      </w:r>
      <w:r>
        <w:rPr>
          <w:rFonts w:ascii="Arial" w:cs="Arial" w:eastAsia="Arial" w:hAnsi="Arial"/>
          <w:sz w:val="18"/>
          <w:szCs w:val="18"/>
          <w:color w:val="auto"/>
        </w:rPr>
        <w:t>," highlighted the pre-clinical activity of TGR-1202, in CLL patient samples. The research was conducted by Daphne R. Friedman, MD, from the Duke University Medical Center, Durham, NC and presented by Mark C. Lanasa, MD, PhD.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 for TG-1101 &amp; TGR-1202</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lead products under development, TG-1101 and TGR-1202 are for the treatment of B-cell hematologic malignancies. Hematologic malignancies include cancers derived from the bone marrow and lymph tissue. The non-Hodgkin lymphomas (NHL) represent a heterogeneous subset of these malignancies. Underneath the single rubric of lymphoma exist some of the most aggressive growing cancers (Burkitt’s lymphoma, lymphoblastic lymphoma, diffuse large-B-cell lymphoma), as well as some of the most indolent (small lymphocytic lymphoma, follicular lymphoma, and marginal zone lymphoma). In the United States, NHL represents 4-5% of all new cancer cases, and is the fifth leading cause of cancer death. According to the National Cancer Institute, it is estimated in 2013 that there will be 69,740 cases in the United States, and 19,020 deaths from NHL, despite improvements in treatment. Chronic lymphocytic leukemia (CLL) affects mainly older adults and accounts for one third of all diagnosed cases of leukemia. In the US, an estimated 15,680 new cases of CLL will be reported in 2013 with deaths totaling 4,580 due to the disease according to National Cancer Institute (NCI) estimates. Despite improvements in therapy, up to one third of patients with aggressive NHL continue to die from their disease, and indolent lymphomas remain incurable in the absence of allogeneic stem cell transplant. The treatment paradigm for hematologic malignancies is well standardized in front line settings, with the anti-CD20 monoclonal antibody, rituximab, administered generally in combination with chemotherapeutic agents. While front line therapies are generally efficacious, there are numerous downsides, including a high rate of toxicity associated with exposure to chemotherapeutic agents. While initially responsive, most patients with hematologic malignancies will relapse and require second, third, and sometimes more lines of therapy. As a result, there is a pressing need for new, innovative, targeted therapies for the treatment of this heterogeneous group of diseases.</w:t>
      </w:r>
    </w:p>
    <w:p>
      <w:pPr>
        <w:spacing w:after="0" w:line="17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Anti-CD20 antibodies have been approved and studied in a variety of diseases falling into several therapeutic areas including oncology, autoimmune disorders, and neurologic disease. NHL and CLL are the most common B-cell proliferative diseases for which rituximab, the first anti-CD20 antibody approved by the FDA, is the current gold standard treatment. While the addition of rituximab to chemotherapeutic treatment of NHL has dramatically improved patient outcomes, many patients will relapse or become refractory to rituximab containing regimens.</w:t>
      </w:r>
    </w:p>
    <w:p>
      <w:pPr>
        <w:spacing w:after="0" w:line="17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Rituximab resistance is becoming an increasing concern for clinicians as relapsing patients are exposed to multiple lines of rituximab containing regimens to treat recurrence of disease. It is estimated that over half of patients initially responsive to their first exposure to rituximab do not respond upon retreatment (Davis et al, 2000).</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believe these factors contribute to an immediate and sustained need for an anti-CD20 monoclonal antibody that is differentiated and potentially therapeutically superior to the gold standard rituximab in order to extend and enhance CD20 therapy as it stands today.</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Additionally, advanced novel agents are being developed which target specific signaling pathways and enzymes known to exhibit aberrant activity and overexpression in B-cell malignancies such as Bruton’s Tyrosine Kinase (BTK), and Phosphoinositide-3-Kinase delta (PI3K delta). The PI3K/AKT/mTOR pathway has been the target of numerous pharmaceutical agents, both approved and in development, however only recently has the delta isoform of PI3k been identified as a potential target for the treatment of hematologic malignancies and other B-cell lymphoproliferative disorders. Idelalisib (formerly GS-1101 or CAL-101) is a PI3K delta specific inhibitor that is under development by Gilead Pharmaceuticals, and has shown promising responses in patients with advanced hematologic malignancies. IPI-145, a PI3K delta and gamma specific inhibitor under development by Infinity Pharmaceuticals has also shown preliminary activity in hematologic malignancies of both B- and T-cell origin. Other agents in development targeting kinases downstream of the B-cell receptor, such as the BTK inhibitor, ibrutinib, have displayed high rates of response in patients with relapsed and refractory B-cell malignancies and have been recently approved for these indications. While these agents have demonstrated high levels of single agent activity in B-cell disorders, their clinical activity has been shown to be greatly enhanced when utilized in combination with anti-CD20 agents.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 w:name="page12"/>
    <w:bookmarkEnd w:id="11"/>
    <w:p>
      <w:pPr>
        <w:ind w:right="20" w:firstLine="648"/>
        <w:spacing w:after="0" w:line="255" w:lineRule="auto"/>
        <w:rPr>
          <w:sz w:val="20"/>
          <w:szCs w:val="20"/>
          <w:color w:val="auto"/>
        </w:rPr>
      </w:pPr>
      <w:r>
        <w:rPr>
          <w:rFonts w:ascii="Arial" w:cs="Arial" w:eastAsia="Arial" w:hAnsi="Arial"/>
          <w:sz w:val="18"/>
          <w:szCs w:val="18"/>
          <w:color w:val="auto"/>
        </w:rPr>
        <w:t>The current market for front-line therapy for hematologic malignancies is estimated to be over $7 billion annually, while subsequent lines of therapy currently consist of generically available chemotherapies which do not contribute significantly to the size of the overall hematologic malignancies market. As novel targeted agents gain FDA approval for the treatment of relapsed and refractory disease, it is anticipated that the size of this market will expand greatly as branded drugs enter use in multiple lines of therapy. Given the nature of the disease state for patients with hematologic malignancies, characterized by indolent disease progression and chronic relapses, the Company anticipates a great and growing need for novel agents that can be used alone or in combination with approved agents, and those currently under development to enhance the quality of life and extend the length of survival for patients suffering from hematologic malignancies.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AST-726</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AST-726 is a nasally delivered form of hydroxocobalamin for the treatment of Vitamin B12 deficiency. The Company acquired global rights to AST-726 as part of the Ariston acquisition. AST-726 has demonstrated pharmacokinetic equivalence to a marketed intramuscular injection product for Vitamin B12 remediation. Given the expiring intellectual property of AST-726, as discussed below, the Company has decided to discontinue development of AST-726.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TIME TO COMPLETE PRODUCT DEVELOPMENT</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information below provides estimates regarding the costs associated with the completion of the current development phase and our current estimated range of the time that will be necessary to complete that development phase for our key pipeline products. We also direct your attention to the risk factors which could significantly affect our ability to meet these cost and time estimates found in this report in Item 1A under the heading “Risks Related to the Company’s Business and Industry.”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Estimated cost</w:t>
            </w:r>
          </w:p>
        </w:tc>
      </w:tr>
      <w:tr>
        <w:trPr>
          <w:trHeight w:val="216"/>
        </w:trPr>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Product</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Development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Completion</w:t>
            </w:r>
          </w:p>
        </w:tc>
        <w:tc>
          <w:tcPr>
            <w:tcW w:w="2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w:t>
            </w:r>
          </w:p>
        </w:tc>
      </w:tr>
      <w:tr>
        <w:trPr>
          <w:trHeight w:val="234"/>
        </w:trPr>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candidate</w:t>
            </w:r>
          </w:p>
        </w:tc>
        <w:tc>
          <w:tcPr>
            <w:tcW w:w="4800" w:type="dxa"/>
            <w:vAlign w:val="bottom"/>
          </w:tcPr>
          <w:p>
            <w:pPr>
              <w:ind w:left="1740"/>
              <w:spacing w:after="0"/>
              <w:rPr>
                <w:sz w:val="20"/>
                <w:szCs w:val="20"/>
                <w:color w:val="auto"/>
              </w:rPr>
            </w:pPr>
            <w:r>
              <w:rPr>
                <w:rFonts w:ascii="Arial" w:cs="Arial" w:eastAsia="Arial" w:hAnsi="Arial"/>
                <w:sz w:val="18"/>
                <w:szCs w:val="18"/>
                <w:b w:val="1"/>
                <w:bCs w:val="1"/>
                <w:color w:val="auto"/>
              </w:rPr>
              <w:t>Target indication</w:t>
            </w:r>
          </w:p>
        </w:tc>
        <w:tc>
          <w:tcPr>
            <w:tcW w:w="1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Status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of phase</w:t>
            </w:r>
          </w:p>
        </w:tc>
        <w:tc>
          <w:tcPr>
            <w:tcW w:w="2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complete phase</w:t>
            </w:r>
          </w:p>
        </w:tc>
      </w:tr>
      <w:tr>
        <w:trPr>
          <w:trHeight w:val="195"/>
        </w:trPr>
        <w:tc>
          <w:tcPr>
            <w:tcW w:w="1620" w:type="dxa"/>
            <w:vAlign w:val="bottom"/>
            <w:tcBorders>
              <w:top w:val="single" w:sz="8" w:color="auto"/>
            </w:tcBorders>
            <w:shd w:val="clear" w:color="auto" w:fill="CCFFCC"/>
          </w:tcPr>
          <w:p>
            <w:pPr>
              <w:spacing w:after="0" w:line="195" w:lineRule="exact"/>
              <w:rPr>
                <w:sz w:val="20"/>
                <w:szCs w:val="20"/>
                <w:color w:val="auto"/>
              </w:rPr>
            </w:pPr>
            <w:r>
              <w:rPr>
                <w:rFonts w:ascii="Arial" w:cs="Arial" w:eastAsia="Arial" w:hAnsi="Arial"/>
                <w:sz w:val="18"/>
                <w:szCs w:val="18"/>
                <w:b w:val="1"/>
                <w:bCs w:val="1"/>
                <w:i w:val="1"/>
                <w:iCs w:val="1"/>
                <w:color w:val="auto"/>
              </w:rPr>
              <w:t>TG-1101</w:t>
            </w:r>
          </w:p>
        </w:tc>
        <w:tc>
          <w:tcPr>
            <w:tcW w:w="120" w:type="dxa"/>
            <w:vAlign w:val="bottom"/>
            <w:tcBorders>
              <w:top w:val="single" w:sz="8" w:color="CCFFCC"/>
            </w:tcBorders>
            <w:shd w:val="clear" w:color="auto" w:fill="CCFFCC"/>
          </w:tcPr>
          <w:p>
            <w:pPr>
              <w:spacing w:after="0"/>
              <w:rPr>
                <w:sz w:val="16"/>
                <w:szCs w:val="16"/>
                <w:color w:val="auto"/>
              </w:rPr>
            </w:pPr>
          </w:p>
        </w:tc>
        <w:tc>
          <w:tcPr>
            <w:tcW w:w="4800" w:type="dxa"/>
            <w:vAlign w:val="bottom"/>
            <w:tcBorders>
              <w:top w:val="single" w:sz="8" w:color="auto"/>
            </w:tcBorders>
            <w:shd w:val="clear" w:color="auto" w:fill="CCFFCC"/>
          </w:tcPr>
          <w:p>
            <w:pPr>
              <w:spacing w:after="0" w:line="195" w:lineRule="exact"/>
              <w:rPr>
                <w:sz w:val="20"/>
                <w:szCs w:val="20"/>
                <w:color w:val="auto"/>
              </w:rPr>
            </w:pPr>
            <w:r>
              <w:rPr>
                <w:rFonts w:ascii="Arial" w:cs="Arial" w:eastAsia="Arial" w:hAnsi="Arial"/>
                <w:sz w:val="18"/>
                <w:szCs w:val="18"/>
                <w:color w:val="auto"/>
                <w:w w:val="92"/>
              </w:rPr>
              <w:t>As a single agent and in combination for multiple forms of cancer</w:t>
            </w:r>
          </w:p>
        </w:tc>
        <w:tc>
          <w:tcPr>
            <w:tcW w:w="120" w:type="dxa"/>
            <w:vAlign w:val="bottom"/>
            <w:tcBorders>
              <w:top w:val="single" w:sz="8" w:color="CCFFCC"/>
            </w:tcBorders>
            <w:shd w:val="clear" w:color="auto" w:fill="CCFFCC"/>
          </w:tcPr>
          <w:p>
            <w:pPr>
              <w:spacing w:after="0"/>
              <w:rPr>
                <w:sz w:val="16"/>
                <w:szCs w:val="16"/>
                <w:color w:val="auto"/>
              </w:rPr>
            </w:pPr>
          </w:p>
        </w:tc>
        <w:tc>
          <w:tcPr>
            <w:tcW w:w="1380" w:type="dxa"/>
            <w:vAlign w:val="bottom"/>
            <w:tcBorders>
              <w:top w:val="single" w:sz="8" w:color="auto"/>
            </w:tcBorders>
            <w:shd w:val="clear" w:color="auto" w:fill="CCFFCC"/>
          </w:tcPr>
          <w:p>
            <w:pPr>
              <w:spacing w:after="0" w:line="195" w:lineRule="exact"/>
              <w:rPr>
                <w:sz w:val="20"/>
                <w:szCs w:val="20"/>
                <w:color w:val="auto"/>
              </w:rPr>
            </w:pPr>
            <w:r>
              <w:rPr>
                <w:rFonts w:ascii="Arial" w:cs="Arial" w:eastAsia="Arial" w:hAnsi="Arial"/>
                <w:sz w:val="18"/>
                <w:szCs w:val="18"/>
                <w:color w:val="auto"/>
              </w:rPr>
              <w:t>Phase Ib/II</w:t>
            </w:r>
          </w:p>
        </w:tc>
        <w:tc>
          <w:tcPr>
            <w:tcW w:w="100" w:type="dxa"/>
            <w:vAlign w:val="bottom"/>
            <w:tcBorders>
              <w:top w:val="single" w:sz="8" w:color="CCFFCC"/>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line="195" w:lineRule="exact"/>
              <w:rPr>
                <w:sz w:val="20"/>
                <w:szCs w:val="20"/>
                <w:color w:val="auto"/>
              </w:rPr>
            </w:pPr>
            <w:r>
              <w:rPr>
                <w:rFonts w:ascii="Arial" w:cs="Arial" w:eastAsia="Arial" w:hAnsi="Arial"/>
                <w:sz w:val="18"/>
                <w:szCs w:val="18"/>
                <w:color w:val="auto"/>
              </w:rPr>
              <w:t>End of 2014</w:t>
            </w:r>
          </w:p>
        </w:tc>
        <w:tc>
          <w:tcPr>
            <w:tcW w:w="220" w:type="dxa"/>
            <w:vAlign w:val="bottom"/>
            <w:tcBorders>
              <w:top w:val="single" w:sz="8" w:color="CCFFCC"/>
            </w:tcBorders>
            <w:shd w:val="clear" w:color="auto" w:fill="CCFFCC"/>
          </w:tcPr>
          <w:p>
            <w:pPr>
              <w:spacing w:after="0"/>
              <w:rPr>
                <w:sz w:val="16"/>
                <w:szCs w:val="16"/>
                <w:color w:val="auto"/>
              </w:rPr>
            </w:pPr>
          </w:p>
        </w:tc>
        <w:tc>
          <w:tcPr>
            <w:tcW w:w="1600" w:type="dxa"/>
            <w:vAlign w:val="bottom"/>
            <w:tcBorders>
              <w:top w:val="single" w:sz="8" w:color="auto"/>
            </w:tcBorders>
            <w:shd w:val="clear" w:color="auto" w:fill="CCFFCC"/>
          </w:tcPr>
          <w:p>
            <w:pPr>
              <w:spacing w:after="0" w:line="195" w:lineRule="exact"/>
              <w:rPr>
                <w:sz w:val="20"/>
                <w:szCs w:val="20"/>
                <w:color w:val="auto"/>
              </w:rPr>
            </w:pPr>
            <w:r>
              <w:rPr>
                <w:rFonts w:ascii="Arial" w:cs="Arial" w:eastAsia="Arial" w:hAnsi="Arial"/>
                <w:sz w:val="18"/>
                <w:szCs w:val="18"/>
                <w:color w:val="auto"/>
              </w:rPr>
              <w:t>Approximately $6</w:t>
            </w:r>
          </w:p>
        </w:tc>
        <w:tc>
          <w:tcPr>
            <w:tcW w:w="100" w:type="dxa"/>
            <w:vAlign w:val="bottom"/>
            <w:tcBorders>
              <w:top w:val="single" w:sz="8" w:color="CCFFCC"/>
            </w:tcBorders>
            <w:shd w:val="clear" w:color="auto" w:fill="CCFFCC"/>
          </w:tcPr>
          <w:p>
            <w:pPr>
              <w:spacing w:after="0"/>
              <w:rPr>
                <w:sz w:val="16"/>
                <w:szCs w:val="16"/>
                <w:color w:val="auto"/>
              </w:rPr>
            </w:pPr>
          </w:p>
        </w:tc>
      </w:tr>
      <w:tr>
        <w:trPr>
          <w:trHeight w:val="230"/>
        </w:trPr>
        <w:tc>
          <w:tcPr>
            <w:tcW w:w="1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i w:val="1"/>
                <w:iCs w:val="1"/>
                <w:color w:val="auto"/>
              </w:rPr>
              <w:t>(ublituximab)</w:t>
            </w: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(includes Phase 1b combination with TGR-1202)</w:t>
            </w:r>
          </w:p>
        </w:tc>
        <w:tc>
          <w:tcPr>
            <w:tcW w:w="12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1920" w:type="dxa"/>
            <w:vAlign w:val="bottom"/>
            <w:gridSpan w:val="3"/>
            <w:shd w:val="clear" w:color="auto" w:fill="CCFFCC"/>
          </w:tcPr>
          <w:p>
            <w:pPr>
              <w:ind w:left="220"/>
              <w:spacing w:after="0"/>
              <w:rPr>
                <w:sz w:val="20"/>
                <w:szCs w:val="20"/>
                <w:color w:val="auto"/>
              </w:rPr>
            </w:pPr>
            <w:r>
              <w:rPr>
                <w:rFonts w:ascii="Arial" w:cs="Arial" w:eastAsia="Arial" w:hAnsi="Arial"/>
                <w:sz w:val="18"/>
                <w:szCs w:val="18"/>
                <w:color w:val="auto"/>
              </w:rPr>
              <w:t>million</w:t>
            </w:r>
          </w:p>
        </w:tc>
      </w:tr>
      <w:tr>
        <w:trPr>
          <w:trHeight w:val="202"/>
        </w:trPr>
        <w:tc>
          <w:tcPr>
            <w:tcW w:w="174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TGR-1202</w:t>
            </w: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As a single agent in multiple forms of cancer</w:t>
            </w:r>
          </w:p>
        </w:tc>
        <w:tc>
          <w:tcPr>
            <w:tcW w:w="16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Phase I</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Mid-2014</w:t>
            </w:r>
          </w:p>
        </w:tc>
        <w:tc>
          <w:tcPr>
            <w:tcW w:w="192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Approximately $1.5</w:t>
            </w:r>
          </w:p>
        </w:tc>
      </w:tr>
      <w:tr>
        <w:trPr>
          <w:trHeight w:val="23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20" w:type="dxa"/>
            <w:vAlign w:val="bottom"/>
            <w:gridSpan w:val="3"/>
          </w:tcPr>
          <w:p>
            <w:pPr>
              <w:ind w:left="220"/>
              <w:spacing w:after="0"/>
              <w:rPr>
                <w:sz w:val="20"/>
                <w:szCs w:val="20"/>
                <w:color w:val="auto"/>
              </w:rPr>
            </w:pPr>
            <w:r>
              <w:rPr>
                <w:rFonts w:ascii="Arial" w:cs="Arial" w:eastAsia="Arial" w:hAnsi="Arial"/>
                <w:sz w:val="18"/>
                <w:szCs w:val="18"/>
                <w:color w:val="auto"/>
              </w:rPr>
              <w:t>million</w:t>
            </w: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Completion dates and costs in the above table are estimates due to the uncertainties associated with clinical trials and the related requirements of development. In the cases where the requirements for clinical trials and development programs have not been fully defined, or are dependent on the success of other trials, we cannot estimate trial completion or cost with any certainty. The actual spending on each trial during the year is also dependent on funding. We therefore direct your attention to Item 7 under the heading “Liquidity and Capital Resources.”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goal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product candidates, proprietary information and proprietary technology through a combination of contractual arrangements and patents, both in the U.S. and elsewhere in the world.</w:t>
      </w:r>
    </w:p>
    <w:p>
      <w:pPr>
        <w:spacing w:after="0" w:line="15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also depend upon the skills, knowledge and experience of our scientific and technical personnel, as well as that of our advisors, consultants and other contractors. This knowledge and experience we call “know-how.” To help protect our proprietary know-how which is not patentable, and for inventions for which patents may be difficult to enforce, we rely on trade secret protection and confidentiality agreements to protect our interests. To this end, we require all employees, consultants, advisors and other contractors to enter into confidentiality agreements which prohibit the disclosure of confidential information and, where applicable, require disclosure and assignment to us of the ideas, developments, discoveries and inventions important to our business.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firstLine="648"/>
        <w:spacing w:after="0" w:line="257" w:lineRule="auto"/>
        <w:rPr>
          <w:sz w:val="20"/>
          <w:szCs w:val="20"/>
          <w:color w:val="auto"/>
        </w:rPr>
      </w:pPr>
      <w:r>
        <w:rPr>
          <w:rFonts w:ascii="Arial" w:cs="Arial" w:eastAsia="Arial" w:hAnsi="Arial"/>
          <w:sz w:val="18"/>
          <w:szCs w:val="18"/>
          <w:color w:val="auto"/>
        </w:rPr>
        <w:t>Patents and other proprietary rights are crucial to the development of our business. We will be able to protect our proprietary technologies from unauthorized use by third parties only to the extent that our proprietary rights are covered by valid and enforceable patents, supported by regulatory exclusivity or are effectively maintained as trade secrets. We have a number of patents and patent applications related to our compounds and other technology, but we cannot guarantee the scope of protection of the issued patents, or that such patents will survive a validity or enforceability challenge, or that any of the pending patent applications will issue as patents.</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Generally, patent applications in the U.S. are maintained in secrecy for a period of 18 months or more. Since publication of discoveries in the scientific or patent literature often lag behind actual discoveries, we are not certain that we were the first to make the inventions covered by each of our pending patent applications or that we were the first to file those patent applications. The patent positions of biotechnology and pharmaceutical companies are highly uncertain and involve complex legal and factual questions. Therefore, we cannot predict the breadth of claims allowed in biotechnology and pharmaceutical patents, or their enforceability. To date, there has been no consistent policy regarding the breadth of claims allowed in biotechnology patents. Third parties or competitors may challenge or circumvent our patents or patent applications, if issued. If our competitors prepare and file patent applications in the U.S. that claim technology also claimed by us, we may have to participate in interference proceedings declared by the U.S. Patent and Trademark Office to determine priority of invention, which could result in substantial cost, even if the eventual outcome is favorable to us. Because of the extensive time required for development, testing and regulatory review of a potential product, it is possible that before we commercialize any of our products, any related patent may expire or remain in existence for only a short period following commercialization, thus reducing any advantage of the patent. However, the life of a patent covering a product that has been subject to regulatory approval may have the ability to be extended through the patent restoration program, although any such extension could still be minimal.</w:t>
      </w:r>
    </w:p>
    <w:p>
      <w:pPr>
        <w:spacing w:after="0" w:line="18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a patent is issued to a third party containing one or more preclusive or conflicting claims, and those claims are ultimately determined to be valid and enforceable, we may be required to obtain a license under such patent or to develop or obtain alternative technology. In the event of litigation involving a third party claim, an adverse outcome in the litigation could subject us to significant liabilities to such third party, require us to seek a license for the disputed rights from such third party, and/or require us to cease use of the technology. Further, our breach of an existing license or failure to obtain a license to technology required to commercialize our products may seriously harm our business. We also may need to commence litigation to enforce any patents issued to us or to determine the scope and validity of third-party proprietary rights. Litigation would involve substantial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TG-1101</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Pursuant to our license for TG-1101 (ublituximab) with LFB Biotechnologies, GTC Biotherapeutics, and LFB/GTC LLC, we have the exclusive commercial rights to a series of patents and patent applications in the U.S., and in multiple countries around the world. These patents and patent applications include composition of matter patents relating to the structure and mechanism of action for TG-1101 as well as method of use patents which cover use of TG-1101 in combination with various agents and for various therapeutic indications.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United States, we have seven issued patents for TG-1101 which expire between 2021 and 2024, excluding any patent term extensions, as well as granted and pending foreign counterpart patent filings related to these issued patents. These patents include claims related to the manufacture and use of TG-1101. Additionally, we have over 10 issued patents outside the US, and over 45 patent applications pending worldwide including claims directed to the composition of matter and methods of treatment with TG-1101 in various settings.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TGR-1202</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Pursuant to our Collaboration Agreement with Rhizen for TGR-1202, we have the exclusive commercial rights to a series of patent applications in the U.S. and abroad. The patent applications include composition of matter patents relating to the structure and mechanism of action for TGR-1202 as well as method of use patents which cover use of TGR-1202 in combination with various agents and for various therapeutic indications. All patent applications currently filed for TG-1202 are currently pending. Because the dates for any potential regulatory approval is currently unknown we cannot predict the expected expiration date, and it is possible that the life of these patents following regulatory approval could be minimal.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AST-726</w:t>
      </w:r>
    </w:p>
    <w:p>
      <w:pPr>
        <w:spacing w:after="0" w:line="229" w:lineRule="exact"/>
        <w:rPr>
          <w:sz w:val="20"/>
          <w:szCs w:val="20"/>
          <w:color w:val="auto"/>
        </w:rPr>
      </w:pPr>
    </w:p>
    <w:p>
      <w:pPr>
        <w:ind w:right="60" w:firstLine="567"/>
        <w:spacing w:after="0" w:line="277" w:lineRule="auto"/>
        <w:rPr>
          <w:sz w:val="20"/>
          <w:szCs w:val="20"/>
          <w:color w:val="auto"/>
        </w:rPr>
      </w:pPr>
      <w:r>
        <w:rPr>
          <w:rFonts w:ascii="Arial" w:cs="Arial" w:eastAsia="Arial" w:hAnsi="Arial"/>
          <w:sz w:val="18"/>
          <w:szCs w:val="18"/>
          <w:color w:val="auto"/>
        </w:rPr>
        <w:t>The Company has certain patent rights and other intellectual property relating to AST-726 in the U.S. and multiple countries around the world, which expire at various times from 2014 to 2015.</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ind w:right="440" w:firstLine="567"/>
        <w:spacing w:after="0" w:line="264" w:lineRule="auto"/>
        <w:rPr>
          <w:sz w:val="20"/>
          <w:szCs w:val="20"/>
          <w:color w:val="auto"/>
        </w:rPr>
      </w:pPr>
      <w:r>
        <w:rPr>
          <w:rFonts w:ascii="Arial" w:cs="Arial" w:eastAsia="Arial" w:hAnsi="Arial"/>
          <w:sz w:val="18"/>
          <w:szCs w:val="18"/>
          <w:color w:val="auto"/>
        </w:rPr>
        <w:t>The patent rights that we own or have licensed relating to our product candidates are limited in ways that may affect our ability to exclude third parties from competing against us if we obtain regulatory approval to market these product candidates. See section “</w:t>
      </w:r>
      <w:r>
        <w:rPr>
          <w:rFonts w:ascii="Arial" w:cs="Arial" w:eastAsia="Arial" w:hAnsi="Arial"/>
          <w:sz w:val="18"/>
          <w:szCs w:val="18"/>
          <w:b w:val="1"/>
          <w:bCs w:val="1"/>
          <w:i w:val="1"/>
          <w:iCs w:val="1"/>
          <w:color w:val="auto"/>
        </w:rPr>
        <w:t>Risks Related to the Company’s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w:t>
      </w:r>
    </w:p>
    <w:p>
      <w:pPr>
        <w:spacing w:after="0" w:line="181" w:lineRule="exact"/>
        <w:rPr>
          <w:sz w:val="20"/>
          <w:szCs w:val="20"/>
          <w:color w:val="auto"/>
        </w:rPr>
      </w:pPr>
    </w:p>
    <w:p>
      <w:pPr>
        <w:ind w:right="160" w:firstLine="567"/>
        <w:spacing w:after="0" w:line="259" w:lineRule="auto"/>
        <w:rPr>
          <w:sz w:val="20"/>
          <w:szCs w:val="20"/>
          <w:color w:val="auto"/>
        </w:rPr>
      </w:pPr>
      <w:r>
        <w:rPr>
          <w:rFonts w:ascii="Arial" w:cs="Arial" w:eastAsia="Arial" w:hAnsi="Arial"/>
          <w:sz w:val="18"/>
          <w:szCs w:val="18"/>
          <w:color w:val="auto"/>
        </w:rPr>
        <w:t>Proof of direct infringement by a competitor for method of use patents can prove difficult because the competitors making and marketing a product typically do not engage in the patented use. Additionally, proof that a competitor contributes to or induces infringement of a patented method of use by another can also prove difficult because an off-label use of a product could prohibit a finding of contributory infringement and inducement of infringement requires proof of intent by the competitor.</w:t>
      </w:r>
    </w:p>
    <w:p>
      <w:pPr>
        <w:spacing w:after="0" w:line="187"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Moreover, physicians may prescribe such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 or prosecute.</w:t>
      </w:r>
    </w:p>
    <w:p>
      <w:pPr>
        <w:spacing w:after="0" w:line="181" w:lineRule="exact"/>
        <w:rPr>
          <w:sz w:val="20"/>
          <w:szCs w:val="20"/>
          <w:color w:val="auto"/>
        </w:rPr>
      </w:pPr>
    </w:p>
    <w:p>
      <w:pPr>
        <w:ind w:right="380" w:firstLine="567"/>
        <w:spacing w:after="0" w:line="277" w:lineRule="auto"/>
        <w:rPr>
          <w:sz w:val="20"/>
          <w:szCs w:val="20"/>
          <w:color w:val="auto"/>
        </w:rPr>
      </w:pPr>
      <w:r>
        <w:rPr>
          <w:rFonts w:ascii="Arial" w:cs="Arial" w:eastAsia="Arial" w:hAnsi="Arial"/>
          <w:sz w:val="18"/>
          <w:szCs w:val="18"/>
          <w:color w:val="auto"/>
        </w:rPr>
        <w:t>In addition, the limited patent protection described above may adversely affect the value of our product candidates and may inhibit our ability to obtain a corporate partner at terms acceptable to us, if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Intellectual Property Rights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depend upon trademarks, trade secrets, know-how and continuing technological advances to develop and maintain our competitive position. To maintain the confidentiality of trade secrets and proprietary information, we require our employees, scientific advisors, consultants and collaborators, upon commencement of a relationship with us, to execute confidentiality agreements and, in the case of parties other than our research and development collaborators, to agree to assign their inventions to us. These agreements are designed to protect our proprietary information and to grant us ownership of technologies that are developed in connection with their relationship with us. These agreements may not, however, provide protection for our trade secrets in the event of unauthorized disclosure of such information.</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to patent protection, we may utilize orphan drug regulations or other provisions of the Food, Drug and Cosmetic Act of 1938, as amended, or FDCA, to provide market exclusivity for certain of our drug candidates. Orphan drug regulations provide incentives to pharmaceutical and biotechnology companies to develop and manufacture drugs for the treatment of rare diseases, currently defined as diseases that exist in fewer than 200,000 individuals in the U.S., or, diseases that affect more than 200,000 individuals in the U.S. but that the sponsor does not realistically anticipate will generate a net profit. Under these provisions, a manufacturer of a designated orphan-drug can seek tax benefits, and the holder of the first FDA approval of a designated orphan product will be granted a seven-year period of marketing exclusivity for such FDA-approved orphan product.</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Pursuant to these regulations, TG-1101 (ublituximab) has received Orphan-Drug designation from the FDA for the treatment of Marginal Zone Lymphoma (Nodal and Extranodal) in September 2013, for the treatment of CLL in August of 2010, and Orphan-Drug designation by the European Medicines Agency (“EMA”) for the treatment of CLL in November of 2009. We believe that TG-1101 may be eligible for additional orphan drug designations; however, we cannot assure you that TG-1101, or any other drug candidates we may acquire or in-license, will obtain such orphan drug designations. Additionally, upon FDA approval, we believe that TG-1101 would qualify as a New Chemical Entity, or NCE, which provides for five years of exclusivity following approval.</w:t>
      </w:r>
    </w:p>
    <w:p>
      <w:pPr>
        <w:spacing w:after="0" w:line="19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cannot assure you that any other drug candidates we may acquire or in-license, will obtain such orphan drug designation or that we will be the first to receive FDA approval for such drugs so as to be eligible for market exclusivity protection.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 AND COLLABORATIONS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have formed strategic alliances with a number of companies for the manufacture and commercialization of our products. Our current key strategic alliances are discussed below.</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LFB Biotechnologies S.A.S, GTC Biotherapeutics, LFB/GTC LLC.</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January 2012, we entered into an exclusive license agreement with LFB Biotechnologies, GTC Biotherapeutics, and LFB/GTC LLC, all wholly-owned subsidiaries of LFB Group, relating to the development of TG-1101. Under the license agreement, we have acquired the exclusive worldwide rights (exclusive of France/Belgium) for the development and commercialization of TG-1101 (ublituximab). To date, we have made no payments to LFB Group and LFB Group is eligible to receive payments of up to an aggregate of approximately $31.0 million upon our successful achievement of certain clinical development, regulatory and sales milestones, in addition to royalty payments on net sales of TG-1101 at a royalty rate that escalates from mid-single digits to high-single digits. The license will terminate on a country by 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Ildong Pharmaceutical Co. Ltd.</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 To date, we have received $2 million in the form of an upfront payment from Ildong, and are eligible to receive sales based milestone payments up to an aggregate of $5 million and royalty payments on net sales of TG-1101 at a royalty rate that escalates from mid-teens to high-teens upon approval in South Korea and/or Southeast Asia. The license will terminate on a country by country basis upon the expiration of the last licensed patent right or 15 years after the first commercial sale of a product in such country, unless the agreement is earlier terminated (i) by Ildong if the Company challenges any of the licensed patent rights, (ii) by either party due to a breach of the agreement, or (iii) by either party in the event of the insolvency of the other party.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August 15, 2012, the Company and Rhizen entered into an exclusive global agreement to collaborate on the development and commercialization of Rhizen’s lead product candidate (the “Collaboration Agreement”), a novel P13K delta inhibitor, TGR-1202 (previously referred to as RP5264). The companies will jointly develop the product on a worldwide basis, excluding India, initially focusing on indications in the area of hematologic malignancies and autoimmune disease. Beyond TGR-1202, Rhizen would contribute backup molecules providing multiple opportunities for TG to develop differentiated therapies against hematologic cancers and autoimmune diseases.</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will make up-front licensing payments and milestones based on early clinical development, and will be responsible for the costs of clinical development of the product through Phase II, after which the Company and Rhizen will be jointly responsible for all development costs of the product. The Company and Rhizen will each maintain an exclusive option, exercisable at specific times during development, for the Company to license the rights to TGR-1202, in which case Rhizen would be eligible to receive upfront, development, and commercialization milestone payments in addition to milestone payments and royalties tied to net sales of the product, the aggregate of which could exceed $182.5 million. Rhizen shall maintain rights to manufacture and supply the product to the Company, and the Company will be responsible for all clinical and regulatory development for TGR-1202 globally.</w:t>
      </w:r>
    </w:p>
    <w:p>
      <w:pPr>
        <w:spacing w:after="0" w:line="165" w:lineRule="exact"/>
        <w:rPr>
          <w:sz w:val="20"/>
          <w:szCs w:val="20"/>
          <w:color w:val="auto"/>
        </w:rPr>
      </w:pPr>
    </w:p>
    <w:p>
      <w:pPr>
        <w:ind w:right="80" w:firstLine="648"/>
        <w:spacing w:after="0" w:line="283" w:lineRule="auto"/>
        <w:rPr>
          <w:sz w:val="20"/>
          <w:szCs w:val="20"/>
          <w:color w:val="auto"/>
        </w:rPr>
      </w:pPr>
      <w:r>
        <w:rPr>
          <w:rFonts w:ascii="Arial" w:cs="Arial" w:eastAsia="Arial" w:hAnsi="Arial"/>
          <w:sz w:val="16"/>
          <w:szCs w:val="16"/>
          <w:color w:val="auto"/>
        </w:rPr>
        <w:t>In connection with the Collaboration Agreement, the Company incurred upfront milestone payments of $1,000,000 during the year ended December 31, 2012. During the year ended December 31, 2013 the Company recognized a $2,000,000 milestone payment to Rhizen related to the development of TGR-1202. Pursuant to the terms of the Collaboration Agreement, should either of the exclusive license options be exercised, Rhizen would be eligible to receive up to an aggregate of $182.5 million upon the successful achievement of certain clinical development, regulatory, and sales based milestones in addition to royalties on net sales of TGR-1202. The Collaboration Agreement will terminate upon the earlier to occur of (i) the Company’s exercise of its license option, (ii) Rhizen’s exercise of its license option or (iii) the later to occur of (A) the expiration of the last applicable patent of the joint patents of the parties, Rhizen’s patents or the Company’s patents, or (B) the expiry of any other exclusivity right with respect to the product in a country, including patent term extensions, marketing exclusivity or any other non-patent exclusivity. In addition, the agreement may be earlier terminated (i) by the Company with or without cause upon six months’ notice, (ii) by either party due to a breach of the agreement by the other party, (iii) by either party upon the insolvency of the other party, or (iv) by Rhizen if, even when conditions are met, the Company still fails to file a new drug application. In case of a termination pursuant to (i),</w:t>
      </w:r>
    </w:p>
    <w:p>
      <w:pPr>
        <w:spacing w:after="0" w:line="6" w:lineRule="exact"/>
        <w:rPr>
          <w:sz w:val="20"/>
          <w:szCs w:val="20"/>
          <w:color w:val="auto"/>
        </w:rPr>
      </w:pPr>
    </w:p>
    <w:p>
      <w:pPr>
        <w:ind w:right="40" w:firstLine="8"/>
        <w:spacing w:after="0" w:line="261"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or (iv) in the preceding sentence, Rhizen has the right to obtain a license to the Company’s intellectual property relating to TGR-1202, for a royalty rate to be equal to the current fair market value of the license to be negotiated by the parties at the time of termination.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Competition in the pharmaceutical and biotechnology industries is intense. Our competitors include pharmaceutical companies and biotechnology companies, as well as universities and public and private research institutions. In addition, companies that are active in different but related fields represent substantial competition for us. Many of our competitors have significantly greater capital resources, larger research and development staffs and facilities and greater experience in drug development, regulation, manufacturing and marketing than we do. These organizations also compete with us to recruit qualified personnel, attract partners for joint ventures or other collaborations, and license technologies that are competitive with ours. To compete successfully in this industry we must identify novel and unique drugs or methods of treatment and then complete the development of those drugs as treatments in advance of our competitors.</w:t>
      </w:r>
    </w:p>
    <w:p>
      <w:pPr>
        <w:spacing w:after="0" w:line="18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drugs that we are attempting to develop will have to compete with existing therapies. In addition, a large number of companies are pursuing the development of pharmaceuticals that target the same diseases and conditions that we are targeting. Other companies have products or drug candidates in various stages of pre-clinical or clinical development to treat diseases for which we are also seeking to discover and develop drug candidates. Some of these potential competing drugs are further advanced in development than our drug candidates and may be commercialized earlier.</w:t>
      </w:r>
    </w:p>
    <w:p>
      <w:pPr>
        <w:spacing w:after="0" w:line="158" w:lineRule="exact"/>
        <w:rPr>
          <w:sz w:val="20"/>
          <w:szCs w:val="20"/>
          <w:color w:val="auto"/>
        </w:rPr>
      </w:pPr>
    </w:p>
    <w:p>
      <w:pPr>
        <w:ind w:right="100" w:firstLine="648"/>
        <w:spacing w:after="0" w:line="245" w:lineRule="auto"/>
        <w:rPr>
          <w:sz w:val="20"/>
          <w:szCs w:val="20"/>
          <w:color w:val="auto"/>
        </w:rPr>
      </w:pPr>
      <w:r>
        <w:rPr>
          <w:rFonts w:ascii="Arial" w:cs="Arial" w:eastAsia="Arial" w:hAnsi="Arial"/>
          <w:sz w:val="16"/>
          <w:szCs w:val="16"/>
          <w:color w:val="auto"/>
        </w:rPr>
        <w:t>If approved, we expect TG-1101 to compete directly with Roche Group’s Rituxan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(Rituximab) and Gazyva™ (Obinutuzumab), Spectrum Pharmaceutical’s Zevalin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(Y</w:t>
      </w:r>
      <w:r>
        <w:rPr>
          <w:rFonts w:ascii="Arial" w:cs="Arial" w:eastAsia="Arial" w:hAnsi="Arial"/>
          <w:sz w:val="26"/>
          <w:szCs w:val="26"/>
          <w:color w:val="auto"/>
          <w:vertAlign w:val="superscript"/>
        </w:rPr>
        <w:t>90</w:t>
      </w:r>
      <w:r>
        <w:rPr>
          <w:rFonts w:ascii="Arial" w:cs="Arial" w:eastAsia="Arial" w:hAnsi="Arial"/>
          <w:sz w:val="16"/>
          <w:szCs w:val="16"/>
          <w:color w:val="auto"/>
        </w:rPr>
        <w:t>-Ibritumomab Tiuxetan), Dr. Reddy’s Laboratories’ Reditux</w:t>
      </w:r>
      <w:r>
        <w:rPr>
          <w:rFonts w:ascii="Arial" w:cs="Arial" w:eastAsia="Arial" w:hAnsi="Arial"/>
          <w:sz w:val="26"/>
          <w:szCs w:val="26"/>
          <w:color w:val="auto"/>
          <w:vertAlign w:val="superscript"/>
        </w:rPr>
        <w:t>®</w:t>
      </w:r>
      <w:r>
        <w:rPr>
          <w:rFonts w:ascii="Arial" w:cs="Arial" w:eastAsia="Arial" w:hAnsi="Arial"/>
          <w:sz w:val="16"/>
          <w:szCs w:val="16"/>
          <w:color w:val="auto"/>
        </w:rPr>
        <w:t>, and Genmab and GlaxoSmithKline’s Arzerra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(Ofatumumab) among others, each of which is currently approved for the treatment of various diseases including NHL and CLL. In addition, other pharmaceutical companies are developing anti-CD20 antibodies which, if approved, would potentially compete with TG-1101. New developments, including the development of other pharmaceutical technologies and methods of treating disease, occur in the pharmaceutical and life sciences industries at a rapid pace.</w:t>
      </w:r>
    </w:p>
    <w:p>
      <w:pPr>
        <w:spacing w:after="0" w:line="20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With respect to TGR-1202, although no PI3K delta inhibitors have been approved by the FDA, there are several PI3K delta targeted compounds in development, including, but not limited to, Gilead’s Idelalisib (formerly known as GS-1101 and CAL-101), Infinity Pharmaceuticals IPI-145 and Amgen’s AMG-319, which if approved we would expect to compete directly with TGR-1202. In addition, there are numerous other novel therapies targeting similar pathways to TGR-1202 in development, which would also compete with TGR-1202 in similar indications, such as the BTK inhibitor, ibrutinib (FDA approved for Mantle Cell Lymphoma and CLL marketed by Pharmacyclics and Janssen), or the blc-2 inhibitor ABT-199 (under clinical development by AbbVie and Roche).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can be found under Item 1A - Risk Factors – Other Risks Related to Our Business within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MANUFACTURING</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have limited experience in manufacturing products for clinical or commercial purposes. We currently do not have any manufacturing capabilities. We have established contract manufacturing relationships for the supply of TG-1101 as part of our license agreement with LFB Biotechnologies, among others. We have also established contract manufacturing relationships for the supply of TGR-1202 as part of our collaboration agreement with Rhizen. As with any supply program, obtaining pre-clinical and clinical materials of sufficient quality and quantity to meet the requirements of our development programs cannot be guaranteed and we cannot ensure that we will be successful in this endeavor. In addition, we anticipate the need for the current scale of production for each of our products to be significantly expanded as we enter later stages of development.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the time of commercial sale, to the extent possible and commercially practicable, we would seek to engage a back-up supplier for each of our product candidates. Until such time, we expect that we will rely on a single contract manufacturer to produce each of our product candidates under current Good Manufacturing Practice, or cGMP, regulations. Our third-party manufacturers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w:t>
      </w:r>
    </w:p>
    <w:p>
      <w:pPr>
        <w:spacing w:after="0" w:line="19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expect to similarly rely on contract manufacturing relationships for any products that we may in-license or acquire in the future. However, there can be no assurance that we will be able to successfully contract with such manufacturers on terms acceptable to us, or at all.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ind w:right="80" w:firstLine="648"/>
        <w:spacing w:after="0" w:line="276" w:lineRule="auto"/>
        <w:rPr>
          <w:sz w:val="20"/>
          <w:szCs w:val="20"/>
          <w:color w:val="auto"/>
        </w:rPr>
      </w:pPr>
      <w:r>
        <w:rPr>
          <w:rFonts w:ascii="Arial" w:cs="Arial" w:eastAsia="Arial" w:hAnsi="Arial"/>
          <w:sz w:val="17"/>
          <w:szCs w:val="17"/>
          <w:color w:val="auto"/>
        </w:rPr>
        <w:t>Contract manufacturers are subject to ongoing periodic and unannounced inspections by the FDA, the Drug Enforcement Administration and corresponding state agencies to ensure strict compliance with cGMP and other state and federal regulations. Our contractors outside of the United States face similar challenges from the numerous local and regional agencies and authorized bodies. We do not have control over third-party manufacturers’ compliance with these regulations and standards, other than through contractual obligations. If they are deemed out of compliance with cGMPs, product recalls could result, inventory could be destroyed, production could be stopped and supplies could be delayed or otherwise disrupted.</w:t>
      </w:r>
    </w:p>
    <w:p>
      <w:pPr>
        <w:spacing w:after="0" w:line="173"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If we need to change manufacturers after commercialization, the FDA and corresponding foreign regulatory agencies must approve these new manufacturers in advance, which will involve testing and additional inspections to ensure compliance with FDA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INDUSTRY REGULATION</w:t>
      </w:r>
    </w:p>
    <w:p>
      <w:pPr>
        <w:spacing w:after="0" w:line="22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Numerous governmental authorities, principally the FDA and corresponding state and foreign regulatory agencies, impose substantial regulations upon the clinical development, manufacture and marketing of our drug candidates, as well as our ongoing research and development activities. None of our drug candidates have been approved for sale in any market in which we have marketing rights. Before marketing in the U.S., any drug that we develop must undergo rigorous pre-clinical testing and clinical trials and an extensive regulatory approval process implemented by the FDA under the FDCA. The FDA regulates, among other things, the pre-clinical and clinical testing, safety, efficacy, approval, manufacturing, record keeping, adverse event reporting, packaging, labeling, storage, advertising, promotion, export, sale and distribution of biopharmaceutical products.</w:t>
      </w:r>
    </w:p>
    <w:p>
      <w:pPr>
        <w:spacing w:after="0" w:line="1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regulatory review and approval process is lengthy, expensive and uncertain. We are required to submit extensive pre-clinical and clinical data and supporting information to the FDA for each indication or use to establish a drug candidate’s safety and efficacy before we can secure FDA approval to market or sell a product in the U.S. The approval process takes many years, requires the expenditure of substantial resources and may involve ongoing requirements for post-marketing studies or surveillance. Before commencing clinical trials in humans, we must submit an IND to the FDA containing, among other things, pre-clinical data, chemistry, manufacturing and control information, and an investigative plan. Our submission of an IND may not result in FDA authorization to commence a clinical trial.</w:t>
      </w:r>
    </w:p>
    <w:p>
      <w:pPr>
        <w:spacing w:after="0" w:line="1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FDA may permit expedited development, evaluation, and marketing of new therapies intended to treat persons with serious or life-threatening conditions for which there is an unmet medical need under its fast track drug development programs. A sponsor can apply for fast track designation at the time of submission of an IND, or at any time prior to receiving marketing approval of the new drug application, or NDA. To receive Fast Track designation, an applicant must demonstrate:</w:t>
      </w:r>
    </w:p>
    <w:p>
      <w:pPr>
        <w:spacing w:after="0" w:line="18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the drug is intended to treat a serious or life-threatening condition;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the drug is intended to treat a serious aspect of the condition;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that the drug has the potential to address unmet medical needs, and this potential is being evaluated in the planned drug development program.</w:t>
      </w:r>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FDA must respond to a request for fast track designation within 60 calendar days of receipt of the request. Over the course of drug development, a product in a fast track development program must continue to meet the criteria for fast track designation. Sponsors of products in fast track drug development programs must be in regular contact with the reviewing division of the FDA to ensure that the evidence necessary to support marketing approval will be developed and presented in a format conducive to an efficient review. Sponsors of products in fast track drug development programs ordinarily are eligible for priority review of a completed application in six months or less and also may be permitted to submit portions of a New Drug Application (“NDA”) to the FDA for review before the complete application is submitted.</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ind w:firstLine="648"/>
        <w:spacing w:after="0" w:line="269" w:lineRule="auto"/>
        <w:rPr>
          <w:sz w:val="20"/>
          <w:szCs w:val="20"/>
          <w:color w:val="auto"/>
        </w:rPr>
      </w:pPr>
      <w:r>
        <w:rPr>
          <w:rFonts w:ascii="Arial" w:cs="Arial" w:eastAsia="Arial" w:hAnsi="Arial"/>
          <w:sz w:val="17"/>
          <w:szCs w:val="17"/>
          <w:color w:val="auto"/>
        </w:rPr>
        <w:t>Sponsors of drugs designated as fast track also may seek approval under the FDA’s accelerated approval regulations. Under this authority,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Approval will be subject to the requirement that the applicant study the drug further to verify and describe its clinical benefit where there is uncertainty as to the relation of the surrogate endpoint to clinical benefit or uncertainty as to the relation of the observed clinical benefit to ultimate outcome. Post-marketing studies are usually underway at the time an applicant files the NDA. When required to be conducted, such post-marketing studies must also be adequate and well-controlled. The applicant must carry out any such post-marketing studies with due diligence. Many companies who have been granted the right to utilize an accelerated approval approach have failed to obtain approval. Moreover, negative or inconclusive results from the clinical trials we hope to conduct or adverse medical events could cause us to have to repeat or terminate the clinical trials. Accordingly, we may not be able to complete the clinical trials within an acceptable time frame, if at all, and, therefore, could not submit the NDA to the FDA or foreign regulatory authorities for marketing approval.</w:t>
      </w:r>
    </w:p>
    <w:p>
      <w:pPr>
        <w:spacing w:after="0" w:line="18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sponsors may also apply to the FDA for Breakthrough Therapy Designation. The Breakthrough Therapy Designation is intended to expedite the development and review of a potential new drug for serious or life-threatening diseases where “preliminary clinical evidence indicates that the drug may demonstrate substantial improvement over existing therapies on one or more clinically significant endpoints, such as substantial treatment effects observed early in clinical development.” The designation of a drug as a Breakthrough Therapy was enacted as part of the 2012 Food and Drug Administration Safety and Innovation Act.</w:t>
      </w:r>
    </w:p>
    <w:p>
      <w:pPr>
        <w:spacing w:after="0" w:line="188"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Clinical testing must meet requirements for institutional review board oversight, informed consent and good clinical practices, and must be conducted pursuant to an IND, unless exempted.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NDA approval, clinical trials are typically conducted in the following sequential phases:</w:t>
      </w:r>
    </w:p>
    <w:p>
      <w:pPr>
        <w:spacing w:after="0" w:line="225" w:lineRule="exact"/>
        <w:rPr>
          <w:sz w:val="20"/>
          <w:szCs w:val="20"/>
          <w:color w:val="auto"/>
        </w:rPr>
      </w:pPr>
    </w:p>
    <w:p>
      <w:pPr>
        <w:ind w:left="980" w:right="70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drug is administered to a small group of humans, either healthy volunteers or patients, to test for safety, dosage tolerance,</w:t>
      </w:r>
      <w:r>
        <w:rPr>
          <w:rFonts w:ascii="Arial" w:cs="Arial" w:eastAsia="Arial" w:hAnsi="Arial"/>
          <w:sz w:val="18"/>
          <w:szCs w:val="18"/>
          <w:i w:val="1"/>
          <w:iCs w:val="1"/>
          <w:color w:val="auto"/>
        </w:rPr>
        <w:t xml:space="preserve"> </w:t>
      </w:r>
      <w:r>
        <w:rPr>
          <w:rFonts w:ascii="Arial" w:cs="Arial" w:eastAsia="Arial" w:hAnsi="Arial"/>
          <w:sz w:val="18"/>
          <w:szCs w:val="18"/>
          <w:color w:val="auto"/>
        </w:rPr>
        <w:t>absorption, metabolism, excretion, and clinical pharmacology.</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Studies are conducted on a larger number of patients to assess the efficacy of the product, to ascertain dose tolerance and the optimal</w:t>
      </w:r>
      <w:r>
        <w:rPr>
          <w:rFonts w:ascii="Arial" w:cs="Arial" w:eastAsia="Arial" w:hAnsi="Arial"/>
          <w:sz w:val="18"/>
          <w:szCs w:val="18"/>
          <w:i w:val="1"/>
          <w:iCs w:val="1"/>
          <w:color w:val="auto"/>
        </w:rPr>
        <w:t xml:space="preserve"> </w:t>
      </w:r>
      <w:r>
        <w:rPr>
          <w:rFonts w:ascii="Arial" w:cs="Arial" w:eastAsia="Arial" w:hAnsi="Arial"/>
          <w:sz w:val="18"/>
          <w:szCs w:val="18"/>
          <w:color w:val="auto"/>
        </w:rPr>
        <w:t>dose range, and to gather additional data relating to safety and potential adverse events.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Studies establish safety and efficacy in an expanded patient population.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Phase 4</w:t>
      </w:r>
      <w:r>
        <w:rPr>
          <w:rFonts w:ascii="Arial" w:cs="Arial" w:eastAsia="Arial" w:hAnsi="Arial"/>
          <w:sz w:val="18"/>
          <w:szCs w:val="18"/>
          <w:color w:val="auto"/>
        </w:rPr>
        <w:t>: The FDA may require Phase 4 post-marketing studies to find out more about the drug’s long-term risks, benefits, and optimal use, or to</w:t>
      </w:r>
      <w:r>
        <w:rPr>
          <w:rFonts w:ascii="Arial" w:cs="Arial" w:eastAsia="Arial" w:hAnsi="Arial"/>
          <w:sz w:val="18"/>
          <w:szCs w:val="18"/>
          <w:i w:val="1"/>
          <w:iCs w:val="1"/>
          <w:color w:val="auto"/>
        </w:rPr>
        <w:t xml:space="preserve"> </w:t>
      </w:r>
      <w:r>
        <w:rPr>
          <w:rFonts w:ascii="Arial" w:cs="Arial" w:eastAsia="Arial" w:hAnsi="Arial"/>
          <w:sz w:val="18"/>
          <w:szCs w:val="18"/>
          <w:color w:val="auto"/>
        </w:rPr>
        <w:t>test the drug in different populations.</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length of time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that may increase the costs of these trials, include:</w:t>
      </w:r>
    </w:p>
    <w:p>
      <w:pPr>
        <w:spacing w:after="0" w:line="181" w:lineRule="exact"/>
        <w:rPr>
          <w:sz w:val="20"/>
          <w:szCs w:val="20"/>
          <w:color w:val="auto"/>
        </w:rPr>
      </w:pPr>
    </w:p>
    <w:p>
      <w:pPr>
        <w:ind w:left="980" w:right="90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slow patient enrollment due to the nature of the clinical trial plan, the proximity of patients to clinical sites, the eligibility criteria for participation in the study or other factors;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 or delays in approvals from a study site’s review board;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treatment time required to demonstrate efficacy or determine the appropriate product dose;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insufficient supply of the drug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ineffectiveness of the drug candidates.</w:t>
      </w:r>
    </w:p>
    <w:p>
      <w:pPr>
        <w:spacing w:after="0" w:line="225"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In addition, the FDA, equivalent foreign regulatory authority, or a data safety monitoring committee for a trial may place a clinical trial on hold or terminate it if it concludes that subjects are being exposed to an unacceptable health risk, or for futility. Any drug is likely to produce some toxicity or undesirable side effects in animals and in humans when administered at sufficiently high doses and/or for a sufficiently long period of time. Unacceptable toxicity or side effects may occur at any dose level at any time in the course of studies in animals designed to identify unacceptable effects of a drug candidate, known as toxicological studies, or clinical trials of drug candidates. The appearance of any unacceptable toxicity or side effect could cause us or regulatory authorities to interrupt, limit, delay or abort the development of any of our drug candidates and could ultimately prevent approval by the FDA or foreign regulatory authorities for any or all targeted indications.</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ind w:right="60" w:firstLine="648"/>
        <w:spacing w:after="0" w:line="257" w:lineRule="auto"/>
        <w:rPr>
          <w:sz w:val="20"/>
          <w:szCs w:val="20"/>
          <w:color w:val="auto"/>
        </w:rPr>
      </w:pPr>
      <w:r>
        <w:rPr>
          <w:rFonts w:ascii="Arial" w:cs="Arial" w:eastAsia="Arial" w:hAnsi="Arial"/>
          <w:sz w:val="18"/>
          <w:szCs w:val="18"/>
          <w:color w:val="auto"/>
        </w:rPr>
        <w:t>Sponsors of drugs may apply for an SPA from the FDA. The SPA process is a procedure by which the FDA provides official evaluation and written guidance on the design and size of proposed protocols that are intended to form the basis for a new drug application. However, final marketing approval depends on the results of efficacy, the adverse event profile and an evaluation of the benefit/risk of treatment demonstrated in the Phase 3 trial. The SPA agreement may only be changed through a written agreement between the sponsor and the FDA, or if the FDA becomes aware of a substantial scientific issue essential to product safety or efficacy.</w:t>
      </w:r>
    </w:p>
    <w:p>
      <w:pPr>
        <w:spacing w:after="0" w:line="18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Before receiving FDA approval to market a product, we must demonstrate that the product is safe and effective for its intended use by submitting to the FDA an NDA containing the pre-clinical and clinical data that have been accumulated, together with chemistry and manufacturing and controls specifications and information, and proposed labeling, among other things. The FDA may refuse to accept an NDA for filing if certain content criteria are not met and, even after accepting an NDA, the FDA may often require additional information, including clinical data, before approval of marketing a product.</w:t>
      </w:r>
    </w:p>
    <w:p>
      <w:pPr>
        <w:spacing w:after="0" w:line="154"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It is also becoming more common for the FDA to request a Risk Evaluation and Mitigation Strategy, or REMS, as part of a NDA. The REMS plan contains post-market obligations of the sponsor to train prescribing physicians, monitor off-label drug use, and conduct sufficient Phase 4 follow-up studies and registries to ensure the continued safe use of the drug.</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part of the approval process, the FDA must inspect and approve each manufacturing facility. Among the conditions of approval is the requirement that a manufacturer’s quality control and manufacturing procedures conform to cGMP. Manufacturers must expend significant time, money and effort to ensure continued compliance, and the FDA conducts periodic inspections to certify compliance. It may be difficult for our manufacturers or us to comply with the applicable cGMP, as interpreted by the FDA, and other FDA regulatory requirements. If we, or our contract manufacturers, fail to comply, then the FDA may not allow us to market products that have been affected by the failure.</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If the FDA grants approval, the approval will be limited to those disease states, conditions and patient populations for which the product is safe and effective, as demonstrated through clinical studies. Further, a product may be marketed only in those dosage forms and for those indications approved in the NDA. Certain changes to an approved NDA, including, with certain exceptions, any significant changes to labeling, require approval of a supplemental application before the drug may be marketed as changed. Any products that we manufacture or distribute pursuant to FDA approvals are subject to continuing monitoring and regulation by the FDA, including compliance with cGMP and the reporting of adverse experiences with the drugs. The nature of marketing claims that the FDA will permit us to make in the labeling and advertising of our products will generally be limited to those specified in FDA approved labeling, and the advertising of our products will be subject to comprehensive monitoring and regulation by the FDA. Drugs whose review was accelerated may carry additional restrictions on marketing activities, including the requirement that all promotional materials are pre-submitted to the FDA. Claims exceeding those contained in approved labeling will constitute a violation of the FDCA. Violations of the FDCA or regulatory requirements at any time during the product development process, approval process, or marketing and sale following approval may result in agency enforcement actions, including withdrawal of approval, recall, seizure of products, warning letters, injunctions, fines and/or civil or criminal penalties. Any agency enforcement action could have a material adverse effect on our business.</w:t>
      </w:r>
    </w:p>
    <w:p>
      <w:pPr>
        <w:spacing w:after="0" w:line="180"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Should we wish to market our products outside the U.S., we must receive marketing authorization from the appropriate foreign regulatory authorities. The requirements governing the conduct of clinical trials, marketing authorization, pricing and reimbursement vary widely from country to country. At present, companies are typically required to apply for foreign marketing authorizations at a national level. However, within the European Union, registration procedures are available to companies wishing to market a product in more than one European Union member state. Typically, if the regulatory authority is satisfied that a company has presented adequate evidence of safety, quality and efficacy, then the regulatory authority will grant a marketing authorization. This foreign regulatory approval process, however, involves risks similar or identical to the risks associated with FDA approval discussed above, and therefore we cannot guarantee that we will be able to obtain the appropriate marketing authorization for any product in any particular country.</w:t>
      </w:r>
    </w:p>
    <w:p>
      <w:pPr>
        <w:spacing w:after="0" w:line="16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Failure to comply with applicable federal, state and foreign laws and regulations would likely have a material adverse effect on our business. In addition, federal, state and foreign laws and regulations regarding the manufacture and sale of new drugs are subject to future changes. We cannot predict the likelihood, nature, effect or extent of adverse governmental regulation that might arise from future legislative or administrative action, either in the U.S. or abroad.</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March 1, 2014, we had thirteen full and part-time employees. None of our employees are represented by a collective bargaining agreement, and we have never experienced a work stoppage. We consider our relations with our employees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You should carefully consider the following risks and uncertainties. If any of the following occurs,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You should carefully consider the following risk factors and the other information contained elsewhere in this Annual Report before making an investment in our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Company’s Business and Industry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order to submit and maintain an IND, Biologics License Application (“BLA”), or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While we maintain an active IND for TG-1101 and TGR-1202 enabling the conduct of studies in the FDA’s Division of Hematology and Oncology; there can be no assurance given that we will be successful in obtaining an active IND for TG-1101 or TGR-1202 in any other division under whose supervision we may seek to develop our product candidates, or that the FDA will allow us to continue the development of our product candidates in those divisions where we maintain an active IND.</w:t>
      </w:r>
    </w:p>
    <w:p>
      <w:pPr>
        <w:spacing w:after="0" w:line="1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0" w:name="page21"/>
    <w:bookmarkEnd w:id="20"/>
    <w:p>
      <w:pPr>
        <w:ind w:right="220"/>
        <w:spacing w:after="0" w:line="277" w:lineRule="auto"/>
        <w:rPr>
          <w:sz w:val="20"/>
          <w:szCs w:val="20"/>
          <w:color w:val="auto"/>
        </w:rPr>
      </w:pPr>
      <w:r>
        <w:rPr>
          <w:rFonts w:ascii="Arial" w:cs="Arial" w:eastAsia="Arial" w:hAnsi="Arial"/>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attrition from the failure of pharmaceutical candidates proceeding through clinical trials.</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plan on conducting additional Phase I, II and III clinical trials for TG-1101. Early clinical results seen with TG-1101 in a small number of patients may not be reproduced in expanded or larger clinical trials. Additionally, individually reported outcomes of patients treated in clinical trials may not be representative of the entire population of treated patients in such studies. If the results from expansion cohorts or later trials are different from those found in the earlier studies of TG-1101, we may need to terminate or revise our clinical development plan, which could extend the time for conducting our development program and could have a material adverse effect on our business.</w:t>
      </w:r>
    </w:p>
    <w:p>
      <w:pPr>
        <w:spacing w:after="0" w:line="18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TGR-1202 has only recently entered into a first-in-human Phase I clinical trial. As such, preliminary human data is only available from a limited number of patients from the ongoing Phase I clinical trial. There can be no assurances given that TGR-1202 will exhibit sufficient pharmacologic properties following review of the data from this first Phase I study to support further development of TGR-1202. In addition, the pharmacologic and pharmacokinetic properties demonstrated by TGR-1202 in early cohorts and at lower doses may not be consistent with those demonstrated at higher doses of TGR-1202. Furthermore, such pharmacologic data arising from this first Phase I study may be inconclusive or not reproducible in later clinical trials. In such situation, we may conduct additional clinical trials only to learn later that TGR-1202 lacks adequate pharmacologic properties. Additionally, even if we believed that TGR-1202 possessed adequate pharmacologic properties, that still does not ensure that TGR-1202 will be a safe and effective pharmaceutical agent. If TGR-1202 were ultimately determined to lack adequate pharmacologic properties or fail to be a safe and effective pharmaceutical agent, we would have to cease development, which could have a material adverse effect on our business. In such event, despite the rights we retain to back-up compounds, our PI3k Delta program would be significantly delayed or terminated.</w:t>
      </w:r>
    </w:p>
    <w:p>
      <w:pPr>
        <w:spacing w:after="0" w:line="17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Any product candidates we may advance into clinical development are subject to extensive regulation, which can be costly and time consuming, cause unanticipated delays or prevent the receipt of the required approvals to commercialize our product candidates.</w:t>
      </w:r>
    </w:p>
    <w:p>
      <w:pPr>
        <w:spacing w:after="0" w:line="14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EMA, as well as the other regulatory agencies in many of these countries, and other regulatory agencies around the world.</w:t>
      </w:r>
    </w:p>
    <w:p>
      <w:pPr>
        <w:spacing w:after="0" w:line="169" w:lineRule="exact"/>
        <w:rPr>
          <w:sz w:val="20"/>
          <w:szCs w:val="20"/>
          <w:color w:val="auto"/>
        </w:rPr>
      </w:pPr>
    </w:p>
    <w:p>
      <w:pPr>
        <w:ind w:right="160" w:firstLine="648"/>
        <w:spacing w:after="0" w:line="268"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980" w:right="40" w:hanging="324"/>
        <w:spacing w:after="0" w:line="26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left="980" w:right="260" w:hanging="324"/>
        <w:spacing w:after="0" w:line="258"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0" w:lineRule="exact"/>
        <w:rPr>
          <w:rFonts w:ascii="Arial" w:cs="Arial" w:eastAsia="Arial" w:hAnsi="Arial"/>
          <w:sz w:val="17"/>
          <w:szCs w:val="17"/>
          <w:color w:val="auto"/>
        </w:rPr>
      </w:pPr>
    </w:p>
    <w:p>
      <w:pPr>
        <w:ind w:left="980" w:right="66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980" w:right="10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right="40" w:hanging="324"/>
        <w:spacing w:after="0" w:line="26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4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its product candidates. To date, clinical trials using TG-1101 and our other product candidates have demonstrated a toxicity profile that was deemed acceptable by the investigators performing such studies. 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TG-1101, the toxicity when manufactured under different conditions is not known, and it is possible that additional and/or different adverse events may appear upon the human use of those formulations and those adverse events may arise with greater frequency, intensity and duration than in the current formulation. Such risk also exists for new manufacturing processes and/or formulations, if any, of TGR-1202, the clinical impact of which is not known. Further, with respect to TGR-1202, to date only a small number of patients have been dosed in the ongoing first-in-human dose-escalation Phase I study, the full adverse effect profile of TGR-1202 is not known. Limited data is available on the drug’s adverse event profile at lower doses, and as the dose escalation continues with higher doses of TGR-1202, greater frequency and/or severity of adverse events are likely to occur as a maximum tolerated dose is reached. If any of our product candidates cause unacceptable adverse events in clinical trials, we may not be able to obtain marketing approval and generate revenues from its sale, which could have a material adverse impact on our business and operations.</w:t>
      </w:r>
    </w:p>
    <w:p>
      <w:pPr>
        <w:spacing w:after="0" w:line="172"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spacing w:after="0" w:line="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980" w:right="66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its ability to pursue regulatory approval.</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its product candidates.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70"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980" w:right="14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160" w:firstLine="648"/>
        <w:spacing w:after="0" w:line="264"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IRB, an ethics committee or a Data Safety and Monitoring Committee overseeing the clinical trial, any of our clinical trial sites with respect to that site or the FDA or other regulatory authorities due to a number of factors, including:</w:t>
      </w:r>
    </w:p>
    <w:p>
      <w:pPr>
        <w:spacing w:after="0" w:line="2"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6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24" w:lineRule="exact"/>
        <w:rPr>
          <w:sz w:val="20"/>
          <w:szCs w:val="20"/>
          <w:color w:val="auto"/>
        </w:rPr>
      </w:pPr>
    </w:p>
    <w:p>
      <w:pPr>
        <w:jc w:val="both"/>
        <w:ind w:right="540" w:firstLine="648"/>
        <w:spacing w:after="0" w:line="286" w:lineRule="auto"/>
        <w:rPr>
          <w:sz w:val="20"/>
          <w:szCs w:val="20"/>
          <w:color w:val="auto"/>
        </w:rPr>
      </w:pPr>
      <w:r>
        <w:rPr>
          <w:rFonts w:ascii="Arial" w:cs="Arial" w:eastAsia="Arial" w:hAnsi="Arial"/>
          <w:sz w:val="17"/>
          <w:szCs w:val="17"/>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product candidates are in the initial stages of development and are currently manufactured in small batches for use in pre-clinical and clinical studies. Process improvements implemented to date have,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w:t>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4" w:name="page25"/>
    <w:bookmarkEnd w:id="24"/>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79"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If our competitors develop treatments for the target indications for which any of our product candidates may be approved, that are approved more quickly, marketed more effectively or demonstrated to be more effective than our product candidates, our commercial opportunity will be reduced or eliminated.</w:t>
      </w:r>
    </w:p>
    <w:p>
      <w:pPr>
        <w:spacing w:after="0" w:line="101" w:lineRule="exact"/>
        <w:rPr>
          <w:sz w:val="20"/>
          <w:szCs w:val="20"/>
          <w:color w:val="auto"/>
        </w:rPr>
      </w:pPr>
    </w:p>
    <w:p>
      <w:pPr>
        <w:ind w:right="340" w:firstLine="648"/>
        <w:spacing w:after="0" w:line="272" w:lineRule="auto"/>
        <w:rPr>
          <w:sz w:val="20"/>
          <w:szCs w:val="20"/>
          <w:color w:val="auto"/>
        </w:rPr>
      </w:pPr>
      <w:r>
        <w:rPr>
          <w:rFonts w:ascii="Arial" w:cs="Arial" w:eastAsia="Arial" w:hAnsi="Arial"/>
          <w:sz w:val="17"/>
          <w:szCs w:val="17"/>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7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w:t>
      </w:r>
    </w:p>
    <w:p>
      <w:pPr>
        <w:spacing w:after="0" w:line="169" w:lineRule="exact"/>
        <w:rPr>
          <w:sz w:val="20"/>
          <w:szCs w:val="20"/>
          <w:color w:val="auto"/>
        </w:rPr>
      </w:pPr>
    </w:p>
    <w:p>
      <w:pPr>
        <w:ind w:right="120" w:firstLine="648"/>
        <w:spacing w:after="0" w:line="228" w:lineRule="auto"/>
        <w:rPr>
          <w:sz w:val="20"/>
          <w:szCs w:val="20"/>
          <w:color w:val="auto"/>
        </w:rPr>
      </w:pPr>
      <w:r>
        <w:rPr>
          <w:rFonts w:ascii="Arial" w:cs="Arial" w:eastAsia="Arial" w:hAnsi="Arial"/>
          <w:sz w:val="17"/>
          <w:szCs w:val="17"/>
          <w:color w:val="auto"/>
        </w:rPr>
        <w:t>If approved, we expect TG-1101 to compete directly with Roche Group’s Rituxan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(Rituximab) and Gazyva (obinutuzumab or GA-101), Spectrum Pharmaceutical’s Zevalin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(Y</w:t>
      </w:r>
      <w:r>
        <w:rPr>
          <w:rFonts w:ascii="Arial" w:cs="Arial" w:eastAsia="Arial" w:hAnsi="Arial"/>
          <w:sz w:val="28"/>
          <w:szCs w:val="28"/>
          <w:color w:val="auto"/>
          <w:vertAlign w:val="superscript"/>
        </w:rPr>
        <w:t>90</w:t>
      </w:r>
      <w:r>
        <w:rPr>
          <w:rFonts w:ascii="Arial" w:cs="Arial" w:eastAsia="Arial" w:hAnsi="Arial"/>
          <w:sz w:val="17"/>
          <w:szCs w:val="17"/>
          <w:color w:val="auto"/>
        </w:rPr>
        <w:t>-Ibritumomab Tiuxetan), and Genmab and GlaxoSmithKline’s Arzerra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(Ofatumumab) among others, each of which is currently approved for the treatment of various diseases including NHL and CLL. In addition, a number of pharmaceutical companies are developing anti-CD20 antibodies which, if approved, would potentially compete with TG-1101. New developments, including the development of other pharmaceutical technologies and methods of treating disease, occur in the pharmaceutical and life sciences industries at a rapid pace.</w:t>
      </w:r>
    </w:p>
    <w:p>
      <w:pPr>
        <w:spacing w:after="0" w:line="20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With respect to TGR-1202, although no PI3K delta inhibitors have been approved by the FDA, there are several PI3K delta targeted compounds in development, including, but not limited to, Gilead’s idelalisib (formerly known as GS-1101 or CAL-101), Infinity Pharmaceuticals IPI-145 and Amgen’s AMG-319, which if approved we would expect to compete directly with TGR-1202. In addition, there are numerous other novel therapies targeting similar pathways to TGR-1202 in development, which if approved would also compete with TGR-1202 in similar indications, such as the BTK inhibitor, ibrutinib (FDA approved for MCL and CLL and marketed by Pharmacyclics and Janssen), or the blc-2 inhibitor ABT-199 (under clinical development by AbbVie and Roche).</w:t>
      </w:r>
    </w:p>
    <w:p>
      <w:pPr>
        <w:spacing w:after="0" w:line="193" w:lineRule="exact"/>
        <w:rPr>
          <w:sz w:val="20"/>
          <w:szCs w:val="20"/>
          <w:color w:val="auto"/>
        </w:rPr>
      </w:pPr>
    </w:p>
    <w:p>
      <w:pPr>
        <w:ind w:right="540" w:firstLine="648"/>
        <w:spacing w:after="0" w:line="258"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spacing w:after="0" w:line="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right="20" w:firstLine="648"/>
        <w:spacing w:after="0" w:line="257" w:lineRule="auto"/>
        <w:rPr>
          <w:sz w:val="20"/>
          <w:szCs w:val="20"/>
          <w:color w:val="auto"/>
        </w:rPr>
      </w:pPr>
      <w:r>
        <w:rPr>
          <w:rFonts w:ascii="Arial" w:cs="Arial" w:eastAsia="Arial" w:hAnsi="Arial"/>
          <w:sz w:val="18"/>
          <w:szCs w:val="18"/>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or CLL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87"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at an appropriate scale and cost to make it commercially feasible. If they are unable to do so, it could have a material adverse impact on our business.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8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right="100" w:firstLine="648"/>
        <w:spacing w:after="0" w:line="273" w:lineRule="auto"/>
        <w:rPr>
          <w:sz w:val="20"/>
          <w:szCs w:val="20"/>
          <w:color w:val="auto"/>
        </w:rPr>
      </w:pPr>
      <w:r>
        <w:rPr>
          <w:rFonts w:ascii="Arial" w:cs="Arial" w:eastAsia="Arial" w:hAnsi="Arial"/>
          <w:sz w:val="17"/>
          <w:szCs w:val="17"/>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70"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ind w:left="1440" w:hanging="473"/>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1440" w:hanging="473"/>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440" w:hanging="473"/>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1440" w:hanging="473"/>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1440" w:hanging="473"/>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1440" w:hanging="473"/>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440" w:hanging="473"/>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1440" w:hanging="473"/>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440" w:hanging="473"/>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1440" w:hanging="473"/>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70" w:lineRule="exact"/>
        <w:rPr>
          <w:sz w:val="20"/>
          <w:szCs w:val="20"/>
          <w:color w:val="auto"/>
        </w:rPr>
      </w:pPr>
    </w:p>
    <w:p>
      <w:pPr>
        <w:ind w:right="320" w:firstLine="45"/>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2"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right="420"/>
        <w:spacing w:after="0" w:line="277"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8" w:lineRule="exact"/>
        <w:rPr>
          <w:sz w:val="20"/>
          <w:szCs w:val="20"/>
          <w:color w:val="auto"/>
        </w:rPr>
      </w:pPr>
    </w:p>
    <w:p>
      <w:pPr>
        <w:jc w:val="both"/>
        <w:ind w:right="120" w:firstLine="648"/>
        <w:spacing w:after="0" w:line="256"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w:t>
      </w:r>
    </w:p>
    <w:p>
      <w:pPr>
        <w:spacing w:after="0" w:line="17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16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2"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ind w:right="280"/>
        <w:spacing w:after="0" w:line="277" w:lineRule="auto"/>
        <w:rPr>
          <w:sz w:val="20"/>
          <w:szCs w:val="20"/>
          <w:color w:val="auto"/>
        </w:rPr>
      </w:pPr>
      <w:r>
        <w:rPr>
          <w:rFonts w:ascii="Arial" w:cs="Arial" w:eastAsia="Arial" w:hAnsi="Arial"/>
          <w:sz w:val="18"/>
          <w:szCs w:val="18"/>
          <w:b w:val="1"/>
          <w:bCs w:val="1"/>
          <w:i w:val="1"/>
          <w:iCs w:val="1"/>
          <w:color w:val="auto"/>
        </w:rPr>
        <w:t>The Company will need to increase the size of its organization and the scope of our outside vendor relationships, and we may experience difficulties in managing this growth.</w:t>
      </w:r>
    </w:p>
    <w:p>
      <w:pPr>
        <w:spacing w:after="0" w:line="170"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As of March 1, 2014, we had thirteen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187"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23"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may utilize the services of outside vendors or consultants to perform tasks including clinical trial management, statistics and analysis, regulatory affairs, formulation development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6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the Company is not able to attract and retain the necessary personnel to accomplish its business objectives, we may experience constraints that will impede significantly the achievement of our development objectives, our ability to raise additional capital, and our ability to implement our business strategy.</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70"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47"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ind w:left="980" w:hanging="324"/>
        <w:spacing w:after="0" w:line="227"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15" w:lineRule="exact"/>
        <w:rPr>
          <w:rFonts w:ascii="Arial" w:cs="Arial" w:eastAsia="Arial" w:hAnsi="Arial"/>
          <w:sz w:val="20"/>
          <w:szCs w:val="20"/>
          <w:color w:val="auto"/>
        </w:rPr>
      </w:pPr>
    </w:p>
    <w:p>
      <w:pPr>
        <w:ind w:left="980" w:hanging="324"/>
        <w:spacing w:after="0" w:line="223"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15" w:lineRule="exact"/>
        <w:rPr>
          <w:rFonts w:ascii="Arial" w:cs="Arial" w:eastAsia="Arial" w:hAnsi="Arial"/>
          <w:sz w:val="20"/>
          <w:szCs w:val="20"/>
          <w:color w:val="auto"/>
        </w:rPr>
      </w:pPr>
    </w:p>
    <w:p>
      <w:pPr>
        <w:ind w:left="980" w:hanging="324"/>
        <w:spacing w:after="0" w:line="223"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18"/>
          <w:szCs w:val="18"/>
          <w:color w:val="auto"/>
        </w:rPr>
        <w:t>strain on managerial and operational resources as management tries to oversee larger operations;</w:t>
      </w:r>
    </w:p>
    <w:p>
      <w:pPr>
        <w:spacing w:after="0" w:line="15" w:lineRule="exact"/>
        <w:rPr>
          <w:rFonts w:ascii="Arial" w:cs="Arial" w:eastAsia="Arial" w:hAnsi="Arial"/>
          <w:sz w:val="20"/>
          <w:szCs w:val="20"/>
          <w:color w:val="auto"/>
        </w:rPr>
      </w:pPr>
    </w:p>
    <w:p>
      <w:pPr>
        <w:ind w:left="980" w:right="140" w:hanging="324"/>
        <w:spacing w:after="0" w:line="236"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980" w:hanging="324"/>
        <w:spacing w:after="0" w:line="225"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18"/>
          <w:szCs w:val="18"/>
          <w:color w:val="auto"/>
        </w:rPr>
        <w:t>exposure to unforeseen liabilities of acquired companies;</w:t>
      </w:r>
    </w:p>
    <w:p>
      <w:pPr>
        <w:spacing w:after="0" w:line="15" w:lineRule="exact"/>
        <w:rPr>
          <w:rFonts w:ascii="Arial" w:cs="Arial" w:eastAsia="Arial" w:hAnsi="Arial"/>
          <w:sz w:val="20"/>
          <w:szCs w:val="20"/>
          <w:color w:val="auto"/>
        </w:rPr>
      </w:pPr>
    </w:p>
    <w:p>
      <w:pPr>
        <w:ind w:left="980" w:hanging="324"/>
        <w:spacing w:after="0" w:line="223"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18"/>
          <w:szCs w:val="18"/>
          <w:color w:val="auto"/>
        </w:rPr>
        <w:t>potential costly and time-consuming litigation, including stockholder lawsuits;</w:t>
      </w:r>
    </w:p>
    <w:p>
      <w:pPr>
        <w:spacing w:after="0" w:line="15" w:lineRule="exact"/>
        <w:rPr>
          <w:rFonts w:ascii="Arial" w:cs="Arial" w:eastAsia="Arial" w:hAnsi="Arial"/>
          <w:sz w:val="20"/>
          <w:szCs w:val="20"/>
          <w:color w:val="auto"/>
        </w:rPr>
      </w:pPr>
    </w:p>
    <w:p>
      <w:pPr>
        <w:ind w:left="980" w:right="520" w:hanging="324"/>
        <w:spacing w:after="0" w:line="236"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par value $0.001 (“Common Stock”), or which may have a dilutive effect on our stockholders;</w:t>
      </w:r>
    </w:p>
    <w:p>
      <w:pPr>
        <w:ind w:left="980" w:hanging="324"/>
        <w:spacing w:after="0" w:line="225"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18"/>
          <w:szCs w:val="18"/>
          <w:color w:val="auto"/>
        </w:rPr>
        <w:t>risk of loss of invested capital;</w:t>
      </w:r>
    </w:p>
    <w:p>
      <w:pPr>
        <w:spacing w:after="0" w:line="15" w:lineRule="exact"/>
        <w:rPr>
          <w:rFonts w:ascii="Arial" w:cs="Arial" w:eastAsia="Arial" w:hAnsi="Arial"/>
          <w:sz w:val="20"/>
          <w:szCs w:val="20"/>
          <w:color w:val="auto"/>
        </w:rPr>
      </w:pPr>
    </w:p>
    <w:p>
      <w:pPr>
        <w:ind w:left="980" w:hanging="324"/>
        <w:spacing w:after="0" w:line="223"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18"/>
          <w:szCs w:val="18"/>
          <w:color w:val="auto"/>
        </w:rPr>
        <w:t>the need to incur additional debt or use cash; and</w:t>
      </w:r>
    </w:p>
    <w:p>
      <w:pPr>
        <w:spacing w:after="0" w:line="15" w:lineRule="exact"/>
        <w:rPr>
          <w:rFonts w:ascii="Arial" w:cs="Arial" w:eastAsia="Arial" w:hAnsi="Arial"/>
          <w:sz w:val="20"/>
          <w:szCs w:val="20"/>
          <w:color w:val="auto"/>
        </w:rPr>
      </w:pPr>
    </w:p>
    <w:p>
      <w:pPr>
        <w:ind w:left="980" w:hanging="324"/>
        <w:spacing w:after="0" w:line="223"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right="400" w:firstLine="648"/>
        <w:spacing w:after="0" w:line="276" w:lineRule="auto"/>
        <w:rPr>
          <w:sz w:val="20"/>
          <w:szCs w:val="20"/>
          <w:color w:val="auto"/>
        </w:rPr>
      </w:pPr>
      <w:r>
        <w:rPr>
          <w:rFonts w:ascii="Arial" w:cs="Arial" w:eastAsia="Arial" w:hAnsi="Arial"/>
          <w:sz w:val="17"/>
          <w:szCs w:val="17"/>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the Company’s Intellectual Property</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5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Currently, the composition of matter patent and several method of use patents for TG-1101 and TGR-1202 in various indications and settings have been applied for but have not yet been issued. The patent application process is subject to numerous risks and uncertainties, and there can be no assurance that we or our partners will be successful in protecting our product candidates by obtaining and defending patents.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3"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right="46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March 16, 2013, the U.S. converted from a “first to invent” to a “first to file” system. If we do not win the filing race, we will not be entitled to inventive priority;</w:t>
      </w:r>
    </w:p>
    <w:p>
      <w:pPr>
        <w:ind w:left="980" w:right="6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980" w:right="26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980" w:right="720" w:hanging="324"/>
        <w:spacing w:after="0" w:line="261"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ind w:right="660"/>
        <w:spacing w:after="0" w:line="277"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17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81" w:lineRule="exact"/>
        <w:rPr>
          <w:sz w:val="20"/>
          <w:szCs w:val="20"/>
          <w:color w:val="auto"/>
        </w:rPr>
      </w:pPr>
    </w:p>
    <w:p>
      <w:pPr>
        <w:ind w:right="640" w:firstLine="648"/>
        <w:spacing w:after="0" w:line="291"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80" w:right="700" w:hanging="324"/>
        <w:spacing w:after="0" w:line="25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980" w:right="40" w:hanging="324"/>
        <w:spacing w:after="0" w:line="261"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19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Interference proceedings provoked by third parties or brought by the U.S. Patent and Trademark Office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its management and other employees. We may not be able to prevent, alone or with our licensors, misappropriation of our trade secrets or confidential information, particularly in countries where the laws may not protect those rights as fully as in the United States. Moreover, as of March 16, 2013, the U.S. will convert from a “first to invent” to a “first to file” system. After that time, should there be any innovations that we invented first, but on which we filed the patent application second, we will have limited options available to reclaim invention priority.</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 w:name="page33"/>
    <w:bookmarkEnd w:id="32"/>
    <w:p>
      <w:pPr>
        <w:ind w:right="200"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the Company’s Finances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of December 31, 2013, we had net cash, cash equivalents, investment securities and interest receivable of approximately $45,432,000. We believe that our cash on hand will sustain our operations for approximately 24 months. As a result, we will need additional capital to continue our operations beyond that time. We will need to seek additional sources of financing in the future, which might not be available on favorable terms, if at all, to continue our operations.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on your holdings of our capital stock.</w:t>
      </w:r>
    </w:p>
    <w:p>
      <w:pPr>
        <w:spacing w:after="0" w:line="178" w:lineRule="exact"/>
        <w:rPr>
          <w:sz w:val="20"/>
          <w:szCs w:val="20"/>
          <w:color w:val="auto"/>
        </w:rPr>
      </w:pPr>
    </w:p>
    <w:p>
      <w:pPr>
        <w:ind w:right="860" w:firstLine="648"/>
        <w:spacing w:after="0" w:line="342" w:lineRule="auto"/>
        <w:rPr>
          <w:sz w:val="20"/>
          <w:szCs w:val="20"/>
          <w:color w:val="auto"/>
        </w:rPr>
      </w:pPr>
      <w:r>
        <w:rPr>
          <w:rFonts w:ascii="Arial" w:cs="Arial" w:eastAsia="Arial" w:hAnsi="Arial"/>
          <w:sz w:val="16"/>
          <w:szCs w:val="16"/>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w:t>
      </w:r>
    </w:p>
    <w:p>
      <w:pPr>
        <w:spacing w:after="0" w:line="1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we will become profitable, if ever.</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not yet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 must be considered in light of the uncertainties, risks, expenses and difficulties frequently encountered by companies in the early stages of operations and the competitive environment in which we operate.</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never been profitable, and, as of December 31, 2013, we had an accumulated deficit of $39,404,003. We have generated operating losses in all periods since we were incorporated. We expect to make substantial expenditures resulting in increasing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17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completion of preclinical studies of its product candidates;</w:t>
      </w:r>
    </w:p>
    <w:p>
      <w:pPr>
        <w:spacing w:after="0" w:line="23"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commencement and completion of clinical trials of its product candidates and any future product candidates we advance into clinical trials;</w:t>
      </w:r>
    </w:p>
    <w:p>
      <w:pPr>
        <w:ind w:left="980" w:right="420" w:hanging="324"/>
        <w:spacing w:after="0" w:line="250"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6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3" w:lineRule="exact"/>
        <w:rPr>
          <w:sz w:val="20"/>
          <w:szCs w:val="20"/>
          <w:color w:val="auto"/>
        </w:rPr>
      </w:pPr>
    </w:p>
    <w:p>
      <w:pPr>
        <w:ind w:left="980" w:right="240" w:hanging="324"/>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 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jc w:val="both"/>
        <w:ind w:right="340" w:firstLine="648"/>
        <w:spacing w:after="0" w:line="279" w:lineRule="auto"/>
        <w:rPr>
          <w:sz w:val="20"/>
          <w:szCs w:val="20"/>
          <w:color w:val="auto"/>
        </w:rPr>
      </w:pPr>
      <w:r>
        <w:rPr>
          <w:rFonts w:ascii="Arial" w:cs="Arial" w:eastAsia="Arial" w:hAnsi="Arial"/>
          <w:sz w:val="17"/>
          <w:szCs w:val="17"/>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 w:name="page35"/>
    <w:bookmarkEnd w:id="34"/>
    <w:p>
      <w:pPr>
        <w:ind w:right="20" w:firstLine="648"/>
        <w:spacing w:after="0" w:line="259"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color w:val="auto"/>
        </w:rPr>
        <w:t>Our directors, executive officers, their affiliates, and our principal stockholders beneficially own approximately 58% percent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global economic crisis, which affected stock prices of many companies, and particularly many small pharmaceutical companies like ours;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3" w:lineRule="exact"/>
        <w:rPr>
          <w:sz w:val="20"/>
          <w:szCs w:val="20"/>
          <w:color w:val="auto"/>
        </w:rPr>
      </w:pPr>
    </w:p>
    <w:p>
      <w:pPr>
        <w:ind w:right="100" w:firstLine="648"/>
        <w:spacing w:after="0" w:line="221" w:lineRule="auto"/>
        <w:rPr>
          <w:sz w:val="20"/>
          <w:szCs w:val="20"/>
          <w:color w:val="auto"/>
        </w:rPr>
      </w:pPr>
      <w:r>
        <w:rPr>
          <w:rFonts w:ascii="Arial" w:cs="Arial" w:eastAsia="Arial" w:hAnsi="Arial"/>
          <w:sz w:val="18"/>
          <w:szCs w:val="18"/>
          <w:color w:val="auto"/>
        </w:rPr>
        <w:t>Our corporate and executive office is located in New York, New York. Our New York facility consists of office space at 3 Columbus Circle,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10019. We are not currently under a lease agreement at 3 Columbus Circle. We believe that our existing facilities are adequate to meet our current requirements. We do not own any real property.</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applicable to the Company.</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common stock is listed on the NASDAQ Capital Market and trades under the symbol “TGTX”. Prior to May 30, 2013 our stock was listed on the Over the Counter Bulletin Board. Prior to January 12, 2012 the Company was traded under the symbol “MHAN.”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high and low closing sale prices of our common stock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Low</w:t>
            </w:r>
          </w:p>
        </w:tc>
      </w:tr>
      <w:tr>
        <w:trPr>
          <w:trHeight w:val="190"/>
        </w:trPr>
        <w:tc>
          <w:tcPr>
            <w:tcW w:w="4700" w:type="dxa"/>
            <w:vAlign w:val="bottom"/>
            <w:tcBorders>
              <w:top w:val="single" w:sz="8" w:color="CCFFCC"/>
            </w:tcBorders>
            <w:gridSpan w:val="2"/>
            <w:shd w:val="clear" w:color="auto" w:fill="CCFFCC"/>
          </w:tcPr>
          <w:p>
            <w:pPr>
              <w:spacing w:after="0" w:line="170" w:lineRule="exact"/>
              <w:rPr>
                <w:sz w:val="20"/>
                <w:szCs w:val="20"/>
                <w:color w:val="auto"/>
              </w:rPr>
            </w:pPr>
            <w:r>
              <w:rPr>
                <w:rFonts w:ascii="Arial" w:cs="Arial" w:eastAsia="Arial" w:hAnsi="Arial"/>
                <w:sz w:val="18"/>
                <w:szCs w:val="18"/>
                <w:b w:val="1"/>
                <w:bCs w:val="1"/>
                <w:color w:val="auto"/>
              </w:rPr>
              <w:t>Fiscal Year Ended December 31, 2013</w:t>
            </w:r>
          </w:p>
        </w:tc>
        <w:tc>
          <w:tcPr>
            <w:tcW w:w="180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6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6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r>
      <w:tr>
        <w:trPr>
          <w:trHeight w:val="216"/>
        </w:trPr>
        <w:tc>
          <w:tcPr>
            <w:tcW w:w="29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Fourth Quarter</w:t>
            </w:r>
          </w:p>
        </w:tc>
        <w:tc>
          <w:tcPr>
            <w:tcW w:w="1800" w:type="dxa"/>
            <w:vAlign w:val="bottom"/>
            <w:tcBorders>
              <w:top w:val="single" w:sz="8" w:color="CCFFCC"/>
            </w:tcBorders>
          </w:tcPr>
          <w:p>
            <w:pPr>
              <w:spacing w:after="0"/>
              <w:rPr>
                <w:sz w:val="18"/>
                <w:szCs w:val="18"/>
                <w:color w:val="auto"/>
              </w:rPr>
            </w:pPr>
          </w:p>
        </w:tc>
        <w:tc>
          <w:tcPr>
            <w:tcW w:w="2120" w:type="dxa"/>
            <w:vAlign w:val="bottom"/>
            <w:tcBorders>
              <w:top w:val="single" w:sz="8" w:color="CCFFCC"/>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5.16</w:t>
            </w:r>
          </w:p>
        </w:tc>
        <w:tc>
          <w:tcPr>
            <w:tcW w:w="440" w:type="dxa"/>
            <w:vAlign w:val="bottom"/>
            <w:tcBorders>
              <w:top w:val="single" w:sz="8" w:color="CCFFC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top w:val="single" w:sz="8" w:color="CCFFCC"/>
            </w:tcBorders>
          </w:tcPr>
          <w:p>
            <w:pPr>
              <w:spacing w:after="0"/>
              <w:rPr>
                <w:sz w:val="18"/>
                <w:szCs w:val="18"/>
                <w:color w:val="auto"/>
              </w:rPr>
            </w:pPr>
          </w:p>
        </w:tc>
      </w:tr>
      <w:tr>
        <w:trPr>
          <w:trHeight w:val="216"/>
        </w:trPr>
        <w:tc>
          <w:tcPr>
            <w:tcW w:w="47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Third Quarter</w:t>
            </w:r>
          </w:p>
        </w:tc>
        <w:tc>
          <w:tcPr>
            <w:tcW w:w="2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6.87</w:t>
            </w:r>
          </w:p>
        </w:tc>
        <w:tc>
          <w:tcPr>
            <w:tcW w:w="4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FFCC"/>
          </w:tcPr>
          <w:p>
            <w:pPr>
              <w:spacing w:after="0"/>
              <w:rPr>
                <w:sz w:val="18"/>
                <w:szCs w:val="18"/>
                <w:color w:val="auto"/>
              </w:rPr>
            </w:pPr>
          </w:p>
        </w:tc>
      </w:tr>
      <w:tr>
        <w:trPr>
          <w:trHeight w:val="216"/>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8"/>
                <w:szCs w:val="18"/>
                <w:color w:val="auto"/>
              </w:rPr>
            </w:pPr>
          </w:p>
        </w:tc>
      </w:tr>
      <w:tr>
        <w:trPr>
          <w:trHeight w:val="216"/>
        </w:trPr>
        <w:tc>
          <w:tcPr>
            <w:tcW w:w="47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First Quarter</w:t>
            </w:r>
          </w:p>
        </w:tc>
        <w:tc>
          <w:tcPr>
            <w:tcW w:w="2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6.40</w:t>
            </w:r>
          </w:p>
        </w:tc>
        <w:tc>
          <w:tcPr>
            <w:tcW w:w="4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FFCC"/>
          </w:tcPr>
          <w:p>
            <w:pPr>
              <w:spacing w:after="0"/>
              <w:rPr>
                <w:sz w:val="18"/>
                <w:szCs w:val="18"/>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Low</w:t>
            </w:r>
          </w:p>
        </w:tc>
      </w:tr>
      <w:tr>
        <w:trPr>
          <w:trHeight w:val="190"/>
        </w:trPr>
        <w:tc>
          <w:tcPr>
            <w:tcW w:w="4700" w:type="dxa"/>
            <w:vAlign w:val="bottom"/>
            <w:tcBorders>
              <w:top w:val="single" w:sz="8" w:color="CCFFCC"/>
            </w:tcBorders>
            <w:gridSpan w:val="2"/>
            <w:shd w:val="clear" w:color="auto" w:fill="CCFFCC"/>
          </w:tcPr>
          <w:p>
            <w:pPr>
              <w:spacing w:after="0" w:line="170" w:lineRule="exact"/>
              <w:rPr>
                <w:sz w:val="20"/>
                <w:szCs w:val="20"/>
                <w:color w:val="auto"/>
              </w:rPr>
            </w:pPr>
            <w:r>
              <w:rPr>
                <w:rFonts w:ascii="Arial" w:cs="Arial" w:eastAsia="Arial" w:hAnsi="Arial"/>
                <w:sz w:val="18"/>
                <w:szCs w:val="18"/>
                <w:b w:val="1"/>
                <w:bCs w:val="1"/>
                <w:color w:val="auto"/>
              </w:rPr>
              <w:t>Fiscal Year Ended December 31, 2012</w:t>
            </w:r>
          </w:p>
        </w:tc>
        <w:tc>
          <w:tcPr>
            <w:tcW w:w="180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6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6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r>
      <w:tr>
        <w:trPr>
          <w:trHeight w:val="216"/>
        </w:trPr>
        <w:tc>
          <w:tcPr>
            <w:tcW w:w="29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Fourth Quarter</w:t>
            </w:r>
          </w:p>
        </w:tc>
        <w:tc>
          <w:tcPr>
            <w:tcW w:w="1800" w:type="dxa"/>
            <w:vAlign w:val="bottom"/>
            <w:tcBorders>
              <w:top w:val="single" w:sz="8" w:color="CCFFCC"/>
            </w:tcBorders>
          </w:tcPr>
          <w:p>
            <w:pPr>
              <w:spacing w:after="0"/>
              <w:rPr>
                <w:sz w:val="18"/>
                <w:szCs w:val="18"/>
                <w:color w:val="auto"/>
              </w:rPr>
            </w:pPr>
          </w:p>
        </w:tc>
        <w:tc>
          <w:tcPr>
            <w:tcW w:w="2120" w:type="dxa"/>
            <w:vAlign w:val="bottom"/>
            <w:tcBorders>
              <w:top w:val="single" w:sz="8" w:color="CCFFCC"/>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3.64</w:t>
            </w:r>
          </w:p>
        </w:tc>
        <w:tc>
          <w:tcPr>
            <w:tcW w:w="440" w:type="dxa"/>
            <w:vAlign w:val="bottom"/>
            <w:tcBorders>
              <w:top w:val="single" w:sz="8" w:color="CCFFC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top w:val="single" w:sz="8" w:color="CCFFCC"/>
            </w:tcBorders>
          </w:tcPr>
          <w:p>
            <w:pPr>
              <w:spacing w:after="0"/>
              <w:rPr>
                <w:sz w:val="18"/>
                <w:szCs w:val="18"/>
                <w:color w:val="auto"/>
              </w:rPr>
            </w:pPr>
          </w:p>
        </w:tc>
      </w:tr>
      <w:tr>
        <w:trPr>
          <w:trHeight w:val="216"/>
        </w:trPr>
        <w:tc>
          <w:tcPr>
            <w:tcW w:w="47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Third Quarter</w:t>
            </w:r>
          </w:p>
        </w:tc>
        <w:tc>
          <w:tcPr>
            <w:tcW w:w="2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w:t>
            </w:r>
          </w:p>
        </w:tc>
        <w:tc>
          <w:tcPr>
            <w:tcW w:w="4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FFCC"/>
          </w:tcPr>
          <w:p>
            <w:pPr>
              <w:spacing w:after="0"/>
              <w:rPr>
                <w:sz w:val="18"/>
                <w:szCs w:val="18"/>
                <w:color w:val="auto"/>
              </w:rPr>
            </w:pPr>
          </w:p>
        </w:tc>
      </w:tr>
      <w:tr>
        <w:trPr>
          <w:trHeight w:val="216"/>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8"/>
                <w:szCs w:val="18"/>
                <w:color w:val="auto"/>
              </w:rPr>
            </w:pPr>
          </w:p>
        </w:tc>
      </w:tr>
      <w:tr>
        <w:trPr>
          <w:trHeight w:val="216"/>
        </w:trPr>
        <w:tc>
          <w:tcPr>
            <w:tcW w:w="47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First Quarter</w:t>
            </w:r>
          </w:p>
        </w:tc>
        <w:tc>
          <w:tcPr>
            <w:tcW w:w="2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33.19</w:t>
            </w:r>
          </w:p>
        </w:tc>
        <w:tc>
          <w:tcPr>
            <w:tcW w:w="4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record holders of our common stock as of March 1, 2014 was 407.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never declared or paid any cash dividends on our common stock and do not anticipate paying any cash dividends in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future determination to pay dividends will be at the discretion of our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provides information as of December 31, 2013, regarding the securities authorized for issuance under our equity compensation plans, consisting of the 2003 Stock Option Plan, and the TG Therapeutics, Inc. Amended and Restated 2012 Incentive Plan.</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36" w:name="page37"/>
    <w:bookmarkEnd w:id="36"/>
    <w:p>
      <w:pPr>
        <w:ind w:left="33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344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available for</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securities to be</w:t>
            </w:r>
          </w:p>
        </w:tc>
        <w:tc>
          <w:tcPr>
            <w:tcW w:w="24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Weighted-average</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issued upon</w:t>
            </w:r>
          </w:p>
        </w:tc>
        <w:tc>
          <w:tcPr>
            <w:tcW w:w="24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price of</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exercise of</w:t>
            </w:r>
          </w:p>
        </w:tc>
        <w:tc>
          <w:tcPr>
            <w:tcW w:w="24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outstanding</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securities reflected in</w:t>
            </w:r>
          </w:p>
        </w:tc>
      </w:tr>
      <w:tr>
        <w:trPr>
          <w:trHeight w:val="234"/>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outstanding options</w:t>
            </w:r>
          </w:p>
        </w:tc>
        <w:tc>
          <w:tcPr>
            <w:tcW w:w="240" w:type="dxa"/>
            <w:vAlign w:val="bottom"/>
          </w:tcPr>
          <w:p>
            <w:pPr>
              <w:spacing w:after="0"/>
              <w:rPr>
                <w:sz w:val="20"/>
                <w:szCs w:val="20"/>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options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column (a))</w:t>
            </w:r>
          </w:p>
        </w:tc>
      </w:tr>
      <w:tr>
        <w:trPr>
          <w:trHeight w:val="210"/>
        </w:trPr>
        <w:tc>
          <w:tcPr>
            <w:tcW w:w="3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5"/>
              </w:rPr>
              <w:t>(b)</w:t>
            </w:r>
          </w:p>
        </w:tc>
        <w:tc>
          <w:tcPr>
            <w:tcW w:w="100" w:type="dxa"/>
            <w:vAlign w:val="bottom"/>
          </w:tcPr>
          <w:p>
            <w:pPr>
              <w:spacing w:after="0"/>
              <w:rPr>
                <w:sz w:val="18"/>
                <w:szCs w:val="18"/>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20" w:type="dxa"/>
            <w:vAlign w:val="bottom"/>
          </w:tcPr>
          <w:p>
            <w:pPr>
              <w:spacing w:after="0"/>
              <w:rPr>
                <w:sz w:val="18"/>
                <w:szCs w:val="18"/>
                <w:color w:val="auto"/>
              </w:rPr>
            </w:pPr>
          </w:p>
        </w:tc>
      </w:tr>
      <w:tr>
        <w:trPr>
          <w:trHeight w:val="202"/>
        </w:trPr>
        <w:tc>
          <w:tcPr>
            <w:tcW w:w="400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16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r>
      <w:tr>
        <w:trPr>
          <w:trHeight w:val="230"/>
        </w:trPr>
        <w:tc>
          <w:tcPr>
            <w:tcW w:w="40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security holders</w:t>
            </w: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46,591</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CFFCC"/>
          </w:tcPr>
          <w:p>
            <w:pPr>
              <w:spacing w:after="0"/>
              <w:rPr>
                <w:sz w:val="20"/>
                <w:szCs w:val="20"/>
                <w:color w:val="auto"/>
              </w:rPr>
            </w:pP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1,107,793</w:t>
            </w:r>
          </w:p>
        </w:tc>
        <w:tc>
          <w:tcPr>
            <w:tcW w:w="120" w:type="dxa"/>
            <w:vAlign w:val="bottom"/>
            <w:shd w:val="clear" w:color="auto" w:fill="CCFFCC"/>
          </w:tcPr>
          <w:p>
            <w:pPr>
              <w:spacing w:after="0"/>
              <w:rPr>
                <w:sz w:val="20"/>
                <w:szCs w:val="20"/>
                <w:color w:val="auto"/>
              </w:rPr>
            </w:pPr>
          </w:p>
        </w:tc>
      </w:tr>
      <w:tr>
        <w:trPr>
          <w:trHeight w:val="202"/>
        </w:trPr>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security holders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4000" w:type="dxa"/>
            <w:vAlign w:val="bottom"/>
            <w:tcBorders>
              <w:top w:val="single" w:sz="8" w:color="CCFFCC"/>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46,591</w:t>
            </w: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1,107,793</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about all of our equity compensation plans, see Note 5 to our Consolidated Financial Statements included 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On December 30, 2011, we completed the first closing of the private placement of our securities, issuing 4,929,523 shares of Common Stock at a price per share of $2.25 for total gross proceeds, before placement commissions and expenses, of $11,091,425 (the “2011 Equity PIPE”). Investors also received warrants to purchase 1,232,381 shares of Common Stock. The warrants have an exercise price of $2.25 per share and are exercisable for five years. In 2012, we completed two additional closings of the 2011 Equity PIPE. These closings were held on January 31, 2012, and February 24, 2012. In these closings, we issued 695,428 shares of our Series A preferred stock (the “Company Preferred Stock”) at a price per share of $20.00 for total gross proceeds, before placement commissions and expenses, of $13,908,560. Each share of Company Preferred Stock was convertible into 8.89 shares of Common Stock; provided that such conversion rights were subject to sufficient available authorized shares of Common Stock. In connection with the reverse stock split effected by the Company on April 30, 2012, all shares of the Company’s preferred stock issued in the 2011 Equity PIPE were converted to Common Stock. Investors also received warrants to purchase 1,545,396 shares of Common Stock. The warrants have an exercise price of $2.25 per share and are exercisable for five years. The shares of Common Stock, Company Preferred Stock, and warrants sold in these closings were offered and sold to accredited investors, including members of management, without registration under the Securities Act, or state securities laws, in reliance on the exemptions provided by Section 4(2) of the Securities Act, and Regulation D promulgated thereunder and in reliance on similar exemptions under applicable state laws. Accordingly, the securities issued in the offering have not been registered under the Securities Act, and until so registered, these securities may not be offered or sold in the United States absent registration or availability of an applicable exemption from registration. The placement agent received cash commissions equal to 10% of the gross proceeds of the offering, five-year warrants to purchase shares of the Company’s stock equal to 10% of shares sold in the offering, and a non-accountable expense allowance equal to two percent of the gross proceeds of the offering for their expenses.</w:t>
      </w:r>
    </w:p>
    <w:p>
      <w:pPr>
        <w:spacing w:after="0" w:line="169" w:lineRule="exact"/>
        <w:rPr>
          <w:sz w:val="20"/>
          <w:szCs w:val="20"/>
          <w:color w:val="auto"/>
        </w:rPr>
      </w:pPr>
    </w:p>
    <w:p>
      <w:pPr>
        <w:ind w:right="1100" w:firstLine="648"/>
        <w:spacing w:after="0" w:line="267" w:lineRule="auto"/>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7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“Item 1A. Risk Factors.” See also the “Special Cautionary Notice Regarding Forward-Looking Statements” set forth at the beginning of this report.</w:t>
      </w:r>
    </w:p>
    <w:p>
      <w:pPr>
        <w:spacing w:after="0" w:line="18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You should read the following discussion and analysis in conjunction with “Item 8. Financial Statements and Supplementary Data,” and our consolidated financial statements beginning on page F-1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were incorporated in Delaware in 1993 under the name “Atlantic Pharmaceuticals, Inc.” and, in March 2000, we changed our name to “Atlantic Technology Ventures, Inc.” In 2003, we completed a “reverse acquisition” of privately held “Manhattan Research Development, Inc”. In connection with this transaction, we also changed our name to “Manhattan Pharmaceuticals, Inc.” From an accounting perspective, the accounting acquirer is considered to be Manhattan Research Development, Inc. and accordingly, through December 29, 2011, the historical financial statements were those of Manhattan Research Development, Inc.</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7" w:name="page38"/>
    <w:bookmarkEnd w:id="37"/>
    <w:p>
      <w:pPr>
        <w:ind w:right="140" w:firstLine="648"/>
        <w:spacing w:after="0" w:line="274" w:lineRule="auto"/>
        <w:rPr>
          <w:sz w:val="20"/>
          <w:szCs w:val="20"/>
          <w:color w:val="auto"/>
        </w:rPr>
      </w:pPr>
      <w:r>
        <w:rPr>
          <w:rFonts w:ascii="Arial" w:cs="Arial" w:eastAsia="Arial" w:hAnsi="Arial"/>
          <w:sz w:val="17"/>
          <w:szCs w:val="17"/>
          <w:color w:val="auto"/>
        </w:rPr>
        <w:t>On March 8, 2010, we entered into an Agreement and Plan of Merger (the "Merger Agreement") by and among us, Ariston Pharmaceuticals, Inc., a Delaware corporation ("Ariston") and Ariston Merger Corp., a Delaware corporation and wholly-owned subsidiary of the Company (the "Merger</w:t>
      </w:r>
    </w:p>
    <w:p>
      <w:pPr>
        <w:ind w:right="680"/>
        <w:spacing w:after="0" w:line="323" w:lineRule="auto"/>
        <w:rPr>
          <w:sz w:val="20"/>
          <w:szCs w:val="20"/>
          <w:color w:val="auto"/>
        </w:rPr>
      </w:pPr>
      <w:r>
        <w:rPr>
          <w:rFonts w:ascii="Arial" w:cs="Arial" w:eastAsia="Arial" w:hAnsi="Arial"/>
          <w:sz w:val="16"/>
          <w:szCs w:val="16"/>
          <w:color w:val="auto"/>
        </w:rPr>
        <w:t>Sub"). Pursuant to the terms and conditions set forth in the Merger Agreement, on March 8, 2010, the Merger Sub merged with and into Ariston (the "Merger"), with Ariston being the surviving corporation of the Merger. As a result of the Merger, Ariston became our wholly-owned subsidiary.</w:t>
      </w:r>
    </w:p>
    <w:p>
      <w:pPr>
        <w:spacing w:after="0" w:line="13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December 29, 2011, we entered into and consummated an exchange transaction agreement (the “Exchange Transaction”) with Opus Point Partners, LLC (“Opus”) and TG Biologics, Inc. (formerly known as TG Therapeutics, Inc.) (“TG Bio”). The stockholders of TG Bio received the majority of our voting shares; therefore, the merger was accounted for as a reverse acquisition whereby TG Bio was the accounting acquirer (legal acquiree) and we were the accounting acquiree (legal acquirer) under the acquisition method of accounting. TG Bio was incorporated in Delaware in November 2010, but did not commence operations until April 2011.</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30, 2012, we filed a Certificate of Amendment to our Certificate of Incorporation to change our name from Manhattan Pharmaceuticals, Inc. (“Manhattan”) to TG Therapeutics, Inc. In conjunction with this change, the subsidiary formerly named TG Therapeutics, Inc. filed a Certificate of Amendment changing its name to TG Biologics, Inc.</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we are developing therapies targeting hematological malignancies. TG-1101 (ublituximab), is a novel, third generation monoclonal antibody that targets a specific and unique epitope on the CD20 antigen found on mature B-lymphocytes. We are also developing TGR-1202, an orally available PI3K delta inhibitor.</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research and development expenses (excluding non-cash compensation expense related to research and development)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 Research and development expenses for the years ended December 31, 2013 and 2012 were $12,621,161, and $20,572,182, respectively, excluding non-cash compensation expenses related to research and development.</w:t>
      </w:r>
    </w:p>
    <w:p>
      <w:pPr>
        <w:spacing w:after="0" w:line="15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sets forth the research and development expenses per project, exclusive of non-cash compensation expenses, for the periods presented.</w:t>
      </w:r>
    </w:p>
    <w:p>
      <w:pPr>
        <w:spacing w:after="0" w:line="58"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354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FFCC"/>
            </w:tcBorders>
          </w:tcPr>
          <w:p>
            <w:pPr>
              <w:spacing w:after="0"/>
              <w:rPr>
                <w:sz w:val="20"/>
                <w:szCs w:val="20"/>
                <w:color w:val="auto"/>
              </w:rPr>
            </w:pPr>
          </w:p>
        </w:tc>
      </w:tr>
      <w:tr>
        <w:trPr>
          <w:trHeight w:val="210"/>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TG-1101</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8,281,028</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19,140,621</w:t>
            </w:r>
          </w:p>
        </w:tc>
        <w:tc>
          <w:tcPr>
            <w:tcW w:w="120" w:type="dxa"/>
            <w:vAlign w:val="bottom"/>
            <w:shd w:val="clear" w:color="auto" w:fill="CCFFC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TGR-1202</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4,340,133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1,259,289</w:t>
            </w:r>
          </w:p>
        </w:tc>
        <w:tc>
          <w:tcPr>
            <w:tcW w:w="120" w:type="dxa"/>
            <w:vAlign w:val="bottom"/>
          </w:tcPr>
          <w:p>
            <w:pPr>
              <w:spacing w:after="0"/>
              <w:rPr>
                <w:sz w:val="18"/>
                <w:szCs w:val="18"/>
                <w:color w:val="auto"/>
              </w:rPr>
            </w:pPr>
          </w:p>
        </w:tc>
      </w:tr>
      <w:tr>
        <w:trPr>
          <w:trHeight w:val="216"/>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AST-726</w:t>
            </w:r>
          </w:p>
        </w:tc>
        <w:tc>
          <w:tcPr>
            <w:tcW w:w="34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72,272</w:t>
            </w:r>
          </w:p>
        </w:tc>
        <w:tc>
          <w:tcPr>
            <w:tcW w:w="120" w:type="dxa"/>
            <w:vAlign w:val="bottom"/>
            <w:shd w:val="clear" w:color="auto" w:fill="CCFFCC"/>
          </w:tcPr>
          <w:p>
            <w:pPr>
              <w:spacing w:after="0"/>
              <w:rPr>
                <w:sz w:val="18"/>
                <w:szCs w:val="18"/>
                <w:color w:val="auto"/>
              </w:rPr>
            </w:pPr>
          </w:p>
        </w:tc>
      </w:tr>
      <w:tr>
        <w:trPr>
          <w:trHeight w:val="216"/>
        </w:trPr>
        <w:tc>
          <w:tcPr>
            <w:tcW w:w="35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Terminated programs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FFCC"/>
            </w:tcBorders>
          </w:tcPr>
          <w:p>
            <w:pPr>
              <w:spacing w:after="0"/>
              <w:rPr>
                <w:sz w:val="18"/>
                <w:szCs w:val="18"/>
                <w:color w:val="auto"/>
              </w:rPr>
            </w:pPr>
          </w:p>
        </w:tc>
      </w:tr>
      <w:tr>
        <w:trPr>
          <w:trHeight w:val="210"/>
        </w:trPr>
        <w:tc>
          <w:tcPr>
            <w:tcW w:w="35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12,621,161</w:t>
            </w:r>
          </w:p>
        </w:tc>
        <w:tc>
          <w:tcPr>
            <w:tcW w:w="120" w:type="dxa"/>
            <w:vAlign w:val="bottom"/>
            <w:tcBorders>
              <w:bottom w:val="single" w:sz="8" w:color="CCFFCC"/>
            </w:tcBorders>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20,572,182</w:t>
            </w:r>
          </w:p>
        </w:tc>
        <w:tc>
          <w:tcPr>
            <w:tcW w:w="120" w:type="dxa"/>
            <w:vAlign w:val="bottom"/>
            <w:tcBorders>
              <w:bottom w:val="single" w:sz="8" w:color="CCFFCC"/>
            </w:tcBorders>
            <w:shd w:val="clear" w:color="auto" w:fill="CCFFCC"/>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Included in the above research and development expenses related to TG-1101 during the year ended December 31, 2012 are noncash expenses of $16,578,000 recorded in conjunction with stock issued to LFB Group for the license to TG-1101.</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ind w:right="360" w:firstLine="648"/>
        <w:spacing w:after="0" w:line="259" w:lineRule="auto"/>
        <w:rPr>
          <w:sz w:val="20"/>
          <w:szCs w:val="20"/>
          <w:color w:val="auto"/>
        </w:rPr>
      </w:pPr>
      <w:r>
        <w:rPr>
          <w:rFonts w:ascii="Arial" w:cs="Arial" w:eastAsia="Arial" w:hAnsi="Arial"/>
          <w:sz w:val="18"/>
          <w:szCs w:val="18"/>
          <w:color w:val="auto"/>
        </w:rPr>
        <w:t>Our results of operations include non-cash compensation expense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 The Company did not grant any consultant options during the year ended December 31, 2013.</w:t>
      </w:r>
    </w:p>
    <w:p>
      <w:pPr>
        <w:spacing w:after="0" w:line="16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Years Ended December 31, 2013 and 2012</w:t>
            </w: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gridSpan w:val="6"/>
          </w:tcPr>
          <w:p>
            <w:pPr>
              <w:ind w:left="20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License revenue</w:t>
            </w:r>
          </w:p>
        </w:tc>
        <w:tc>
          <w:tcPr>
            <w:tcW w:w="2540" w:type="dxa"/>
            <w:vAlign w:val="bottom"/>
            <w:gridSpan w:val="2"/>
            <w:shd w:val="clear" w:color="auto" w:fill="CCFFCC"/>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152,381</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19,048</w:t>
            </w:r>
          </w:p>
        </w:tc>
        <w:tc>
          <w:tcPr>
            <w:tcW w:w="10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Costs and expenses:</w:t>
            </w:r>
          </w:p>
        </w:tc>
        <w:tc>
          <w:tcPr>
            <w:tcW w:w="2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4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1"/>
              </w:rPr>
              <w:t>Noncash stock expense associated with in-licensing agreement</w:t>
            </w:r>
          </w:p>
        </w:tc>
        <w:tc>
          <w:tcPr>
            <w:tcW w:w="2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16,578,000</w:t>
            </w:r>
          </w:p>
        </w:tc>
        <w:tc>
          <w:tcPr>
            <w:tcW w:w="10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1,041,519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455,809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 research and development</w:t>
            </w:r>
          </w:p>
        </w:tc>
        <w:tc>
          <w:tcPr>
            <w:tcW w:w="2240" w:type="dxa"/>
            <w:vAlign w:val="bottom"/>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12,621,161</w:t>
            </w:r>
          </w:p>
        </w:tc>
        <w:tc>
          <w:tcPr>
            <w:tcW w:w="12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3,994,182</w:t>
            </w:r>
          </w:p>
        </w:tc>
        <w:tc>
          <w:tcPr>
            <w:tcW w:w="10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research and development</w:t>
            </w:r>
          </w:p>
        </w:tc>
        <w:tc>
          <w:tcPr>
            <w:tcW w:w="224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13,662,680</w:t>
            </w:r>
          </w:p>
        </w:tc>
        <w:tc>
          <w:tcPr>
            <w:tcW w:w="12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21,027,991</w:t>
            </w:r>
          </w:p>
        </w:tc>
        <w:tc>
          <w:tcPr>
            <w:tcW w:w="100" w:type="dxa"/>
            <w:vAlign w:val="bottom"/>
            <w:tcBorders>
              <w:bottom w:val="single" w:sz="8" w:color="CCFFCC"/>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840" w:type="dxa"/>
            <w:vAlign w:val="bottom"/>
            <w:shd w:val="clear" w:color="auto" w:fill="CCFFCC"/>
          </w:tcPr>
          <w:p>
            <w:pPr>
              <w:spacing w:after="0"/>
              <w:rPr>
                <w:sz w:val="18"/>
                <w:szCs w:val="18"/>
                <w:color w:val="auto"/>
              </w:rPr>
            </w:pPr>
          </w:p>
        </w:tc>
        <w:tc>
          <w:tcPr>
            <w:tcW w:w="2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Noncash compensation</w:t>
            </w:r>
          </w:p>
        </w:tc>
        <w:tc>
          <w:tcPr>
            <w:tcW w:w="2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4,161,629</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2,966,373</w:t>
            </w:r>
          </w:p>
        </w:tc>
        <w:tc>
          <w:tcPr>
            <w:tcW w:w="10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40" w:type="dxa"/>
            <w:vAlign w:val="bottom"/>
            <w:tcBorders>
              <w:bottom w:val="single" w:sz="8" w:color="CCFFCC"/>
            </w:tcBorders>
          </w:tcPr>
          <w:p>
            <w:pPr>
              <w:ind w:left="180"/>
              <w:spacing w:after="0"/>
              <w:rPr>
                <w:sz w:val="20"/>
                <w:szCs w:val="20"/>
                <w:color w:val="auto"/>
              </w:rPr>
            </w:pPr>
            <w:r>
              <w:rPr>
                <w:rFonts w:ascii="Arial" w:cs="Arial" w:eastAsia="Arial" w:hAnsi="Arial"/>
                <w:sz w:val="18"/>
                <w:szCs w:val="18"/>
                <w:color w:val="auto"/>
              </w:rPr>
              <w:t>Other general and administrative</w:t>
            </w:r>
          </w:p>
        </w:tc>
        <w:tc>
          <w:tcPr>
            <w:tcW w:w="224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2,496,461</w:t>
            </w:r>
          </w:p>
        </w:tc>
        <w:tc>
          <w:tcPr>
            <w:tcW w:w="12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1,815,083</w:t>
            </w:r>
          </w:p>
        </w:tc>
        <w:tc>
          <w:tcPr>
            <w:tcW w:w="100" w:type="dxa"/>
            <w:vAlign w:val="bottom"/>
            <w:tcBorders>
              <w:bottom w:val="single" w:sz="8" w:color="CCFFCC"/>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Total general and administrative</w:t>
            </w:r>
          </w:p>
        </w:tc>
        <w:tc>
          <w:tcPr>
            <w:tcW w:w="2240" w:type="dxa"/>
            <w:vAlign w:val="bottom"/>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6,658,090</w:t>
            </w:r>
          </w:p>
        </w:tc>
        <w:tc>
          <w:tcPr>
            <w:tcW w:w="12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4,781,456</w:t>
            </w:r>
          </w:p>
        </w:tc>
        <w:tc>
          <w:tcPr>
            <w:tcW w:w="10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Impairment of in-process research and development</w:t>
            </w:r>
          </w:p>
        </w:tc>
        <w:tc>
          <w:tcPr>
            <w:tcW w:w="2240" w:type="dxa"/>
            <w:vAlign w:val="bottom"/>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2,797,600</w:t>
            </w:r>
          </w:p>
        </w:tc>
        <w:tc>
          <w:tcPr>
            <w:tcW w:w="12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1,104,700</w:t>
            </w:r>
          </w:p>
        </w:tc>
        <w:tc>
          <w:tcPr>
            <w:tcW w:w="10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Total costs and expenses</w:t>
            </w:r>
          </w:p>
        </w:tc>
        <w:tc>
          <w:tcPr>
            <w:tcW w:w="2240" w:type="dxa"/>
            <w:vAlign w:val="bottom"/>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23,118,370</w:t>
            </w:r>
          </w:p>
        </w:tc>
        <w:tc>
          <w:tcPr>
            <w:tcW w:w="12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26,914,147</w:t>
            </w:r>
          </w:p>
        </w:tc>
        <w:tc>
          <w:tcPr>
            <w:tcW w:w="10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2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(22,965,989)</w:t>
            </w:r>
          </w:p>
        </w:tc>
        <w:tc>
          <w:tcPr>
            <w:tcW w:w="3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(26,895,099)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Other income, net</w:t>
            </w:r>
          </w:p>
        </w:tc>
        <w:tc>
          <w:tcPr>
            <w:tcW w:w="2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(2,487,779)</w:t>
            </w: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(1,042,147)</w:t>
            </w:r>
          </w:p>
        </w:tc>
        <w:tc>
          <w:tcPr>
            <w:tcW w:w="10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Loss before income taxes</w:t>
            </w:r>
          </w:p>
        </w:tc>
        <w:tc>
          <w:tcPr>
            <w:tcW w:w="2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(20,478,210)</w:t>
            </w:r>
          </w:p>
        </w:tc>
        <w:tc>
          <w:tcPr>
            <w:tcW w:w="3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(25,852,952)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Income taxes</w:t>
            </w:r>
          </w:p>
        </w:tc>
        <w:tc>
          <w:tcPr>
            <w:tcW w:w="2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330,000</w:t>
            </w:r>
          </w:p>
        </w:tc>
        <w:tc>
          <w:tcPr>
            <w:tcW w:w="10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ind w:left="660"/>
              <w:spacing w:after="0"/>
              <w:rPr>
                <w:sz w:val="20"/>
                <w:szCs w:val="20"/>
                <w:color w:val="auto"/>
              </w:rPr>
            </w:pPr>
            <w:r>
              <w:rPr>
                <w:rFonts w:ascii="Arial" w:cs="Arial" w:eastAsia="Arial" w:hAnsi="Arial"/>
                <w:sz w:val="18"/>
                <w:szCs w:val="18"/>
                <w:color w:val="auto"/>
              </w:rPr>
              <w:t>Consolidated net loss</w:t>
            </w:r>
          </w:p>
        </w:tc>
        <w:tc>
          <w:tcPr>
            <w:tcW w:w="2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(20,478,210)</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(26,182,952)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40" w:type="dxa"/>
            <w:vAlign w:val="bottom"/>
            <w:vMerge w:val="restart"/>
          </w:tcPr>
          <w:p>
            <w:pPr>
              <w:jc w:val="right"/>
              <w:ind w:right="1830"/>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6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39" w:name="page40"/>
    <w:bookmarkEnd w:id="39"/>
    <w:p>
      <w:pPr>
        <w:ind w:firstLine="648"/>
        <w:spacing w:after="0" w:line="279" w:lineRule="auto"/>
        <w:rPr>
          <w:sz w:val="20"/>
          <w:szCs w:val="20"/>
          <w:color w:val="auto"/>
        </w:rPr>
      </w:pPr>
      <w:r>
        <w:rPr>
          <w:rFonts w:ascii="Arial" w:cs="Arial" w:eastAsia="Arial" w:hAnsi="Arial"/>
          <w:sz w:val="17"/>
          <w:szCs w:val="17"/>
          <w:i w:val="1"/>
          <w:iCs w:val="1"/>
          <w:color w:val="auto"/>
        </w:rPr>
        <w:t xml:space="preserve">License Revenue. </w:t>
      </w:r>
      <w:r>
        <w:rPr>
          <w:rFonts w:ascii="Arial" w:cs="Arial" w:eastAsia="Arial" w:hAnsi="Arial"/>
          <w:sz w:val="17"/>
          <w:szCs w:val="17"/>
          <w:color w:val="auto"/>
        </w:rPr>
        <w:t>License revenue was $152,381 for the year ended December 31, 2013, as compared to $19,048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2012. License revenue is related to the amortization of an upfront payment of $2.0 million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71"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i w:val="1"/>
          <w:iCs w:val="1"/>
          <w:color w:val="auto"/>
        </w:rPr>
        <w:t xml:space="preserve">Noncash Stock Expense Associated with In-licensing Agreement. </w:t>
      </w:r>
      <w:r>
        <w:rPr>
          <w:rFonts w:ascii="Arial" w:cs="Arial" w:eastAsia="Arial" w:hAnsi="Arial"/>
          <w:sz w:val="17"/>
          <w:szCs w:val="17"/>
          <w:color w:val="auto"/>
        </w:rPr>
        <w:t>Noncash stock expense associated with an in-licensing agreement was $0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2013, as compared to $16,578,000 for the year ended December 31, 2012. The expense during the year ended December 31, 2012 related to a noncash stock expense recorded in conjunction with the stock issued to LFB Group for the license to TG-1101.</w:t>
      </w:r>
    </w:p>
    <w:p>
      <w:pPr>
        <w:spacing w:after="0" w:line="16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i w:val="1"/>
          <w:iCs w:val="1"/>
          <w:color w:val="auto"/>
        </w:rPr>
        <w:t xml:space="preserve">Noncash Compensation Expense (Research and Development). </w:t>
      </w:r>
      <w:r>
        <w:rPr>
          <w:rFonts w:ascii="Arial" w:cs="Arial" w:eastAsia="Arial" w:hAnsi="Arial"/>
          <w:sz w:val="17"/>
          <w:szCs w:val="17"/>
          <w:color w:val="auto"/>
        </w:rPr>
        <w:t>Noncash compensation expense (research and development) related to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grants increased by $585,710 from $455,809 for the year ended December 31, 2012 to $1,041,519 during the year ended December 31, 2013. The noncash compensation expense was related to the period’s expense for restricted stock grants to research and development personnel. We expect noncash compensation expense (research and development) to remain at a comparable level in 2014.</w:t>
      </w:r>
    </w:p>
    <w:p>
      <w:pPr>
        <w:spacing w:after="0" w:line="17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Other Research and Development Expenses</w:t>
      </w:r>
      <w:r>
        <w:rPr>
          <w:rFonts w:ascii="Arial" w:cs="Arial" w:eastAsia="Arial" w:hAnsi="Arial"/>
          <w:sz w:val="16"/>
          <w:szCs w:val="16"/>
          <w:color w:val="auto"/>
        </w:rPr>
        <w:t>. Other research and development expenses increased by $8,626,979 from $3,994,182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2012 to $12,621,161 for the year ended December 31, 2013. The increase in other research and development expenses was due primarily to an increase of approximately $5,700,000 for research and development expenses and drug supply costs related to TG-1101, and an increase of approximately $3,000,000 for research and development expenses related to TGR-1202. Included in the research and development expenses related to TGR-1202 for the year ended December 31, 2013 is a $2,000,000 milestone payment due to Rhizen in connection with the Collaboration Agreement for TGR-1202. We expect our other research and development costs to increase in 2014 as we continue to recruit patients to our clinical programs for both compounds.</w:t>
      </w:r>
    </w:p>
    <w:p>
      <w:pPr>
        <w:spacing w:after="0" w:line="16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i w:val="1"/>
          <w:iCs w:val="1"/>
          <w:color w:val="auto"/>
        </w:rPr>
        <w:t xml:space="preserve">Noncash Compensation Expense (General and Administrative). </w:t>
      </w:r>
      <w:r>
        <w:rPr>
          <w:rFonts w:ascii="Arial" w:cs="Arial" w:eastAsia="Arial" w:hAnsi="Arial"/>
          <w:sz w:val="17"/>
          <w:szCs w:val="17"/>
          <w:color w:val="auto"/>
        </w:rPr>
        <w:t>Noncash compensation expense (general and administrative) related to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grants increased by $1,195,256 from $2,966,373 for the year ended December 31, 2012 to $4,161,629 during the year ended December 31, 2013. The noncash compensation expense was related to the period’s expense for restricted stock grants to general and administrative personnel. We expect noncash compensation expense (general and administrative) to remain at a comparable level in 2014.</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$681,378 from $1,815,083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2012 to $2,496,461 for the year ended December 31, 2013. This expense was primarily related to increased business insurance levels, the NASDAQ entry fee, franchise taxes, and expenses related to additional general and administrative personnel. We expect our other general and administrative expenses to increase modestly during 2014.</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Impairment of in-process research and development</w:t>
      </w:r>
      <w:r>
        <w:rPr>
          <w:rFonts w:ascii="Arial" w:cs="Arial" w:eastAsia="Arial" w:hAnsi="Arial"/>
          <w:sz w:val="17"/>
          <w:szCs w:val="17"/>
          <w:color w:val="auto"/>
        </w:rPr>
        <w:t>. During the year ended December 31, 2013, we recorded an impairment charge of $2,797,600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$1,104,700 for the year ended December 31, 2012. The impairments recognized in both 2012 and 2013 related to the in-process research and development intangible asset recorded in connection with the Exchange Transaction. Impairment testing of our indefinite lived intangible assets is performed annually or when a triggering event occurs that could indicate a potential impairment. As of December 31, 2013, as a result of expiring intellectual property, uncertain regulatory pathways, and market changes affecting the commercial potential for the Ariston in-process research and development asset (AST-726), the Company determined that the asset's carrying value was no longer recoverable.</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increased by $1,445,632 from $1,042,147 for the year ended December 31, 2012 to $2,487,779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The increase in other income is primarily due to a further decrease in the fair value of our non-current notes payable of approximately $1,641,079.</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During the year ended December 31, 2012, we recorded income tax expense of approximately $330,000 related to a foreign tax</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withholding on the $2,000,000 upfront payment received from Ildong in connection with our sublicensing agreement.</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primary sources of cash has been from the sale of equity securities, the upfront payment from our Sublicense Agreement with Ildong, and warrant exercises.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December 31, 2013, we had $45,431,532 in cash, cash equivalents, investment securities, and interest receivable. We currently anticipate that our cash and cash equivalents as of December 31, 2013 are sufficient to fund our anticipated operating cash requirements for approximately 24 months from December 31, 2013.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88"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Cash used in operating activities for the year ended December 31, 2013 was $10,824,231 as compared to $5,187,964 for the year ended December 31, 2012. The increase in cash used in operating activities was due primarily to increased expenditures related to our clinical development plan for TG-1101 and TGR-1202 and a milestone payment of $2,000,000 associated with TGR-1202.</w:t>
      </w:r>
    </w:p>
    <w:p>
      <w:pPr>
        <w:spacing w:after="0" w:line="181"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For the year ended December 31, 2013, net cash used in investing activities was $4,925,552 as compared to $1,399 for the year ended December 31, 2012. The increase in net cash used in investing activities was primarily due to our investment in held-to-maturity securities.</w:t>
      </w:r>
    </w:p>
    <w:p>
      <w:pPr>
        <w:spacing w:after="0" w:line="14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Cash provided by financing activities for the year ended December 31, 2013 was $39,779,254 as compared to $11,896,867 for the year ended December 31, 2012. The increase in net cash provided by financing activities in 2013 was primarily related to the 2013 Equity financing, as discussed below.</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2013 Equity Financing</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July 18, 2013, we announced the pricing of an underwritten public offering of 5,700,000 shares of our Common Stock at a price of $6.15 per share for gross proceeds of approximately $35 million. We also granted to the underwriters a 30-day option to acquire an additional 855,000 shares to cover overallotments in connection with the offering, which they exercised. Total net proceeds from this offering, including the overallotment, were approximately $37.6 million, net of underwriting discounts and offering expenses of approximately $2.7 million. The shares were sold under a shelf registration statement on Form S-3 (File No. 333-189015) that was previously filed and declared effective by the SEC on June 17, 2013.</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2011 Equity PIPE</w:t>
      </w:r>
    </w:p>
    <w:p>
      <w:pPr>
        <w:spacing w:after="0" w:line="22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On December 30, 2011, we completed the first closing of the private placement of our securities, issuing 4,929,523 shares of Common Stock at a price per share of $2.25 for total gross proceeds, before placement commissions and expenses, of $11,091,425 (the “2011 Equity PIPE”). Investors also received warrants to purchase 1,232,381 shares of Common Stock. The warrants have an exercise price of $2.25 per share and are exercisable for five years. In 2012, we completed two additional closings of the 2011 Equity PIPE. These closings were held on January 31, 2012, and February 24, 2012. In these closings, the Company issued 695,428 shares of our Company Preferred Stock at a price per share of $20.00 for total gross proceeds, before placement commissions and expenses, of $13,908,560. Each share of Company Preferred Stock was convertible into 8.89 shares of Common Stock; provided that such conversion rights were subject to sufficient available authorized shares of Common Stock. In connection with the reverse stock split effected by the Company on April 30, 2012, all shares of preferred stock issued in the 2011 Equity PIPE were converted to Common Stock. Investors also received warrants to purchase 1,545,396 shares of Common Stock. The warrants have an exercise price of $2.25 per share and are exercisable for five years. The shares of Common Stock, Company Preferred Stock, and warrants sold in these closings were offered and sold to accredited investors, including members of management, without registration under the Securities Act, or state securities laws, in reliance on the exemptions provided by Section 4(2) of the Securities Act, and Regulation D promulgated thereunder and in reliance on similar exemptions under applicable state laws. Accordingly, the securities issued in the offering have not been registered under the Securities Act, and until so registered, these securities may not be offered or sold in the United States absent registration or availability of an applicable exemption from registration. The placement agent received cash commissions equal to 10% of the gross proceeds of the offering, five-year warrants to purchase shares of the Company’s stock equal to 10% of shares sold in the offering, and a non-accountable expense allowance equal to two percent of the gross proceeds of the offering for their expenses.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8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8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the Financial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Board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6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i w:val="1"/>
          <w:iCs w:val="1"/>
          <w:color w:val="auto"/>
        </w:rPr>
        <w:t>Stock Compensation</w:t>
      </w:r>
      <w:r>
        <w:rPr>
          <w:rFonts w:ascii="Arial" w:cs="Arial" w:eastAsia="Arial" w:hAnsi="Arial"/>
          <w:sz w:val="17"/>
          <w:szCs w:val="17"/>
          <w:color w:val="auto"/>
        </w:rPr>
        <w:t>. We have granted stock options and restricted stock to employees, directors and consultants, as well as warrants to other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ind w:firstLine="648"/>
        <w:spacing w:after="0" w:line="264" w:lineRule="auto"/>
        <w:rPr>
          <w:sz w:val="20"/>
          <w:szCs w:val="20"/>
          <w:color w:val="auto"/>
        </w:rPr>
      </w:pPr>
      <w:r>
        <w:rPr>
          <w:rFonts w:ascii="Arial" w:cs="Arial" w:eastAsia="Arial" w:hAnsi="Arial"/>
          <w:sz w:val="18"/>
          <w:szCs w:val="18"/>
          <w:i w:val="1"/>
          <w:iCs w:val="1"/>
          <w:color w:val="auto"/>
        </w:rPr>
        <w:t>In-process Research and Development</w:t>
      </w:r>
      <w:r>
        <w:rPr>
          <w:rFonts w:ascii="Arial" w:cs="Arial" w:eastAsia="Arial" w:hAnsi="Arial"/>
          <w:sz w:val="18"/>
          <w:szCs w:val="18"/>
          <w:color w:val="auto"/>
        </w:rPr>
        <w:t>. All acquired research and development projects are recorded at their fair value as of the date acquisition.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are assessed as of the balance sheet date to ascertain if there has been any impairment of the recorded value. If there is an impairment the asset is written down to its current fair value by the recording of an expense.</w:t>
      </w:r>
    </w:p>
    <w:p>
      <w:pPr>
        <w:spacing w:after="0" w:line="18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i w:val="1"/>
          <w:iCs w:val="1"/>
          <w:color w:val="auto"/>
        </w:rPr>
        <w:t xml:space="preserve">Accounting Related to Goodwill. </w:t>
      </w:r>
      <w:r>
        <w:rPr>
          <w:rFonts w:ascii="Arial" w:cs="Arial" w:eastAsia="Arial" w:hAnsi="Arial"/>
          <w:sz w:val="16"/>
          <w:szCs w:val="16"/>
          <w:color w:val="auto"/>
        </w:rPr>
        <w:t>As of December 31, 2013 and 2012, there was $799,391 of goodwill on our consolidated balance sheets.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In July 2013, the Financial Accounting Standards Board, or FASB, issued a new accounting standard which will require the presentation of certain unrecognized tax benefits as reductions to deferred tax assets rather than as liabilities in the consolidated balance sheets when a net operating loss carryforward, a similar tax loss, or a tax credit carryforward exists. The new standard requires adoption on a prospective basis in the first quarter of 2015; however, early adoption is permitted. The Company does not anticipate that this adoption will have a significant impact on its financial position, results of operations, or cash flows.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right="16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the consolidated financial statements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consolidated financial statements and the notes thereto, included in Part IV, Item 15(a), part 1, are incorporated by reference into this Item 8.</w:t>
      </w:r>
    </w:p>
    <w:p>
      <w:pPr>
        <w:spacing w:after="0" w:line="244" w:lineRule="exact"/>
        <w:rPr>
          <w:sz w:val="20"/>
          <w:szCs w:val="20"/>
          <w:color w:val="auto"/>
        </w:rPr>
      </w:pPr>
    </w:p>
    <w:p>
      <w:pPr>
        <w:ind w:right="3480"/>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As of December 31, 2013, we carried out an evaluation, under the supervision and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participation of our Chief Executive Officer and our Chief Financial Officer, of the effectiveness of the design and operation of our disclosure controls and procedures (as defined in Rules 13a-15(e) and 15d-15(e) of the Securities Exchange Act of 1934, as amended (the “Exchange Act”)). Based upon that evaluation, our Chief Executive and Chief Financial Officers concluded that our disclosure controls and procedures were effective as of that date to ensure that information required to be disclosed in our reports filed or submitted under the Exchange Act is recorded , processed, summarized and reported within the time periods specified in the SEC’s rules and forms, and to ensure that information required to be disclosed by us in such reports is accumulated and communicated to the our management, including our Chief Executive Officer and Chief Financial Officer, as appropriate to allow timely decisions regarding required disclosure. There were no changes in our internal controls over financial reporting (as defined in Exchange Act Rules 13a – 15(f) and 15d – 15(f)) during the quarter ended December 31, 2013 that have materially affected, or is reasonably likely to materially affect, our internal controls over financial reporting.</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disclosure controls or internal controls over financial reporting were designed to provide only reasonable assurance that such disclosure controls or internal control over financial reporting will prevent all errors or all instances of fraud, even as the same are improved to address any deficiencies. The design of any system of controls is based in part upon certain assumptions about the likelihood of future events, and there can be only reasonable, not absolute assurance that any design will succeed in achieving its stated goals under all potential future conditions. A control system, no matter how well designed and operated, can provide only reasonable, not absolute, assurance that the control system’s objectives will be met. Over time, controls may become inadequate because of changes in conditions or deterioration in the degree of compliance with policies or procedures. Further, the design of a control system must reflect the fact that there are resource constraints, and the benefits of controls must be considered relative to their costs.</w:t>
      </w:r>
    </w:p>
    <w:p>
      <w:pPr>
        <w:spacing w:after="0" w:line="167"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i w:val="1"/>
          <w:iCs w:val="1"/>
          <w:color w:val="auto"/>
        </w:rPr>
        <w:t xml:space="preserve">Management's Report on Internal Control over Financial Reporting. </w:t>
      </w:r>
      <w:r>
        <w:rPr>
          <w:rFonts w:ascii="Arial" w:cs="Arial" w:eastAsia="Arial" w:hAnsi="Arial"/>
          <w:sz w:val="17"/>
          <w:szCs w:val="17"/>
          <w:color w:val="auto"/>
        </w:rPr>
        <w:t>Our management is responsible for establishing and maintaining adequate</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 over financial reporting and for the assessment of the effectiveness of internal control over financial reporting. As defined by the SEC, internal control over financial reporting is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the financial statements in accordance with U.S. generally accepted accounting principles.</w:t>
      </w:r>
    </w:p>
    <w:p>
      <w:pPr>
        <w:spacing w:after="0" w:line="17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internal control over financial reporting includes those policies and procedures that (1) pertain to the maintenance of records that, in reasonable detail, accurately and fairly reflect our transactions and dispositions of our assets; (2) provide reasonable assurance that transactions are recorded as necessary to permit preparation of the financial statements in accordance with U.S.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5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ind w:right="80" w:firstLine="648"/>
        <w:spacing w:after="0" w:line="279" w:lineRule="auto"/>
        <w:rPr>
          <w:sz w:val="20"/>
          <w:szCs w:val="20"/>
          <w:color w:val="auto"/>
        </w:rPr>
      </w:pPr>
      <w:r>
        <w:rPr>
          <w:rFonts w:ascii="Arial" w:cs="Arial" w:eastAsia="Arial" w:hAnsi="Arial"/>
          <w:sz w:val="17"/>
          <w:szCs w:val="17"/>
          <w:color w:val="auto"/>
        </w:rPr>
        <w:t>In connection with the preparation of our annual financial statements, management has undertaken an assessment of the effectiveness of our internal control over financial reporting as of December 31, 2013, based on criteria established in Internal Control – Integrated Framework (1992) issued by the Committee of Sponsoring Organizations of the Treadway Commission, or COSO Framework. Management’s assessment included an evaluation of the design of our internal control over financial reporting and testing of the operational effectiveness of those controls.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Based on this evaluation, management has concluded that our internal control over financial reporting is effective as of December 31, 2013.</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pursuant to rules of the SEC that permit us to provide only management’s report on internal control in this report.</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Limitations on the Effectiveness of Controls. </w:t>
      </w:r>
      <w:r>
        <w:rPr>
          <w:rFonts w:ascii="Arial" w:cs="Arial" w:eastAsia="Arial" w:hAnsi="Arial"/>
          <w:sz w:val="18"/>
          <w:szCs w:val="18"/>
          <w:color w:val="auto"/>
        </w:rPr>
        <w:t>Our management, including our Chief Executive Officer and Chief Financial Officer, does not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2014 Annual Meeting of Stockholders.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2014 Annual Meeting of Stockholders.</w:t>
      </w:r>
    </w:p>
    <w:p>
      <w:pPr>
        <w:spacing w:after="0" w:line="244"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2014 Annual Meeting of Stockholders.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2014 Annual Meeting of Stockholders.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2014 Annual Meeting of Stockholders.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720" w:type="dxa"/>
            <w:vAlign w:val="bottom"/>
          </w:tcPr>
          <w:p>
            <w:pPr>
              <w:ind w:left="4560"/>
              <w:spacing w:after="0"/>
              <w:rPr>
                <w:sz w:val="20"/>
                <w:szCs w:val="20"/>
                <w:color w:val="auto"/>
              </w:rPr>
            </w:pPr>
            <w:r>
              <w:rPr>
                <w:rFonts w:ascii="Arial" w:cs="Arial" w:eastAsia="Arial" w:hAnsi="Arial"/>
                <w:sz w:val="18"/>
                <w:szCs w:val="18"/>
                <w:b w:val="1"/>
                <w:bCs w:val="1"/>
                <w:color w:val="auto"/>
              </w:rPr>
              <w:t>PART IV</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20" w:type="dxa"/>
            <w:vAlign w:val="bottom"/>
            <w:gridSpan w:val="3"/>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9720" w:type="dxa"/>
            <w:vAlign w:val="bottom"/>
          </w:tcPr>
          <w:p>
            <w:pPr>
              <w:ind w:left="220"/>
              <w:spacing w:after="0"/>
              <w:rPr>
                <w:sz w:val="20"/>
                <w:szCs w:val="20"/>
                <w:color w:val="auto"/>
              </w:rPr>
            </w:pPr>
            <w:r>
              <w:rPr>
                <w:rFonts w:ascii="Arial" w:cs="Arial" w:eastAsia="Arial" w:hAnsi="Arial"/>
                <w:sz w:val="18"/>
                <w:szCs w:val="18"/>
                <w:b w:val="1"/>
                <w:bCs w:val="1"/>
                <w:color w:val="auto"/>
              </w:rPr>
              <w:t>Consolidated Financial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720" w:type="dxa"/>
            <w:vAlign w:val="bottom"/>
          </w:tcPr>
          <w:p>
            <w:pPr>
              <w:ind w:left="20"/>
              <w:spacing w:after="0"/>
              <w:rPr>
                <w:sz w:val="20"/>
                <w:szCs w:val="20"/>
                <w:color w:val="auto"/>
              </w:rPr>
            </w:pPr>
            <w:r>
              <w:rPr>
                <w:rFonts w:ascii="Arial" w:cs="Arial" w:eastAsia="Arial" w:hAnsi="Arial"/>
                <w:sz w:val="18"/>
                <w:szCs w:val="18"/>
                <w:color w:val="auto"/>
              </w:rPr>
              <w:t>The following consolidated financial statements of TG Therapeutics, Inc. are filed as part of this report.</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w w:val="99"/>
              </w:rPr>
              <w:t>Contents</w:t>
            </w:r>
          </w:p>
        </w:tc>
        <w:tc>
          <w:tcPr>
            <w:tcW w:w="972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Consolidated Balance Sheets as of December 31, 2013 and 2012</w:t>
            </w:r>
          </w:p>
        </w:tc>
        <w:tc>
          <w:tcPr>
            <w:tcW w:w="900" w:type="dxa"/>
            <w:vAlign w:val="bottom"/>
            <w:shd w:val="clear" w:color="auto" w:fill="CCFFCC"/>
          </w:tcPr>
          <w:p>
            <w:pPr>
              <w:ind w:left="4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3"/>
              </w:rPr>
              <w:t>Consolidated Statements of Operations for the years ended December 31, 2013 and 2012 and cumulative period ended December 31, 2013</w:t>
            </w:r>
          </w:p>
        </w:tc>
        <w:tc>
          <w:tcPr>
            <w:tcW w:w="900" w:type="dxa"/>
            <w:vAlign w:val="bottom"/>
            <w:shd w:val="clear" w:color="auto" w:fill="CCFFCC"/>
          </w:tcPr>
          <w:p>
            <w:pPr>
              <w:ind w:left="4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2"/>
              </w:rPr>
              <w:t>Consolidated Statements of Equity for the years ended December 31, 2013, 2012 and 2011 and cumulative period ended December 31, 2013</w:t>
            </w:r>
          </w:p>
        </w:tc>
        <w:tc>
          <w:tcPr>
            <w:tcW w:w="900" w:type="dxa"/>
            <w:vAlign w:val="bottom"/>
            <w:shd w:val="clear" w:color="auto" w:fill="CCFFCC"/>
          </w:tcPr>
          <w:p>
            <w:pPr>
              <w:ind w:left="4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3"/>
              </w:rPr>
              <w:t>Consolidated Statements of Cash Flows for the years ended December 31, 2013 and 2012 and cumulative period ended December 31, 2013</w:t>
            </w:r>
          </w:p>
        </w:tc>
        <w:tc>
          <w:tcPr>
            <w:tcW w:w="900" w:type="dxa"/>
            <w:vAlign w:val="bottom"/>
            <w:shd w:val="clear" w:color="auto" w:fill="CCFFCC"/>
          </w:tcPr>
          <w:p>
            <w:pPr>
              <w:ind w:left="4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900" w:type="dxa"/>
            <w:vAlign w:val="bottom"/>
            <w:shd w:val="clear" w:color="auto" w:fill="CCFFCC"/>
          </w:tcPr>
          <w:p>
            <w:pPr>
              <w:ind w:left="4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432"/>
        </w:trPr>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9720" w:type="dxa"/>
            <w:vAlign w:val="bottom"/>
          </w:tcPr>
          <w:p>
            <w:pPr>
              <w:ind w:left="180"/>
              <w:spacing w:after="0"/>
              <w:rPr>
                <w:sz w:val="20"/>
                <w:szCs w:val="20"/>
                <w:color w:val="auto"/>
              </w:rPr>
            </w:pPr>
            <w:r>
              <w:rPr>
                <w:rFonts w:ascii="Arial" w:cs="Arial" w:eastAsia="Arial" w:hAnsi="Arial"/>
                <w:sz w:val="18"/>
                <w:szCs w:val="18"/>
                <w:b w:val="1"/>
                <w:bCs w:val="1"/>
                <w:color w:val="auto"/>
              </w:rPr>
              <w:t>Consolidated Financial Statement Schedules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All schedules are omitted as the information required is inapplicable or the information is presented in the consolidated financial statements or the related notes.</w:t>
      </w:r>
    </w:p>
    <w:p>
      <w:pPr>
        <w:spacing w:after="0" w:line="166" w:lineRule="exact"/>
        <w:rPr>
          <w:sz w:val="20"/>
          <w:szCs w:val="20"/>
          <w:color w:val="auto"/>
        </w:rPr>
      </w:pPr>
    </w:p>
    <w:p>
      <w:pPr>
        <w:ind w:left="1020" w:hanging="364"/>
        <w:spacing w:after="0"/>
        <w:tabs>
          <w:tab w:leader="none" w:pos="10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5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500" w:type="dxa"/>
            <w:vAlign w:val="bottom"/>
          </w:tcPr>
          <w:p>
            <w:pPr>
              <w:ind w:left="240"/>
              <w:spacing w:after="0"/>
              <w:rPr>
                <w:sz w:val="20"/>
                <w:szCs w:val="20"/>
                <w:color w:val="auto"/>
              </w:rPr>
            </w:pPr>
            <w:r>
              <w:rPr>
                <w:rFonts w:ascii="Arial" w:cs="Arial" w:eastAsia="Arial" w:hAnsi="Arial"/>
                <w:sz w:val="18"/>
                <w:szCs w:val="18"/>
                <w:b w:val="1"/>
                <w:bCs w:val="1"/>
                <w:color w:val="auto"/>
              </w:rPr>
              <w:t>Exhibit Description</w:t>
            </w:r>
          </w:p>
        </w:tc>
      </w:tr>
      <w:tr>
        <w:trPr>
          <w:trHeight w:val="418"/>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0500" w:type="dxa"/>
            <w:vAlign w:val="bottom"/>
          </w:tcPr>
          <w:p>
            <w:pPr>
              <w:ind w:left="240"/>
              <w:spacing w:after="0"/>
              <w:rPr>
                <w:sz w:val="20"/>
                <w:szCs w:val="20"/>
                <w:color w:val="auto"/>
              </w:rPr>
            </w:pPr>
            <w:r>
              <w:rPr>
                <w:rFonts w:ascii="Arial" w:cs="Arial" w:eastAsia="Arial" w:hAnsi="Arial"/>
                <w:sz w:val="18"/>
                <w:szCs w:val="18"/>
                <w:color w:val="auto"/>
                <w:w w:val="91"/>
              </w:rPr>
              <w:t>Amended and Restated Certificate of Incorporation, of TG Therapeutics, Inc. dated April 26, 2012 (incorporated by reference to Exhibit 3.2 to</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the Registrant’s Form 10-Q for the quarter ended June 30, 2012).</w:t>
            </w:r>
          </w:p>
        </w:tc>
      </w:tr>
      <w:tr>
        <w:trPr>
          <w:trHeight w:val="418"/>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0500" w:type="dxa"/>
            <w:vAlign w:val="bottom"/>
          </w:tcPr>
          <w:p>
            <w:pPr>
              <w:ind w:left="240"/>
              <w:spacing w:after="0"/>
              <w:rPr>
                <w:sz w:val="20"/>
                <w:szCs w:val="20"/>
                <w:color w:val="auto"/>
              </w:rPr>
            </w:pPr>
            <w:r>
              <w:rPr>
                <w:rFonts w:ascii="Arial" w:cs="Arial" w:eastAsia="Arial" w:hAnsi="Arial"/>
                <w:sz w:val="18"/>
                <w:szCs w:val="18"/>
                <w:color w:val="auto"/>
                <w:w w:val="91"/>
              </w:rPr>
              <w:t>Restated Bylaws of TG Therapeutics, Inc. dated May 14, 2012 (incorporated by reference to Exhibit 3.2 to the Registrant’s Form 10-Q for the</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quarter ended March 31, 2012).</w:t>
            </w:r>
          </w:p>
        </w:tc>
      </w:tr>
      <w:tr>
        <w:trPr>
          <w:trHeight w:val="418"/>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10500" w:type="dxa"/>
            <w:vAlign w:val="bottom"/>
          </w:tcPr>
          <w:p>
            <w:pPr>
              <w:ind w:left="240"/>
              <w:spacing w:after="0"/>
              <w:rPr>
                <w:sz w:val="20"/>
                <w:szCs w:val="20"/>
                <w:color w:val="auto"/>
              </w:rPr>
            </w:pPr>
            <w:r>
              <w:rPr>
                <w:rFonts w:ascii="Arial" w:cs="Arial" w:eastAsia="Arial" w:hAnsi="Arial"/>
                <w:sz w:val="18"/>
                <w:szCs w:val="18"/>
                <w:color w:val="auto"/>
                <w:w w:val="91"/>
              </w:rPr>
              <w:t>Specimen common stock certificate (incorporated by reference to Exhibit 4.1 to the Registrant’s Form 10-K for the year ended December 31,</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2011).</w:t>
            </w:r>
          </w:p>
        </w:tc>
      </w:tr>
      <w:tr>
        <w:trPr>
          <w:trHeight w:val="418"/>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10500" w:type="dxa"/>
            <w:vAlign w:val="bottom"/>
          </w:tcPr>
          <w:p>
            <w:pPr>
              <w:ind w:left="240"/>
              <w:spacing w:after="0"/>
              <w:rPr>
                <w:sz w:val="20"/>
                <w:szCs w:val="20"/>
                <w:color w:val="auto"/>
              </w:rPr>
            </w:pPr>
            <w:r>
              <w:rPr>
                <w:rFonts w:ascii="Arial" w:cs="Arial" w:eastAsia="Arial" w:hAnsi="Arial"/>
                <w:sz w:val="18"/>
                <w:szCs w:val="18"/>
                <w:color w:val="auto"/>
                <w:w w:val="92"/>
              </w:rPr>
              <w:t>Form of Warrant issued to Noteholders on September 11, 2008 (incorporated by reference to Exhibit 10.2 to the Registrant’s Current Report</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on Form 8-K filed on September 15, 2008).</w:t>
            </w:r>
          </w:p>
        </w:tc>
      </w:tr>
      <w:tr>
        <w:trPr>
          <w:trHeight w:val="418"/>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10500" w:type="dxa"/>
            <w:vAlign w:val="bottom"/>
          </w:tcPr>
          <w:p>
            <w:pPr>
              <w:ind w:left="240"/>
              <w:spacing w:after="0"/>
              <w:rPr>
                <w:sz w:val="20"/>
                <w:szCs w:val="20"/>
                <w:color w:val="auto"/>
              </w:rPr>
            </w:pPr>
            <w:r>
              <w:rPr>
                <w:rFonts w:ascii="Arial" w:cs="Arial" w:eastAsia="Arial" w:hAnsi="Arial"/>
                <w:sz w:val="18"/>
                <w:szCs w:val="18"/>
                <w:color w:val="auto"/>
                <w:w w:val="92"/>
              </w:rPr>
              <w:t>Form of Warrant issued to Noteholders on November 19, 2008 (incorporated by reference to Exhibit 10.6 to the Registrant’s Current Report</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on Form 8-K filed on November 25, 2008).</w:t>
            </w:r>
          </w:p>
        </w:tc>
      </w:tr>
      <w:tr>
        <w:trPr>
          <w:trHeight w:val="418"/>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10500" w:type="dxa"/>
            <w:vAlign w:val="bottom"/>
          </w:tcPr>
          <w:p>
            <w:pPr>
              <w:ind w:left="240"/>
              <w:spacing w:after="0"/>
              <w:rPr>
                <w:sz w:val="20"/>
                <w:szCs w:val="20"/>
                <w:color w:val="auto"/>
              </w:rPr>
            </w:pPr>
            <w:r>
              <w:rPr>
                <w:rFonts w:ascii="Arial" w:cs="Arial" w:eastAsia="Arial" w:hAnsi="Arial"/>
                <w:sz w:val="18"/>
                <w:szCs w:val="18"/>
                <w:color w:val="auto"/>
                <w:w w:val="94"/>
              </w:rPr>
              <w:t>Form of warrant to purchase common stock of TG Therapeutics, Inc. (incorporated by reference to Exhibit 4.1 to the Registrant’s Current</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Report on Form 8-K filed on November 13, 2012).</w:t>
            </w:r>
          </w:p>
        </w:tc>
      </w:tr>
      <w:tr>
        <w:trPr>
          <w:trHeight w:val="418"/>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10500" w:type="dxa"/>
            <w:vAlign w:val="bottom"/>
          </w:tcPr>
          <w:p>
            <w:pPr>
              <w:ind w:left="240"/>
              <w:spacing w:after="0"/>
              <w:rPr>
                <w:sz w:val="20"/>
                <w:szCs w:val="20"/>
                <w:color w:val="auto"/>
              </w:rPr>
            </w:pPr>
            <w:r>
              <w:rPr>
                <w:rFonts w:ascii="Arial" w:cs="Arial" w:eastAsia="Arial" w:hAnsi="Arial"/>
                <w:sz w:val="18"/>
                <w:szCs w:val="18"/>
                <w:color w:val="auto"/>
                <w:w w:val="97"/>
              </w:rPr>
              <w:t>Form of Placement Agent Warrant (incorporated by reference to Exhibit 10.9 to the Registrant’s Current Report on Form 8-K filed on</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November 25, 2008).</w:t>
            </w:r>
          </w:p>
        </w:tc>
      </w:tr>
      <w:tr>
        <w:trPr>
          <w:trHeight w:val="418"/>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4.6</w:t>
            </w:r>
          </w:p>
        </w:tc>
        <w:tc>
          <w:tcPr>
            <w:tcW w:w="10500" w:type="dxa"/>
            <w:vAlign w:val="bottom"/>
          </w:tcPr>
          <w:p>
            <w:pPr>
              <w:ind w:left="240"/>
              <w:spacing w:after="0"/>
              <w:rPr>
                <w:sz w:val="20"/>
                <w:szCs w:val="20"/>
                <w:color w:val="auto"/>
              </w:rPr>
            </w:pPr>
            <w:r>
              <w:rPr>
                <w:rFonts w:ascii="Arial" w:cs="Arial" w:eastAsia="Arial" w:hAnsi="Arial"/>
                <w:sz w:val="18"/>
                <w:szCs w:val="18"/>
                <w:color w:val="auto"/>
                <w:w w:val="98"/>
              </w:rPr>
              <w:t>Warrant, dated October 28, 2009 (incorporated by reference to Exhibit 10.3 to the Registrant’s Current Report on Form 8-K filed on</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November 3, 2009).</w:t>
            </w:r>
          </w:p>
        </w:tc>
      </w:tr>
      <w:tr>
        <w:trPr>
          <w:trHeight w:val="689"/>
        </w:trPr>
        <w:tc>
          <w:tcPr>
            <w:tcW w:w="920" w:type="dxa"/>
            <w:vAlign w:val="bottom"/>
          </w:tcPr>
          <w:p>
            <w:pPr>
              <w:spacing w:after="0"/>
              <w:rPr>
                <w:sz w:val="24"/>
                <w:szCs w:val="24"/>
                <w:color w:val="auto"/>
              </w:rPr>
            </w:pPr>
          </w:p>
        </w:tc>
        <w:tc>
          <w:tcPr>
            <w:tcW w:w="10500" w:type="dxa"/>
            <w:vAlign w:val="bottom"/>
          </w:tcPr>
          <w:p>
            <w:pPr>
              <w:ind w:left="4720"/>
              <w:spacing w:after="0"/>
              <w:rPr>
                <w:sz w:val="20"/>
                <w:szCs w:val="20"/>
                <w:color w:val="auto"/>
              </w:rPr>
            </w:pPr>
            <w:r>
              <w:rPr>
                <w:rFonts w:ascii="Arial" w:cs="Arial" w:eastAsia="Arial" w:hAnsi="Arial"/>
                <w:sz w:val="18"/>
                <w:szCs w:val="18"/>
                <w:color w:val="auto"/>
              </w:rPr>
              <w:t>43</w:t>
            </w:r>
          </w:p>
        </w:tc>
      </w:tr>
      <w:tr>
        <w:trPr>
          <w:trHeight w:val="358"/>
        </w:trPr>
        <w:tc>
          <w:tcPr>
            <w:tcW w:w="92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46" w:name="page47"/>
    <w:bookmarkEnd w:id="46"/>
    <w:p>
      <w:pPr>
        <w:ind w:left="780" w:right="640" w:hanging="685"/>
        <w:spacing w:after="0" w:line="277" w:lineRule="auto"/>
        <w:tabs>
          <w:tab w:leader="none" w:pos="7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Form of Placement Agent Warrant (incorporated by reference to Exhibit 10.4 to the Registrant’s Current Report on Form 8-K filed on November 3, 2009).</w:t>
      </w:r>
    </w:p>
    <w:p>
      <w:pPr>
        <w:spacing w:after="0" w:line="170"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2003 Stock Option Plan (incorporated by reference to Exhibit 4.1 to Registrant’s Registration Statement on Form S-8 filed February 17,</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2004).</w:t>
      </w:r>
    </w:p>
    <w:p>
      <w:pPr>
        <w:spacing w:after="0" w:line="211" w:lineRule="exact"/>
        <w:rPr>
          <w:sz w:val="20"/>
          <w:szCs w:val="20"/>
          <w:color w:val="auto"/>
        </w:rPr>
      </w:pPr>
    </w:p>
    <w:p>
      <w:pPr>
        <w:ind w:left="780" w:right="340" w:hanging="730"/>
        <w:spacing w:after="0" w:line="277" w:lineRule="auto"/>
        <w:tabs>
          <w:tab w:leader="none" w:pos="7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Stock Option Agreement issued under the Registrant’s 2003 Stock Option Plan (incorporated by reference to Exhibit 10.15 to the Registrant's Form 10-KSB filed April 2, 2007).</w:t>
      </w:r>
    </w:p>
    <w:p>
      <w:pPr>
        <w:spacing w:after="0" w:line="170" w:lineRule="exact"/>
        <w:rPr>
          <w:sz w:val="20"/>
          <w:szCs w:val="20"/>
          <w:color w:val="auto"/>
        </w:rPr>
      </w:pPr>
    </w:p>
    <w:p>
      <w:pPr>
        <w:ind w:left="780" w:right="440" w:hanging="730"/>
        <w:spacing w:after="0" w:line="277" w:lineRule="auto"/>
        <w:tabs>
          <w:tab w:leader="none" w:pos="7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Convertible Promissory Note, dated March 1, 2011 (incorporated by reference to Exhibit 10.1 to the Registrant’s Current Report on Form 8-K filed on March 7, 2011).</w:t>
      </w:r>
    </w:p>
    <w:p>
      <w:pPr>
        <w:spacing w:after="0" w:line="170" w:lineRule="exact"/>
        <w:rPr>
          <w:sz w:val="20"/>
          <w:szCs w:val="20"/>
          <w:color w:val="auto"/>
        </w:rPr>
      </w:pPr>
    </w:p>
    <w:p>
      <w:pPr>
        <w:ind w:left="780" w:right="200" w:hanging="730"/>
        <w:spacing w:after="0" w:line="277" w:lineRule="auto"/>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Exchange Transaction Agreement dated December 29, 2011, by and among the Registrant, Opus Point Partners, LLC and TG Therapeutics, Inc. (incorporated by reference to Exhibit 10.1 to the Registrant’s Form 8-K filed on January 5, 2012).</w:t>
      </w:r>
    </w:p>
    <w:p>
      <w:pPr>
        <w:spacing w:after="0" w:line="170" w:lineRule="exact"/>
        <w:rPr>
          <w:sz w:val="20"/>
          <w:szCs w:val="20"/>
          <w:color w:val="auto"/>
        </w:rPr>
      </w:pPr>
    </w:p>
    <w:p>
      <w:pPr>
        <w:ind w:left="780" w:right="240" w:hanging="730"/>
        <w:spacing w:after="0" w:line="342" w:lineRule="auto"/>
        <w:tabs>
          <w:tab w:leader="none" w:pos="7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Amendment No. 1 to Exchange Transaction Agreement, dated as of December 29, 2011, by and among Opus Point Partners, LLC, TG Biologics, Inc. and TG Therapeutics, Inc. (incorporated by reference to Exhibit 10.1 to the Registrant’s Form 8-K filed on August 8, 2012).</w:t>
      </w:r>
    </w:p>
    <w:p>
      <w:pPr>
        <w:spacing w:after="0" w:line="124" w:lineRule="exact"/>
        <w:rPr>
          <w:sz w:val="20"/>
          <w:szCs w:val="20"/>
          <w:color w:val="auto"/>
        </w:rPr>
      </w:pPr>
    </w:p>
    <w:p>
      <w:pPr>
        <w:ind w:left="780" w:hanging="730"/>
        <w:spacing w:after="0" w:line="277" w:lineRule="auto"/>
        <w:tabs>
          <w:tab w:leader="none" w:pos="7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Employment Agreement, effective December 29, 2011, between the Registrant and Michael Weiss (incorporated by reference to Exhibit 10.30 to the Registrant’s Form 10-K for the fiscal year ended December 31, 2011). †</w:t>
      </w:r>
    </w:p>
    <w:p>
      <w:pPr>
        <w:spacing w:after="0" w:line="170" w:lineRule="exact"/>
        <w:rPr>
          <w:sz w:val="20"/>
          <w:szCs w:val="20"/>
          <w:color w:val="auto"/>
        </w:rPr>
      </w:pPr>
    </w:p>
    <w:p>
      <w:pPr>
        <w:ind w:left="780" w:hanging="730"/>
        <w:spacing w:after="0" w:line="277" w:lineRule="auto"/>
        <w:tabs>
          <w:tab w:leader="none" w:pos="7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Restricted Stock Subscription Agreement, effective December 29, 2011, between the Registrant and Michael Weiss (incorporated by reference to Exhibit 10.31 to the Registrant’s Form 10-K for the fiscal year ended December 31, 2011). †</w:t>
      </w:r>
    </w:p>
    <w:p>
      <w:pPr>
        <w:spacing w:after="0" w:line="170" w:lineRule="exact"/>
        <w:rPr>
          <w:sz w:val="20"/>
          <w:szCs w:val="20"/>
          <w:color w:val="auto"/>
        </w:rPr>
      </w:pPr>
    </w:p>
    <w:p>
      <w:pPr>
        <w:ind w:left="780" w:right="20" w:hanging="730"/>
        <w:spacing w:after="0" w:line="277" w:lineRule="auto"/>
        <w:tabs>
          <w:tab w:leader="none" w:pos="7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Employment Agreement, effective December 29, 2011, between the Registrant and Sean Power (incorporated by reference to Exhibit 10.32 to the Registrant’s Form 10-K for the fiscal year ended December 31, 2011). †</w:t>
      </w:r>
    </w:p>
    <w:p>
      <w:pPr>
        <w:spacing w:after="0" w:line="170" w:lineRule="exact"/>
        <w:rPr>
          <w:sz w:val="20"/>
          <w:szCs w:val="20"/>
          <w:color w:val="auto"/>
        </w:rPr>
      </w:pPr>
    </w:p>
    <w:p>
      <w:pPr>
        <w:ind w:left="780" w:right="80" w:hanging="730"/>
        <w:spacing w:after="0" w:line="277" w:lineRule="auto"/>
        <w:tabs>
          <w:tab w:leader="none" w:pos="7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Restricted Stock Subscription Agreement, effective December 29, 2011 between the Registrant and Sean Power (incorporated by reference to Exhibit 10.33 to the Registrant’s Form 10-K for the fiscal year ended December 31, 2011). †</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Form of Warrant issued to stockholders on December 29, 2011, January 31, 2012 and February 24, 2012 (incorporated by reference to Exhibit</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10.34 to the Registrant’s Form 10-K for the fiscal year ended December 31, 2011).</w:t>
      </w:r>
    </w:p>
    <w:p>
      <w:pPr>
        <w:spacing w:after="0" w:line="211" w:lineRule="exact"/>
        <w:rPr>
          <w:sz w:val="20"/>
          <w:szCs w:val="20"/>
          <w:color w:val="auto"/>
        </w:rPr>
      </w:pPr>
    </w:p>
    <w:p>
      <w:pPr>
        <w:ind w:left="780" w:right="300" w:hanging="772"/>
        <w:spacing w:after="0" w:line="342" w:lineRule="auto"/>
        <w:tabs>
          <w:tab w:leader="none" w:pos="7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License Agreement, dated January 30, 2012, by and among the Registrant, GTC Biotherapeutics, Inc., LFB Biotechnologies S.A.S. and LFB/GTC LLC (incorporated by reference to Exhibit 10.35 to the Registrant’s Form 10-K for the fiscal year ended December 31, 2011). *</w:t>
      </w:r>
    </w:p>
    <w:p>
      <w:pPr>
        <w:spacing w:after="0" w:line="124" w:lineRule="exact"/>
        <w:rPr>
          <w:sz w:val="20"/>
          <w:szCs w:val="20"/>
          <w:color w:val="auto"/>
        </w:rPr>
      </w:pPr>
    </w:p>
    <w:p>
      <w:pPr>
        <w:ind w:left="780" w:right="440" w:hanging="776"/>
        <w:spacing w:after="0" w:line="277" w:lineRule="auto"/>
        <w:tabs>
          <w:tab w:leader="none" w:pos="7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TG Therapeutics, Inc. Amended and Restated 2012 Incentive Plan, dated May 14, 2012 (incorporated by reference to Exhibit 10.1 to the Registrant’s Form 10-Q/A for the quarter ended March 31, 2012).</w:t>
      </w:r>
    </w:p>
    <w:p>
      <w:pPr>
        <w:spacing w:after="0" w:line="170" w:lineRule="exact"/>
        <w:rPr>
          <w:sz w:val="20"/>
          <w:szCs w:val="20"/>
          <w:color w:val="auto"/>
        </w:rPr>
      </w:pPr>
    </w:p>
    <w:p>
      <w:pPr>
        <w:ind w:left="780" w:right="220" w:hanging="776"/>
        <w:spacing w:after="0" w:line="277" w:lineRule="auto"/>
        <w:tabs>
          <w:tab w:leader="none" w:pos="7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Securities Exchange Agreement, dated November 9, 2012, by and between the Company and LFB Biotechnologies S.A.S. (incorporated by reference to Exhibit 10.1 to the Registrant’s Current Report on Form 8-K filed on November 13, 2012).</w:t>
      </w:r>
    </w:p>
    <w:p>
      <w:pPr>
        <w:spacing w:after="0" w:line="170" w:lineRule="exact"/>
        <w:rPr>
          <w:sz w:val="20"/>
          <w:szCs w:val="20"/>
          <w:color w:val="auto"/>
        </w:rPr>
      </w:pPr>
    </w:p>
    <w:p>
      <w:pPr>
        <w:ind w:left="780" w:right="160" w:hanging="776"/>
        <w:spacing w:after="0" w:line="277" w:lineRule="auto"/>
        <w:tabs>
          <w:tab w:leader="none" w:pos="7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Joint Venture Agreement between TG Therapeutics, Inc. and Rhizen Pharmaceuticals SA, dated August 15, 2012 (incorporated by reference to Exhibit 10.1 to the Registrant’s Form 10-Q for the quarter ended September 30, 2012). *</w:t>
      </w:r>
    </w:p>
    <w:p>
      <w:pPr>
        <w:spacing w:after="0" w:line="170" w:lineRule="exact"/>
        <w:rPr>
          <w:sz w:val="20"/>
          <w:szCs w:val="20"/>
          <w:color w:val="auto"/>
        </w:rPr>
      </w:pPr>
    </w:p>
    <w:p>
      <w:pPr>
        <w:ind w:left="780" w:right="560" w:hanging="776"/>
        <w:spacing w:after="0" w:line="277" w:lineRule="auto"/>
        <w:tabs>
          <w:tab w:leader="none" w:pos="7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Sublicense Agreement between TG Therapeutics, Inc. and Ildong Pharmaceutical Co. Ltd., dated November 13, 2012 (incorporated by reference to Exhibit 10.37 to the Registrant’s Form 10-K for the fiscal year ended December 31, 2012). *</w:t>
      </w:r>
    </w:p>
    <w:p>
      <w:pPr>
        <w:spacing w:after="0" w:line="200" w:lineRule="exact"/>
        <w:rPr>
          <w:sz w:val="20"/>
          <w:szCs w:val="20"/>
          <w:color w:val="auto"/>
        </w:rPr>
      </w:pPr>
    </w:p>
    <w:p>
      <w:pPr>
        <w:spacing w:after="0" w:line="22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238125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620" w:top="341" w:right="239" w:bottom="1440" w:gutter="0" w:footer="0" w:header="0"/>
        </w:sectPr>
      </w:pPr>
    </w:p>
    <w:bookmarkStart w:id="47" w:name="page48"/>
    <w:bookmarkEnd w:id="47"/>
    <w:p>
      <w:pPr>
        <w:ind w:left="412"/>
        <w:spacing w:after="0"/>
        <w:tabs>
          <w:tab w:leader="none" w:pos="113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225" w:lineRule="exact"/>
        <w:rPr>
          <w:sz w:val="20"/>
          <w:szCs w:val="20"/>
          <w:color w:val="auto"/>
        </w:rPr>
      </w:pPr>
    </w:p>
    <w:p>
      <w:pPr>
        <w:ind w:left="412"/>
        <w:spacing w:after="0"/>
        <w:tabs>
          <w:tab w:leader="none" w:pos="113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Principal Executive Officer</w:t>
      </w:r>
    </w:p>
    <w:p>
      <w:pPr>
        <w:spacing w:after="0" w:line="225" w:lineRule="exact"/>
        <w:rPr>
          <w:sz w:val="20"/>
          <w:szCs w:val="20"/>
          <w:color w:val="auto"/>
        </w:rPr>
      </w:pPr>
    </w:p>
    <w:p>
      <w:pPr>
        <w:ind w:left="412"/>
        <w:spacing w:after="0"/>
        <w:tabs>
          <w:tab w:leader="none" w:pos="1132"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Principal Financial Officer</w:t>
      </w:r>
    </w:p>
    <w:p>
      <w:pPr>
        <w:spacing w:after="0" w:line="225" w:lineRule="exact"/>
        <w:rPr>
          <w:sz w:val="20"/>
          <w:szCs w:val="20"/>
          <w:color w:val="auto"/>
        </w:rPr>
      </w:pPr>
    </w:p>
    <w:p>
      <w:pPr>
        <w:ind w:left="412"/>
        <w:spacing w:after="0"/>
        <w:tabs>
          <w:tab w:leader="none" w:pos="1132"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Certifications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6" w:lineRule="exact"/>
        <w:rPr>
          <w:sz w:val="20"/>
          <w:szCs w:val="20"/>
          <w:color w:val="auto"/>
        </w:rPr>
      </w:pPr>
    </w:p>
    <w:p>
      <w:pPr>
        <w:ind w:left="712" w:hanging="712"/>
        <w:spacing w:after="0"/>
        <w:tabs>
          <w:tab w:leader="none" w:pos="7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3" w:lineRule="exact"/>
        <w:rPr>
          <w:sz w:val="20"/>
          <w:szCs w:val="20"/>
          <w:color w:val="auto"/>
        </w:rPr>
      </w:pPr>
    </w:p>
    <w:p>
      <w:pPr>
        <w:ind w:left="5632" w:right="3039" w:hanging="5632"/>
        <w:spacing w:after="0" w:line="809" w:lineRule="auto"/>
        <w:tabs>
          <w:tab w:leader="none" w:pos="729"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omitted portions of this exhibit.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1"/>
          </w:cols>
          <w:pgMar w:left="248" w:top="341" w:right="1440"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 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20" w:type="dxa"/>
            <w:vAlign w:val="bottom"/>
            <w:gridSpan w:val="2"/>
          </w:tcPr>
          <w:p>
            <w:pPr>
              <w:spacing w:after="0"/>
              <w:rPr>
                <w:sz w:val="20"/>
                <w:szCs w:val="20"/>
                <w:color w:val="auto"/>
              </w:rPr>
            </w:pPr>
            <w:r>
              <w:rPr>
                <w:rFonts w:ascii="Arial" w:cs="Arial" w:eastAsia="Arial" w:hAnsi="Arial"/>
                <w:sz w:val="18"/>
                <w:szCs w:val="18"/>
                <w:color w:val="auto"/>
              </w:rPr>
              <w:t>Contents</w:t>
            </w: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 as of December 31, 2013 and 2012</w:t>
            </w:r>
          </w:p>
        </w:tc>
        <w:tc>
          <w:tcPr>
            <w:tcW w:w="900" w:type="dxa"/>
            <w:vAlign w:val="bottom"/>
            <w:shd w:val="clear" w:color="auto" w:fill="CCFFCC"/>
          </w:tcPr>
          <w:p>
            <w:pPr>
              <w:ind w:left="4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w w:val="93"/>
              </w:rPr>
              <w:t>Consolidated Statements of Operations for the years ended December 31, 2013 and 2012 and cumulative period ended December 31, 2013</w:t>
            </w:r>
          </w:p>
        </w:tc>
        <w:tc>
          <w:tcPr>
            <w:tcW w:w="900" w:type="dxa"/>
            <w:vAlign w:val="bottom"/>
            <w:shd w:val="clear" w:color="auto" w:fill="CCFFCC"/>
          </w:tcPr>
          <w:p>
            <w:pPr>
              <w:ind w:left="4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w w:val="92"/>
              </w:rPr>
              <w:t>Consolidated Statements of Equity for the years ended December 31, 2013, 2012 and 2011 and cumulative period ended December 31, 2013</w:t>
            </w:r>
          </w:p>
        </w:tc>
        <w:tc>
          <w:tcPr>
            <w:tcW w:w="900" w:type="dxa"/>
            <w:vAlign w:val="bottom"/>
            <w:shd w:val="clear" w:color="auto" w:fill="CCFFCC"/>
          </w:tcPr>
          <w:p>
            <w:pPr>
              <w:ind w:left="4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w w:val="93"/>
              </w:rPr>
              <w:t>Consolidated Statements of Cash Flows for the years ended December 31, 2013 and 2012 and cumulative period ended December 31, 2013</w:t>
            </w:r>
          </w:p>
        </w:tc>
        <w:tc>
          <w:tcPr>
            <w:tcW w:w="900" w:type="dxa"/>
            <w:vAlign w:val="bottom"/>
            <w:shd w:val="clear" w:color="auto" w:fill="CCFFCC"/>
          </w:tcPr>
          <w:p>
            <w:pPr>
              <w:ind w:left="4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900" w:type="dxa"/>
            <w:vAlign w:val="bottom"/>
            <w:shd w:val="clear" w:color="auto" w:fill="CCFFCC"/>
          </w:tcPr>
          <w:p>
            <w:pPr>
              <w:ind w:left="4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689"/>
        </w:trPr>
        <w:tc>
          <w:tcPr>
            <w:tcW w:w="20" w:type="dxa"/>
            <w:vAlign w:val="bottom"/>
          </w:tcPr>
          <w:p>
            <w:pPr>
              <w:spacing w:after="0"/>
              <w:rPr>
                <w:sz w:val="24"/>
                <w:szCs w:val="24"/>
                <w:color w:val="auto"/>
              </w:rPr>
            </w:pPr>
          </w:p>
        </w:tc>
        <w:tc>
          <w:tcPr>
            <w:tcW w:w="10500" w:type="dxa"/>
            <w:vAlign w:val="bottom"/>
          </w:tcPr>
          <w:p>
            <w:pPr>
              <w:ind w:left="5580"/>
              <w:spacing w:after="0"/>
              <w:rPr>
                <w:sz w:val="20"/>
                <w:szCs w:val="20"/>
                <w:color w:val="auto"/>
              </w:rPr>
            </w:pPr>
            <w:r>
              <w:rPr>
                <w:rFonts w:ascii="Arial" w:cs="Arial" w:eastAsia="Arial" w:hAnsi="Arial"/>
                <w:sz w:val="18"/>
                <w:szCs w:val="18"/>
                <w:color w:val="auto"/>
              </w:rPr>
              <w:t>F-1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audited the accompanying consolidated balance sheets of TG Therapeutics, Inc. and Subsidiaries (a development stage company) (the “Company”) as of December 31, 2013 and 2012, and the related consolidated statements of operations, equity and cash flows for the years then ended and cumulative period ended December 31, 2013. TG Therapeutics, Inc.’s management is responsible for these consolidated financial statements. Our responsibility is to express an opinion on these consolidated financial statements based on our audits.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TG Therapeutics, Inc. and Subsidiaries as of December 31, 2013 and 2012, and their results of operations and cash flows for the years then ended and cumulative period ended December 31, 2013,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2014</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8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CCFFCC"/>
            </w:tcBorders>
          </w:tcPr>
          <w:p>
            <w:pPr>
              <w:spacing w:after="0"/>
              <w:rPr>
                <w:sz w:val="20"/>
                <w:szCs w:val="20"/>
                <w:color w:val="auto"/>
              </w:rPr>
            </w:pPr>
          </w:p>
        </w:tc>
        <w:tc>
          <w:tcPr>
            <w:tcW w:w="4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40,485,466</w:t>
            </w:r>
          </w:p>
        </w:tc>
        <w:tc>
          <w:tcPr>
            <w:tcW w:w="60" w:type="dxa"/>
            <w:vAlign w:val="bottom"/>
            <w:shd w:val="clear" w:color="auto" w:fill="CCFFCC"/>
          </w:tcPr>
          <w:p>
            <w:pPr>
              <w:spacing w:after="0"/>
              <w:rPr>
                <w:sz w:val="18"/>
                <w:szCs w:val="18"/>
                <w:color w:val="auto"/>
              </w:rPr>
            </w:pPr>
          </w:p>
        </w:tc>
        <w:tc>
          <w:tcPr>
            <w:tcW w:w="26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16,455,995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Interest receivable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27,169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Prepaid research and development</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1,742,824</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1,990,759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47,804</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29,128</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42,303,263</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18,475,882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Long-term investment securities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4,918,897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Equipment, net</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5,718</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2,797,600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799,391</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799,391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85,121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CCFFCC"/>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48,112,390</w:t>
            </w: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4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22,074,037</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Notes payable, current portion</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677,778</w:t>
            </w:r>
          </w:p>
        </w:tc>
        <w:tc>
          <w:tcPr>
            <w:tcW w:w="60" w:type="dxa"/>
            <w:vAlign w:val="bottom"/>
            <w:shd w:val="clear" w:color="auto" w:fill="CCFFCC"/>
          </w:tcPr>
          <w:p>
            <w:pPr>
              <w:spacing w:after="0"/>
              <w:rPr>
                <w:sz w:val="18"/>
                <w:szCs w:val="18"/>
                <w:color w:val="auto"/>
              </w:rPr>
            </w:pPr>
          </w:p>
        </w:tc>
        <w:tc>
          <w:tcPr>
            <w:tcW w:w="26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677,778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4,764,502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1,117,397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532,500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Current portion of deferred revenue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152,381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payable</w:t>
            </w:r>
          </w:p>
        </w:tc>
        <w:tc>
          <w:tcPr>
            <w:tcW w:w="20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190,017</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123,511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6,317,178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2,216,067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Deferred revenue, net of current portion</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1,676,191</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1,828,571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Notes payable, less current portion, at fair value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64,529</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2,479,098</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8,057,898</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6,523,736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rPr>
              <w:t>Preferred stock, $0.001 par value per share (10,000,000 shares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authorized, 0 issued and outstanding as of December 31, 2013</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and 2012)</w:t>
            </w:r>
          </w:p>
        </w:tc>
        <w:tc>
          <w:tcPr>
            <w:tcW w:w="2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Common stock, $0.001 par value per share (500,000,000 shares</w:t>
            </w:r>
          </w:p>
        </w:tc>
        <w:tc>
          <w:tcPr>
            <w:tcW w:w="2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authorized, 34,336,235 and 25,820,738 shares issued,</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34,294,926 and 25,807,212 shares outstanding at December</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31, 2013 and 2012, respectively)</w:t>
            </w:r>
          </w:p>
        </w:tc>
        <w:tc>
          <w:tcPr>
            <w:tcW w:w="20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34,336</w:t>
            </w:r>
          </w:p>
        </w:tc>
        <w:tc>
          <w:tcPr>
            <w:tcW w:w="6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25,821</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Contingently issuable shares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79,658,490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34,534,805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rPr>
              <w:t>Treasury stock, at cost, 41,309 and 13,526 shares at December 31,</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2013 and 2012, respectively</w:t>
            </w: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(234,337)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Deficit accumulated in the development stage</w:t>
            </w:r>
          </w:p>
        </w:tc>
        <w:tc>
          <w:tcPr>
            <w:tcW w:w="2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(39,404,003)</w:t>
            </w: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(18,925,793)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FFCC"/>
            </w:tcBorders>
          </w:tcPr>
          <w:p>
            <w:pPr>
              <w:ind w:left="34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40,054,492</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15,550,301</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48,112,390</w:t>
            </w:r>
          </w:p>
        </w:tc>
        <w:tc>
          <w:tcPr>
            <w:tcW w:w="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22,074,037</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for the Years Ended December 31, 2013 and 2012 and Cumulative Period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Amounts 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ind w:left="460"/>
              <w:spacing w:after="0"/>
              <w:rPr>
                <w:sz w:val="20"/>
                <w:szCs w:val="20"/>
                <w:color w:val="auto"/>
              </w:rPr>
            </w:pPr>
            <w:r>
              <w:rPr>
                <w:rFonts w:ascii="Arial" w:cs="Arial" w:eastAsia="Arial" w:hAnsi="Arial"/>
                <w:sz w:val="18"/>
                <w:szCs w:val="18"/>
                <w:b w:val="1"/>
                <w:bCs w:val="1"/>
                <w:color w:val="auto"/>
              </w:rPr>
              <w:t>during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ind w:left="200"/>
              <w:spacing w:after="0"/>
              <w:rPr>
                <w:sz w:val="20"/>
                <w:szCs w:val="20"/>
                <w:color w:val="auto"/>
              </w:rPr>
            </w:pPr>
            <w:r>
              <w:rPr>
                <w:rFonts w:ascii="Arial" w:cs="Arial" w:eastAsia="Arial" w:hAnsi="Arial"/>
                <w:sz w:val="18"/>
                <w:szCs w:val="18"/>
                <w:b w:val="1"/>
                <w:bCs w:val="1"/>
                <w:color w:val="auto"/>
              </w:rPr>
              <w:t>development stage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License revenue</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152,381</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19,048</w:t>
            </w:r>
          </w:p>
        </w:tc>
        <w:tc>
          <w:tcPr>
            <w:tcW w:w="60" w:type="dxa"/>
            <w:vAlign w:val="bottom"/>
            <w:shd w:val="clear" w:color="auto" w:fill="CCFFCC"/>
          </w:tcPr>
          <w:p>
            <w:pPr>
              <w:spacing w:after="0"/>
              <w:rPr>
                <w:sz w:val="18"/>
                <w:szCs w:val="18"/>
                <w:color w:val="auto"/>
              </w:rPr>
            </w:pPr>
          </w:p>
        </w:tc>
        <w:tc>
          <w:tcPr>
            <w:tcW w:w="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171,429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Costs and expenses:</w:t>
            </w: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stock expense associated with in-licensing agreement</w:t>
            </w: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16,578,000</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16,875,000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1,041,519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455,809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1,497,328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research and development</w:t>
            </w:r>
          </w:p>
        </w:tc>
        <w:tc>
          <w:tcPr>
            <w:tcW w:w="76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12,621,161</w:t>
            </w:r>
          </w:p>
        </w:tc>
        <w:tc>
          <w:tcPr>
            <w:tcW w:w="12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3,994,182</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16,645,626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research and development</w:t>
            </w:r>
          </w:p>
        </w:tc>
        <w:tc>
          <w:tcPr>
            <w:tcW w:w="76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13,662,680</w:t>
            </w:r>
          </w:p>
        </w:tc>
        <w:tc>
          <w:tcPr>
            <w:tcW w:w="12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21,027,991</w:t>
            </w:r>
          </w:p>
        </w:tc>
        <w:tc>
          <w:tcPr>
            <w:tcW w:w="6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35,017,954</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compensation</w:t>
            </w: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4,161,629</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2,966,373</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7,214,496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Other general and administrative</w:t>
            </w:r>
          </w:p>
        </w:tc>
        <w:tc>
          <w:tcPr>
            <w:tcW w:w="76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2,496,461</w:t>
            </w:r>
          </w:p>
        </w:tc>
        <w:tc>
          <w:tcPr>
            <w:tcW w:w="12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1,815,083</w:t>
            </w:r>
          </w:p>
        </w:tc>
        <w:tc>
          <w:tcPr>
            <w:tcW w:w="6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4,779,741</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Total general and administrative</w:t>
            </w:r>
          </w:p>
        </w:tc>
        <w:tc>
          <w:tcPr>
            <w:tcW w:w="76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6,658,090</w:t>
            </w:r>
          </w:p>
        </w:tc>
        <w:tc>
          <w:tcPr>
            <w:tcW w:w="12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4,781,456</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11,994,237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Impairment of in-process research and development</w:t>
            </w:r>
          </w:p>
        </w:tc>
        <w:tc>
          <w:tcPr>
            <w:tcW w:w="76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2,797,600</w:t>
            </w:r>
          </w:p>
        </w:tc>
        <w:tc>
          <w:tcPr>
            <w:tcW w:w="12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1,104,700</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3,902,300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Total costs and expenses</w:t>
            </w:r>
          </w:p>
        </w:tc>
        <w:tc>
          <w:tcPr>
            <w:tcW w:w="76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23,118,370</w:t>
            </w:r>
          </w:p>
        </w:tc>
        <w:tc>
          <w:tcPr>
            <w:tcW w:w="12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26,914,147</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50,914,491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(22,965,989)</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9"/>
              </w:rPr>
              <w:t>(26,895,099)</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(50,743,062)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(30,822)</w:t>
            </w: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(15,787)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(46,609)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income</w:t>
            </w: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(108,894)</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(272,232)</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952,888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905,744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1,865,729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Change in fair value of notes payable</w:t>
            </w: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(3,300,951)</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(1,659,872)</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(4,960,823)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other income, net</w:t>
            </w:r>
          </w:p>
        </w:tc>
        <w:tc>
          <w:tcPr>
            <w:tcW w:w="76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(2,487,779)</w:t>
            </w:r>
          </w:p>
        </w:tc>
        <w:tc>
          <w:tcPr>
            <w:tcW w:w="12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(1,042,147)</w:t>
            </w:r>
          </w:p>
        </w:tc>
        <w:tc>
          <w:tcPr>
            <w:tcW w:w="6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(3,522,829)</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(20,478,210)</w:t>
            </w: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(25,852,952)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(47,220,233)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 taxes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Consolidated net loss</w:t>
            </w:r>
          </w:p>
        </w:tc>
        <w:tc>
          <w:tcPr>
            <w:tcW w:w="7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(20,478,210)</w:t>
            </w:r>
          </w:p>
        </w:tc>
        <w:tc>
          <w:tcPr>
            <w:tcW w:w="1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(26,182,952)</w:t>
            </w:r>
          </w:p>
        </w:tc>
        <w:tc>
          <w:tcPr>
            <w:tcW w:w="6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(47,550,233)</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non-controlling interest</w:t>
            </w: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(8,110,233)</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(8,146,230)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Net loss attributable to TG Therapeutics, Inc. and</w:t>
            </w:r>
          </w:p>
        </w:tc>
        <w:tc>
          <w:tcPr>
            <w:tcW w:w="96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8"/>
                <w:szCs w:val="18"/>
                <w:color w:val="auto"/>
              </w:rPr>
              <w:t>(20,478,210)</w:t>
            </w:r>
          </w:p>
        </w:tc>
        <w:tc>
          <w:tcPr>
            <w:tcW w:w="200" w:type="dxa"/>
            <w:vAlign w:val="bottom"/>
            <w:vMerge w:val="restart"/>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FFCC"/>
          </w:tcPr>
          <w:p>
            <w:pPr>
              <w:jc w:val="right"/>
              <w:ind w:right="60"/>
              <w:spacing w:after="0"/>
              <w:rPr>
                <w:sz w:val="20"/>
                <w:szCs w:val="20"/>
                <w:color w:val="auto"/>
              </w:rPr>
            </w:pPr>
            <w:r>
              <w:rPr>
                <w:rFonts w:ascii="Arial" w:cs="Arial" w:eastAsia="Arial" w:hAnsi="Arial"/>
                <w:sz w:val="18"/>
                <w:szCs w:val="18"/>
                <w:color w:val="auto"/>
                <w:w w:val="99"/>
              </w:rPr>
              <w:t>(18,072,719)</w:t>
            </w:r>
          </w:p>
        </w:tc>
        <w:tc>
          <w:tcPr>
            <w:tcW w:w="160" w:type="dxa"/>
            <w:vAlign w:val="bottom"/>
            <w:gridSpan w:val="2"/>
            <w:vMerge w:val="restart"/>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204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8"/>
                <w:szCs w:val="18"/>
                <w:color w:val="auto"/>
              </w:rPr>
              <w:t>(39,404,003)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Subsidiaries</w:t>
            </w:r>
          </w:p>
        </w:tc>
        <w:tc>
          <w:tcPr>
            <w:tcW w:w="960" w:type="dxa"/>
            <w:vAlign w:val="bottom"/>
            <w:gridSpan w:val="2"/>
            <w:vMerge w:val="continue"/>
            <w:shd w:val="clear" w:color="auto" w:fill="CCFFCC"/>
          </w:tcPr>
          <w:p>
            <w:pPr>
              <w:spacing w:after="0"/>
              <w:rPr>
                <w:sz w:val="18"/>
                <w:szCs w:val="18"/>
                <w:color w:val="auto"/>
              </w:rPr>
            </w:pPr>
          </w:p>
        </w:tc>
        <w:tc>
          <w:tcPr>
            <w:tcW w:w="1180" w:type="dxa"/>
            <w:vAlign w:val="bottom"/>
            <w:gridSpan w:val="2"/>
            <w:vMerge w:val="continue"/>
            <w:shd w:val="clear" w:color="auto" w:fill="CCFFCC"/>
          </w:tcPr>
          <w:p>
            <w:pPr>
              <w:spacing w:after="0"/>
              <w:rPr>
                <w:sz w:val="18"/>
                <w:szCs w:val="18"/>
                <w:color w:val="auto"/>
              </w:rPr>
            </w:pPr>
          </w:p>
        </w:tc>
        <w:tc>
          <w:tcPr>
            <w:tcW w:w="200" w:type="dxa"/>
            <w:vAlign w:val="bottom"/>
            <w:vMerge w:val="continue"/>
            <w:shd w:val="clear" w:color="auto" w:fill="CCFFCC"/>
          </w:tcPr>
          <w:p>
            <w:pPr>
              <w:spacing w:after="0"/>
              <w:rPr>
                <w:sz w:val="18"/>
                <w:szCs w:val="18"/>
                <w:color w:val="auto"/>
              </w:rPr>
            </w:pPr>
          </w:p>
        </w:tc>
        <w:tc>
          <w:tcPr>
            <w:tcW w:w="1100" w:type="dxa"/>
            <w:vAlign w:val="bottom"/>
            <w:gridSpan w:val="2"/>
            <w:vMerge w:val="continue"/>
            <w:shd w:val="clear" w:color="auto" w:fill="CCFFCC"/>
          </w:tcPr>
          <w:p>
            <w:pPr>
              <w:spacing w:after="0"/>
              <w:rPr>
                <w:sz w:val="18"/>
                <w:szCs w:val="18"/>
                <w:color w:val="auto"/>
              </w:rPr>
            </w:pPr>
          </w:p>
        </w:tc>
        <w:tc>
          <w:tcPr>
            <w:tcW w:w="160" w:type="dxa"/>
            <w:vAlign w:val="bottom"/>
            <w:gridSpan w:val="2"/>
            <w:vMerge w:val="continue"/>
            <w:shd w:val="clear" w:color="auto" w:fill="CCFFCC"/>
          </w:tcPr>
          <w:p>
            <w:pPr>
              <w:spacing w:after="0"/>
              <w:rPr>
                <w:sz w:val="18"/>
                <w:szCs w:val="18"/>
                <w:color w:val="auto"/>
              </w:rPr>
            </w:pPr>
          </w:p>
        </w:tc>
        <w:tc>
          <w:tcPr>
            <w:tcW w:w="2040" w:type="dxa"/>
            <w:vAlign w:val="bottom"/>
            <w:gridSpan w:val="2"/>
            <w:vMerge w:val="continue"/>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Basic and diluted net loss per common share</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(0.81)</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9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Weighted average shares used in computing basic and diluted net loss</w:t>
            </w:r>
          </w:p>
        </w:tc>
        <w:tc>
          <w:tcPr>
            <w:tcW w:w="7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60" w:type="dxa"/>
            <w:vAlign w:val="bottom"/>
            <w:vMerge w:val="restart"/>
            <w:shd w:val="clear" w:color="auto" w:fill="CCFFCC"/>
          </w:tcPr>
          <w:p>
            <w:pPr>
              <w:jc w:val="right"/>
              <w:spacing w:after="0"/>
              <w:rPr>
                <w:sz w:val="20"/>
                <w:szCs w:val="20"/>
                <w:color w:val="auto"/>
              </w:rPr>
            </w:pPr>
            <w:r>
              <w:rPr>
                <w:rFonts w:ascii="Arial" w:cs="Arial" w:eastAsia="Arial" w:hAnsi="Arial"/>
                <w:sz w:val="18"/>
                <w:szCs w:val="18"/>
                <w:color w:val="auto"/>
              </w:rPr>
              <w:t>25,413,964</w:t>
            </w:r>
          </w:p>
        </w:tc>
        <w:tc>
          <w:tcPr>
            <w:tcW w:w="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40" w:type="dxa"/>
            <w:vAlign w:val="bottom"/>
            <w:vMerge w:val="restart"/>
            <w:shd w:val="clear" w:color="auto" w:fill="CCFFCC"/>
          </w:tcPr>
          <w:p>
            <w:pPr>
              <w:jc w:val="right"/>
              <w:spacing w:after="0"/>
              <w:rPr>
                <w:sz w:val="20"/>
                <w:szCs w:val="20"/>
                <w:color w:val="auto"/>
              </w:rPr>
            </w:pPr>
            <w:r>
              <w:rPr>
                <w:rFonts w:ascii="Arial" w:cs="Arial" w:eastAsia="Arial" w:hAnsi="Arial"/>
                <w:sz w:val="18"/>
                <w:szCs w:val="18"/>
                <w:color w:val="auto"/>
              </w:rPr>
              <w:t>13,113,758</w:t>
            </w: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per common share</w:t>
            </w:r>
          </w:p>
        </w:tc>
        <w:tc>
          <w:tcPr>
            <w:tcW w:w="76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vMerge w:val="continue"/>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vMerge w:val="continue"/>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9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Equity for the Years Ended December 31, 2013, 2012 and 2011 and Cumulative Period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ind w:right="26"/>
              <w:spacing w:after="0"/>
              <w:rPr>
                <w:sz w:val="20"/>
                <w:szCs w:val="20"/>
                <w:color w:val="auto"/>
              </w:rPr>
            </w:pPr>
            <w:r>
              <w:rPr>
                <w:rFonts w:ascii="Arial" w:cs="Arial" w:eastAsia="Arial" w:hAnsi="Arial"/>
                <w:sz w:val="11"/>
                <w:szCs w:val="11"/>
                <w:b w:val="1"/>
                <w:bCs w:val="1"/>
                <w:color w:val="auto"/>
                <w:w w:val="89"/>
              </w:rPr>
              <w:t>Deficit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6"/>
              </w:rPr>
              <w:t>accumulated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87"/>
              </w:rPr>
              <w:t>Non-</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Contingently</w:t>
            </w:r>
          </w:p>
        </w:tc>
        <w:tc>
          <w:tcPr>
            <w:tcW w:w="100" w:type="dxa"/>
            <w:vAlign w:val="bottom"/>
          </w:tcPr>
          <w:p>
            <w:pPr>
              <w:spacing w:after="0"/>
              <w:rPr>
                <w:sz w:val="10"/>
                <w:szCs w:val="10"/>
                <w:color w:val="auto"/>
              </w:rPr>
            </w:pPr>
          </w:p>
        </w:tc>
        <w:tc>
          <w:tcPr>
            <w:tcW w:w="8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Additional</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8"/>
              </w:rPr>
              <w:t>in the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206"/>
              <w:spacing w:after="0" w:line="122" w:lineRule="exact"/>
              <w:rPr>
                <w:sz w:val="20"/>
                <w:szCs w:val="20"/>
                <w:color w:val="auto"/>
              </w:rPr>
            </w:pPr>
            <w:r>
              <w:rPr>
                <w:rFonts w:ascii="Arial" w:cs="Arial" w:eastAsia="Arial" w:hAnsi="Arial"/>
                <w:sz w:val="11"/>
                <w:szCs w:val="11"/>
                <w:b w:val="1"/>
                <w:bCs w:val="1"/>
                <w:color w:val="auto"/>
                <w:w w:val="91"/>
              </w:rPr>
              <w:t>controlling</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2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1"/>
                <w:szCs w:val="11"/>
                <w:b w:val="1"/>
                <w:bCs w:val="1"/>
                <w:color w:val="auto"/>
              </w:rPr>
              <w:t>Preferred stock</w:t>
            </w:r>
          </w:p>
        </w:tc>
        <w:tc>
          <w:tcPr>
            <w:tcW w:w="120" w:type="dxa"/>
            <w:vAlign w:val="bottom"/>
          </w:tcPr>
          <w:p>
            <w:pPr>
              <w:spacing w:after="0"/>
              <w:rPr>
                <w:sz w:val="11"/>
                <w:szCs w:val="11"/>
                <w:color w:val="auto"/>
              </w:rPr>
            </w:pPr>
          </w:p>
        </w:tc>
        <w:tc>
          <w:tcPr>
            <w:tcW w:w="162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1"/>
              </w:rPr>
              <w:t>issuable</w:t>
            </w:r>
          </w:p>
        </w:tc>
        <w:tc>
          <w:tcPr>
            <w:tcW w:w="10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paid-in</w:t>
            </w:r>
          </w:p>
        </w:tc>
        <w:tc>
          <w:tcPr>
            <w:tcW w:w="1560" w:type="dxa"/>
            <w:vAlign w:val="bottom"/>
            <w:tcBorders>
              <w:bottom w:val="single" w:sz="8" w:color="auto"/>
            </w:tcBorders>
            <w:gridSpan w:val="4"/>
          </w:tcPr>
          <w:p>
            <w:pPr>
              <w:jc w:val="right"/>
              <w:ind w:right="386"/>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b w:val="1"/>
                <w:bCs w:val="1"/>
                <w:color w:val="auto"/>
                <w:w w:val="88"/>
              </w:rPr>
              <w:t>development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26"/>
              <w:spacing w:after="0"/>
              <w:rPr>
                <w:sz w:val="20"/>
                <w:szCs w:val="20"/>
                <w:color w:val="auto"/>
              </w:rPr>
            </w:pPr>
            <w:r>
              <w:rPr>
                <w:rFonts w:ascii="Arial" w:cs="Arial" w:eastAsia="Arial" w:hAnsi="Arial"/>
                <w:sz w:val="11"/>
                <w:szCs w:val="11"/>
                <w:b w:val="1"/>
                <w:bCs w:val="1"/>
                <w:color w:val="auto"/>
                <w:w w:val="87"/>
              </w:rPr>
              <w:t>interest in</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Amount</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4"/>
              </w:rPr>
              <w:t>shares</w:t>
            </w:r>
          </w:p>
        </w:tc>
        <w:tc>
          <w:tcPr>
            <w:tcW w:w="10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capital</w:t>
            </w:r>
          </w:p>
        </w:tc>
        <w:tc>
          <w:tcPr>
            <w:tcW w:w="78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8"/>
                <w:szCs w:val="18"/>
                <w:color w:val="auto"/>
              </w:rPr>
            </w:pPr>
          </w:p>
        </w:tc>
        <w:tc>
          <w:tcPr>
            <w:tcW w:w="700" w:type="dxa"/>
            <w:vAlign w:val="bottom"/>
          </w:tcPr>
          <w:p>
            <w:pPr>
              <w:jc w:val="right"/>
              <w:ind w:right="206"/>
              <w:spacing w:after="0"/>
              <w:rPr>
                <w:sz w:val="20"/>
                <w:szCs w:val="20"/>
                <w:color w:val="auto"/>
              </w:rPr>
            </w:pPr>
            <w:r>
              <w:rPr>
                <w:rFonts w:ascii="Arial" w:cs="Arial" w:eastAsia="Arial" w:hAnsi="Arial"/>
                <w:sz w:val="11"/>
                <w:szCs w:val="11"/>
                <w:b w:val="1"/>
                <w:bCs w:val="1"/>
                <w:color w:val="auto"/>
              </w:rPr>
              <w:t>stage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ind w:right="146"/>
              <w:spacing w:after="0"/>
              <w:rPr>
                <w:sz w:val="20"/>
                <w:szCs w:val="20"/>
                <w:color w:val="auto"/>
              </w:rPr>
            </w:pPr>
            <w:r>
              <w:rPr>
                <w:rFonts w:ascii="Arial" w:cs="Arial" w:eastAsia="Arial" w:hAnsi="Arial"/>
                <w:sz w:val="11"/>
                <w:szCs w:val="11"/>
                <w:b w:val="1"/>
                <w:bCs w:val="1"/>
                <w:color w:val="auto"/>
                <w:w w:val="87"/>
              </w:rPr>
              <w:t>subsidiary</w:t>
            </w:r>
          </w:p>
        </w:tc>
        <w:tc>
          <w:tcPr>
            <w:tcW w:w="12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600" w:type="dxa"/>
            <w:vAlign w:val="bottom"/>
            <w:tcBorders>
              <w:top w:val="single" w:sz="8" w:color="CCFFCC"/>
            </w:tcBorders>
            <w:shd w:val="clear" w:color="auto" w:fill="CCFFCC"/>
          </w:tcPr>
          <w:p>
            <w:pPr>
              <w:spacing w:after="0" w:line="92" w:lineRule="exact"/>
              <w:rPr>
                <w:sz w:val="20"/>
                <w:szCs w:val="20"/>
                <w:color w:val="auto"/>
              </w:rPr>
            </w:pPr>
            <w:r>
              <w:rPr>
                <w:rFonts w:ascii="Arial" w:cs="Arial" w:eastAsia="Arial" w:hAnsi="Arial"/>
                <w:sz w:val="10"/>
                <w:szCs w:val="10"/>
                <w:color w:val="auto"/>
              </w:rPr>
              <w:t>Common stock issued</w:t>
            </w:r>
          </w:p>
        </w:tc>
        <w:tc>
          <w:tcPr>
            <w:tcW w:w="800" w:type="dxa"/>
            <w:vAlign w:val="bottom"/>
            <w:tcBorders>
              <w:top w:val="single" w:sz="8" w:color="auto"/>
              <w:right w:val="single" w:sz="8" w:color="CCFFCC"/>
            </w:tcBorders>
            <w:shd w:val="clear" w:color="auto" w:fill="CCFFCC"/>
          </w:tcPr>
          <w:p>
            <w:pPr>
              <w:spacing w:after="0"/>
              <w:rPr>
                <w:sz w:val="7"/>
                <w:szCs w:val="7"/>
                <w:color w:val="auto"/>
              </w:rPr>
            </w:pPr>
          </w:p>
        </w:tc>
        <w:tc>
          <w:tcPr>
            <w:tcW w:w="120" w:type="dxa"/>
            <w:vAlign w:val="bottom"/>
            <w:tcBorders>
              <w:top w:val="single" w:sz="8" w:color="CCFFCC"/>
            </w:tcBorders>
            <w:shd w:val="clear" w:color="auto" w:fill="CCFFCC"/>
          </w:tcPr>
          <w:p>
            <w:pPr>
              <w:spacing w:after="0"/>
              <w:rPr>
                <w:sz w:val="7"/>
                <w:szCs w:val="7"/>
                <w:color w:val="auto"/>
              </w:rPr>
            </w:pPr>
          </w:p>
        </w:tc>
        <w:tc>
          <w:tcPr>
            <w:tcW w:w="700" w:type="dxa"/>
            <w:vAlign w:val="bottom"/>
            <w:tcBorders>
              <w:top w:val="single" w:sz="8" w:color="auto"/>
            </w:tcBorders>
            <w:shd w:val="clear" w:color="auto" w:fill="CCFFCC"/>
          </w:tcPr>
          <w:p>
            <w:pPr>
              <w:spacing w:after="0"/>
              <w:rPr>
                <w:sz w:val="7"/>
                <w:szCs w:val="7"/>
                <w:color w:val="auto"/>
              </w:rPr>
            </w:pPr>
          </w:p>
        </w:tc>
        <w:tc>
          <w:tcPr>
            <w:tcW w:w="120" w:type="dxa"/>
            <w:vAlign w:val="bottom"/>
            <w:tcBorders>
              <w:top w:val="single" w:sz="8" w:color="CCFFCC"/>
            </w:tcBorders>
            <w:shd w:val="clear" w:color="auto" w:fill="CCFFCC"/>
          </w:tcPr>
          <w:p>
            <w:pPr>
              <w:spacing w:after="0"/>
              <w:rPr>
                <w:sz w:val="7"/>
                <w:szCs w:val="7"/>
                <w:color w:val="auto"/>
              </w:rPr>
            </w:pPr>
          </w:p>
        </w:tc>
        <w:tc>
          <w:tcPr>
            <w:tcW w:w="800" w:type="dxa"/>
            <w:vAlign w:val="bottom"/>
            <w:tcBorders>
              <w:top w:val="single" w:sz="8" w:color="auto"/>
              <w:right w:val="single" w:sz="8" w:color="CCFFCC"/>
            </w:tcBorders>
            <w:shd w:val="clear" w:color="auto" w:fill="CCFFCC"/>
          </w:tcPr>
          <w:p>
            <w:pPr>
              <w:spacing w:after="0"/>
              <w:rPr>
                <w:sz w:val="7"/>
                <w:szCs w:val="7"/>
                <w:color w:val="auto"/>
              </w:rPr>
            </w:pPr>
          </w:p>
        </w:tc>
        <w:tc>
          <w:tcPr>
            <w:tcW w:w="120" w:type="dxa"/>
            <w:vAlign w:val="bottom"/>
            <w:tcBorders>
              <w:top w:val="single" w:sz="8" w:color="CCFFCC"/>
            </w:tcBorders>
            <w:shd w:val="clear" w:color="auto" w:fill="CCFFCC"/>
          </w:tcPr>
          <w:p>
            <w:pPr>
              <w:spacing w:after="0"/>
              <w:rPr>
                <w:sz w:val="7"/>
                <w:szCs w:val="7"/>
                <w:color w:val="auto"/>
              </w:rPr>
            </w:pPr>
          </w:p>
        </w:tc>
        <w:tc>
          <w:tcPr>
            <w:tcW w:w="700" w:type="dxa"/>
            <w:vAlign w:val="bottom"/>
            <w:tcBorders>
              <w:top w:val="single" w:sz="8" w:color="auto"/>
            </w:tcBorders>
            <w:shd w:val="clear" w:color="auto" w:fill="CCFFCC"/>
          </w:tcPr>
          <w:p>
            <w:pPr>
              <w:spacing w:after="0"/>
              <w:rPr>
                <w:sz w:val="7"/>
                <w:szCs w:val="7"/>
                <w:color w:val="auto"/>
              </w:rPr>
            </w:pPr>
          </w:p>
        </w:tc>
        <w:tc>
          <w:tcPr>
            <w:tcW w:w="120" w:type="dxa"/>
            <w:vAlign w:val="bottom"/>
            <w:tcBorders>
              <w:top w:val="single" w:sz="8" w:color="CCFFCC"/>
            </w:tcBorders>
            <w:shd w:val="clear" w:color="auto" w:fill="CCFFCC"/>
          </w:tcPr>
          <w:p>
            <w:pPr>
              <w:spacing w:after="0"/>
              <w:rPr>
                <w:sz w:val="7"/>
                <w:szCs w:val="7"/>
                <w:color w:val="auto"/>
              </w:rPr>
            </w:pPr>
          </w:p>
        </w:tc>
        <w:tc>
          <w:tcPr>
            <w:tcW w:w="100" w:type="dxa"/>
            <w:vAlign w:val="bottom"/>
            <w:tcBorders>
              <w:top w:val="single" w:sz="8" w:color="auto"/>
            </w:tcBorders>
            <w:shd w:val="clear" w:color="auto" w:fill="CCFFCC"/>
          </w:tcPr>
          <w:p>
            <w:pPr>
              <w:spacing w:after="0"/>
              <w:rPr>
                <w:sz w:val="7"/>
                <w:szCs w:val="7"/>
                <w:color w:val="auto"/>
              </w:rPr>
            </w:pPr>
          </w:p>
        </w:tc>
        <w:tc>
          <w:tcPr>
            <w:tcW w:w="840" w:type="dxa"/>
            <w:vAlign w:val="bottom"/>
            <w:tcBorders>
              <w:top w:val="single" w:sz="8" w:color="auto"/>
            </w:tcBorders>
            <w:shd w:val="clear" w:color="auto" w:fill="CCFFCC"/>
          </w:tcPr>
          <w:p>
            <w:pPr>
              <w:spacing w:after="0"/>
              <w:rPr>
                <w:sz w:val="7"/>
                <w:szCs w:val="7"/>
                <w:color w:val="auto"/>
              </w:rPr>
            </w:pPr>
          </w:p>
        </w:tc>
        <w:tc>
          <w:tcPr>
            <w:tcW w:w="120" w:type="dxa"/>
            <w:vAlign w:val="bottom"/>
            <w:tcBorders>
              <w:top w:val="single" w:sz="8" w:color="CCFFCC"/>
            </w:tcBorders>
            <w:shd w:val="clear" w:color="auto" w:fill="CCFFCC"/>
          </w:tcPr>
          <w:p>
            <w:pPr>
              <w:spacing w:after="0"/>
              <w:rPr>
                <w:sz w:val="7"/>
                <w:szCs w:val="7"/>
                <w:color w:val="auto"/>
              </w:rPr>
            </w:pPr>
          </w:p>
        </w:tc>
        <w:tc>
          <w:tcPr>
            <w:tcW w:w="100" w:type="dxa"/>
            <w:vAlign w:val="bottom"/>
            <w:tcBorders>
              <w:top w:val="single" w:sz="8" w:color="auto"/>
            </w:tcBorders>
            <w:shd w:val="clear" w:color="auto" w:fill="CCFFCC"/>
          </w:tcPr>
          <w:p>
            <w:pPr>
              <w:spacing w:after="0"/>
              <w:rPr>
                <w:sz w:val="7"/>
                <w:szCs w:val="7"/>
                <w:color w:val="auto"/>
              </w:rPr>
            </w:pPr>
          </w:p>
        </w:tc>
        <w:tc>
          <w:tcPr>
            <w:tcW w:w="700" w:type="dxa"/>
            <w:vAlign w:val="bottom"/>
            <w:tcBorders>
              <w:top w:val="single" w:sz="8" w:color="auto"/>
            </w:tcBorders>
            <w:shd w:val="clear" w:color="auto" w:fill="CCFFCC"/>
          </w:tcPr>
          <w:p>
            <w:pPr>
              <w:spacing w:after="0"/>
              <w:rPr>
                <w:sz w:val="7"/>
                <w:szCs w:val="7"/>
                <w:color w:val="auto"/>
              </w:rPr>
            </w:pPr>
          </w:p>
        </w:tc>
        <w:tc>
          <w:tcPr>
            <w:tcW w:w="120" w:type="dxa"/>
            <w:vAlign w:val="bottom"/>
            <w:tcBorders>
              <w:top w:val="single" w:sz="8" w:color="CCFFCC"/>
            </w:tcBorders>
            <w:shd w:val="clear" w:color="auto" w:fill="CCFFCC"/>
          </w:tcPr>
          <w:p>
            <w:pPr>
              <w:spacing w:after="0"/>
              <w:rPr>
                <w:sz w:val="7"/>
                <w:szCs w:val="7"/>
                <w:color w:val="auto"/>
              </w:rPr>
            </w:pPr>
          </w:p>
        </w:tc>
        <w:tc>
          <w:tcPr>
            <w:tcW w:w="660" w:type="dxa"/>
            <w:vAlign w:val="bottom"/>
            <w:tcBorders>
              <w:top w:val="single" w:sz="8" w:color="auto"/>
            </w:tcBorders>
            <w:shd w:val="clear" w:color="auto" w:fill="CCFFCC"/>
          </w:tcPr>
          <w:p>
            <w:pPr>
              <w:spacing w:after="0"/>
              <w:rPr>
                <w:sz w:val="7"/>
                <w:szCs w:val="7"/>
                <w:color w:val="auto"/>
              </w:rPr>
            </w:pPr>
          </w:p>
        </w:tc>
        <w:tc>
          <w:tcPr>
            <w:tcW w:w="120" w:type="dxa"/>
            <w:vAlign w:val="bottom"/>
            <w:tcBorders>
              <w:top w:val="single" w:sz="8" w:color="CCFFCC"/>
            </w:tcBorders>
            <w:shd w:val="clear" w:color="auto" w:fill="CCFFCC"/>
          </w:tcPr>
          <w:p>
            <w:pPr>
              <w:spacing w:after="0"/>
              <w:rPr>
                <w:sz w:val="7"/>
                <w:szCs w:val="7"/>
                <w:color w:val="auto"/>
              </w:rPr>
            </w:pPr>
          </w:p>
        </w:tc>
        <w:tc>
          <w:tcPr>
            <w:tcW w:w="120" w:type="dxa"/>
            <w:vAlign w:val="bottom"/>
            <w:tcBorders>
              <w:top w:val="single" w:sz="8" w:color="auto"/>
            </w:tcBorders>
            <w:shd w:val="clear" w:color="auto" w:fill="CCFFCC"/>
          </w:tcPr>
          <w:p>
            <w:pPr>
              <w:spacing w:after="0"/>
              <w:rPr>
                <w:sz w:val="7"/>
                <w:szCs w:val="7"/>
                <w:color w:val="auto"/>
              </w:rPr>
            </w:pPr>
          </w:p>
        </w:tc>
        <w:tc>
          <w:tcPr>
            <w:tcW w:w="660" w:type="dxa"/>
            <w:vAlign w:val="bottom"/>
            <w:tcBorders>
              <w:top w:val="single" w:sz="8" w:color="auto"/>
            </w:tcBorders>
            <w:shd w:val="clear" w:color="auto" w:fill="CCFFCC"/>
          </w:tcPr>
          <w:p>
            <w:pPr>
              <w:spacing w:after="0"/>
              <w:rPr>
                <w:sz w:val="7"/>
                <w:szCs w:val="7"/>
                <w:color w:val="auto"/>
              </w:rPr>
            </w:pPr>
          </w:p>
        </w:tc>
        <w:tc>
          <w:tcPr>
            <w:tcW w:w="100" w:type="dxa"/>
            <w:vAlign w:val="bottom"/>
            <w:tcBorders>
              <w:top w:val="single" w:sz="8" w:color="CCFFCC"/>
            </w:tcBorders>
            <w:shd w:val="clear" w:color="auto" w:fill="CCFFCC"/>
          </w:tcPr>
          <w:p>
            <w:pPr>
              <w:spacing w:after="0"/>
              <w:rPr>
                <w:sz w:val="7"/>
                <w:szCs w:val="7"/>
                <w:color w:val="auto"/>
              </w:rPr>
            </w:pPr>
          </w:p>
        </w:tc>
        <w:tc>
          <w:tcPr>
            <w:tcW w:w="80" w:type="dxa"/>
            <w:vAlign w:val="bottom"/>
            <w:tcBorders>
              <w:top w:val="single" w:sz="8" w:color="auto"/>
            </w:tcBorders>
            <w:shd w:val="clear" w:color="auto" w:fill="CCFFCC"/>
          </w:tcPr>
          <w:p>
            <w:pPr>
              <w:spacing w:after="0"/>
              <w:rPr>
                <w:sz w:val="7"/>
                <w:szCs w:val="7"/>
                <w:color w:val="auto"/>
              </w:rPr>
            </w:pPr>
          </w:p>
        </w:tc>
        <w:tc>
          <w:tcPr>
            <w:tcW w:w="700" w:type="dxa"/>
            <w:vAlign w:val="bottom"/>
            <w:tcBorders>
              <w:top w:val="single" w:sz="8" w:color="auto"/>
            </w:tcBorders>
            <w:shd w:val="clear" w:color="auto" w:fill="CCFFCC"/>
          </w:tcPr>
          <w:p>
            <w:pPr>
              <w:spacing w:after="0"/>
              <w:rPr>
                <w:sz w:val="7"/>
                <w:szCs w:val="7"/>
                <w:color w:val="auto"/>
              </w:rPr>
            </w:pPr>
          </w:p>
        </w:tc>
        <w:tc>
          <w:tcPr>
            <w:tcW w:w="120" w:type="dxa"/>
            <w:vAlign w:val="bottom"/>
            <w:tcBorders>
              <w:top w:val="single" w:sz="8" w:color="CCFFCC"/>
            </w:tcBorders>
            <w:shd w:val="clear" w:color="auto" w:fill="CCFFCC"/>
          </w:tcPr>
          <w:p>
            <w:pPr>
              <w:spacing w:after="0"/>
              <w:rPr>
                <w:sz w:val="7"/>
                <w:szCs w:val="7"/>
                <w:color w:val="auto"/>
              </w:rPr>
            </w:pPr>
          </w:p>
        </w:tc>
        <w:tc>
          <w:tcPr>
            <w:tcW w:w="80" w:type="dxa"/>
            <w:vAlign w:val="bottom"/>
            <w:tcBorders>
              <w:top w:val="single" w:sz="8" w:color="auto"/>
            </w:tcBorders>
            <w:shd w:val="clear" w:color="auto" w:fill="CCFFCC"/>
          </w:tcPr>
          <w:p>
            <w:pPr>
              <w:spacing w:after="0"/>
              <w:rPr>
                <w:sz w:val="7"/>
                <w:szCs w:val="7"/>
                <w:color w:val="auto"/>
              </w:rPr>
            </w:pPr>
          </w:p>
        </w:tc>
        <w:tc>
          <w:tcPr>
            <w:tcW w:w="800" w:type="dxa"/>
            <w:vAlign w:val="bottom"/>
            <w:tcBorders>
              <w:top w:val="single" w:sz="8" w:color="auto"/>
              <w:right w:val="single" w:sz="8" w:color="CCFFCC"/>
            </w:tcBorders>
            <w:shd w:val="clear" w:color="auto" w:fill="CCFFCC"/>
          </w:tcPr>
          <w:p>
            <w:pPr>
              <w:spacing w:after="0"/>
              <w:rPr>
                <w:sz w:val="7"/>
                <w:szCs w:val="7"/>
                <w:color w:val="auto"/>
              </w:rPr>
            </w:pPr>
          </w:p>
        </w:tc>
        <w:tc>
          <w:tcPr>
            <w:tcW w:w="120" w:type="dxa"/>
            <w:vAlign w:val="bottom"/>
            <w:tcBorders>
              <w:top w:val="single" w:sz="8" w:color="CCFFCC"/>
            </w:tcBorders>
            <w:shd w:val="clear" w:color="auto" w:fill="CCFFCC"/>
          </w:tcPr>
          <w:p>
            <w:pPr>
              <w:spacing w:after="0"/>
              <w:rPr>
                <w:sz w:val="7"/>
                <w:szCs w:val="7"/>
                <w:color w:val="auto"/>
              </w:rPr>
            </w:pPr>
          </w:p>
        </w:tc>
        <w:tc>
          <w:tcPr>
            <w:tcW w:w="680" w:type="dxa"/>
            <w:vAlign w:val="bottom"/>
            <w:tcBorders>
              <w:top w:val="single" w:sz="8" w:color="auto"/>
            </w:tcBorders>
            <w:shd w:val="clear" w:color="auto" w:fill="CCFFCC"/>
          </w:tcPr>
          <w:p>
            <w:pPr>
              <w:spacing w:after="0"/>
              <w:rPr>
                <w:sz w:val="7"/>
                <w:szCs w:val="7"/>
                <w:color w:val="auto"/>
              </w:rPr>
            </w:pPr>
          </w:p>
        </w:tc>
        <w:tc>
          <w:tcPr>
            <w:tcW w:w="100" w:type="dxa"/>
            <w:vAlign w:val="bottom"/>
            <w:tcBorders>
              <w:top w:val="single" w:sz="8" w:color="CCFFCC"/>
            </w:tcBorders>
            <w:shd w:val="clear" w:color="auto" w:fill="CCFFCC"/>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color w:val="auto"/>
              </w:rPr>
              <w:t>to founders in</w:t>
            </w: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color w:val="auto"/>
              </w:rPr>
              <w:t>exchange for seed</w:t>
            </w: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color w:val="auto"/>
              </w:rPr>
              <w:t>capital in April</w:t>
            </w: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shd w:val="clear" w:color="auto" w:fill="CCFFCC"/>
          </w:tcPr>
          <w:p>
            <w:pPr>
              <w:ind w:left="120"/>
              <w:spacing w:after="0"/>
              <w:rPr>
                <w:sz w:val="20"/>
                <w:szCs w:val="20"/>
                <w:color w:val="auto"/>
              </w:rPr>
            </w:pPr>
            <w:r>
              <w:rPr>
                <w:rFonts w:ascii="Arial" w:cs="Arial" w:eastAsia="Arial" w:hAnsi="Arial"/>
                <w:sz w:val="11"/>
                <w:szCs w:val="11"/>
                <w:color w:val="auto"/>
              </w:rPr>
              <w:t>2011</w:t>
            </w:r>
          </w:p>
        </w:tc>
        <w:tc>
          <w:tcPr>
            <w:tcW w:w="80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tcBorders>
              <w:right w:val="single" w:sz="8" w:color="CCFFCC"/>
            </w:tcBorders>
            <w:shd w:val="clear" w:color="auto" w:fill="CCFFCC"/>
          </w:tcPr>
          <w:p>
            <w:pPr>
              <w:jc w:val="right"/>
              <w:ind w:right="126"/>
              <w:spacing w:after="0"/>
              <w:rPr>
                <w:sz w:val="20"/>
                <w:szCs w:val="20"/>
                <w:color w:val="auto"/>
              </w:rPr>
            </w:pPr>
            <w:r>
              <w:rPr>
                <w:rFonts w:ascii="Arial" w:cs="Arial" w:eastAsia="Arial" w:hAnsi="Arial"/>
                <w:sz w:val="11"/>
                <w:szCs w:val="11"/>
                <w:color w:val="auto"/>
              </w:rPr>
              <w:t>2,500,000</w:t>
            </w:r>
          </w:p>
        </w:tc>
        <w:tc>
          <w:tcPr>
            <w:tcW w:w="120" w:type="dxa"/>
            <w:vAlign w:val="bottom"/>
            <w:shd w:val="clear" w:color="auto" w:fill="CCFFCC"/>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2,500</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jc w:val="right"/>
              <w:ind w:right="33"/>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104,078</w:t>
            </w: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rPr>
              <w:t>106,578</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00" w:type="dxa"/>
            <w:vAlign w:val="bottom"/>
          </w:tcPr>
          <w:p>
            <w:pPr>
              <w:spacing w:after="0" w:line="112" w:lineRule="exact"/>
              <w:rPr>
                <w:sz w:val="20"/>
                <w:szCs w:val="20"/>
                <w:color w:val="auto"/>
              </w:rPr>
            </w:pPr>
            <w:r>
              <w:rPr>
                <w:rFonts w:ascii="Arial" w:cs="Arial" w:eastAsia="Arial" w:hAnsi="Arial"/>
                <w:sz w:val="11"/>
                <w:szCs w:val="11"/>
                <w:color w:val="auto"/>
              </w:rPr>
              <w:t>Stock issued at $2.25</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per share in</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exchange for</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tcPr>
          <w:p>
            <w:pPr>
              <w:ind w:left="120"/>
              <w:spacing w:after="0"/>
              <w:rPr>
                <w:sz w:val="20"/>
                <w:szCs w:val="20"/>
                <w:color w:val="auto"/>
              </w:rPr>
            </w:pPr>
            <w:r>
              <w:rPr>
                <w:rFonts w:ascii="Arial" w:cs="Arial" w:eastAsia="Arial" w:hAnsi="Arial"/>
                <w:sz w:val="11"/>
                <w:szCs w:val="11"/>
                <w:color w:val="auto"/>
              </w:rPr>
              <w:t>license option</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26"/>
              <w:spacing w:after="0"/>
              <w:rPr>
                <w:sz w:val="20"/>
                <w:szCs w:val="20"/>
                <w:color w:val="auto"/>
              </w:rPr>
            </w:pPr>
            <w:r>
              <w:rPr>
                <w:rFonts w:ascii="Arial" w:cs="Arial" w:eastAsia="Arial" w:hAnsi="Arial"/>
                <w:sz w:val="11"/>
                <w:szCs w:val="11"/>
                <w:color w:val="auto"/>
              </w:rPr>
              <w:t>132,000</w:t>
            </w:r>
          </w:p>
        </w:tc>
        <w:tc>
          <w:tcPr>
            <w:tcW w:w="12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132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296,868</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297,000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Issuance of restricted</w:t>
            </w: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shd w:val="clear" w:color="auto" w:fill="CCFFCC"/>
          </w:tcPr>
          <w:p>
            <w:pPr>
              <w:ind w:left="120"/>
              <w:spacing w:after="0"/>
              <w:rPr>
                <w:sz w:val="20"/>
                <w:szCs w:val="20"/>
                <w:color w:val="auto"/>
              </w:rPr>
            </w:pPr>
            <w:r>
              <w:rPr>
                <w:rFonts w:ascii="Arial" w:cs="Arial" w:eastAsia="Arial" w:hAnsi="Arial"/>
                <w:sz w:val="11"/>
                <w:szCs w:val="11"/>
                <w:color w:val="auto"/>
              </w:rPr>
              <w:t>stock to employees</w:t>
            </w:r>
          </w:p>
        </w:tc>
        <w:tc>
          <w:tcPr>
            <w:tcW w:w="80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tcBorders>
              <w:right w:val="single" w:sz="8" w:color="CCFFCC"/>
            </w:tcBorders>
            <w:shd w:val="clear" w:color="auto" w:fill="CCFFCC"/>
          </w:tcPr>
          <w:p>
            <w:pPr>
              <w:jc w:val="right"/>
              <w:ind w:right="126"/>
              <w:spacing w:after="0"/>
              <w:rPr>
                <w:sz w:val="20"/>
                <w:szCs w:val="20"/>
                <w:color w:val="auto"/>
              </w:rPr>
            </w:pPr>
            <w:r>
              <w:rPr>
                <w:rFonts w:ascii="Arial" w:cs="Arial" w:eastAsia="Arial" w:hAnsi="Arial"/>
                <w:sz w:val="11"/>
                <w:szCs w:val="11"/>
                <w:color w:val="auto"/>
              </w:rPr>
              <w:t>1,150,000</w:t>
            </w: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1,150</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rPr>
              <w:t>1,150</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00" w:type="dxa"/>
            <w:vAlign w:val="bottom"/>
          </w:tcPr>
          <w:p>
            <w:pPr>
              <w:spacing w:after="0" w:line="112" w:lineRule="exact"/>
              <w:rPr>
                <w:sz w:val="20"/>
                <w:szCs w:val="20"/>
                <w:color w:val="auto"/>
              </w:rPr>
            </w:pPr>
            <w:r>
              <w:rPr>
                <w:rFonts w:ascii="Arial" w:cs="Arial" w:eastAsia="Arial" w:hAnsi="Arial"/>
                <w:sz w:val="11"/>
                <w:szCs w:val="11"/>
                <w:color w:val="auto"/>
              </w:rPr>
              <w:t>Effect of reverse</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tcPr>
          <w:p>
            <w:pPr>
              <w:ind w:left="120"/>
              <w:spacing w:after="0"/>
              <w:rPr>
                <w:sz w:val="20"/>
                <w:szCs w:val="20"/>
                <w:color w:val="auto"/>
              </w:rPr>
            </w:pPr>
            <w:r>
              <w:rPr>
                <w:rFonts w:ascii="Arial" w:cs="Arial" w:eastAsia="Arial" w:hAnsi="Arial"/>
                <w:sz w:val="11"/>
                <w:szCs w:val="11"/>
                <w:color w:val="auto"/>
              </w:rPr>
              <w:t>acquisition</w:t>
            </w:r>
          </w:p>
        </w:tc>
        <w:tc>
          <w:tcPr>
            <w:tcW w:w="800" w:type="dxa"/>
            <w:vAlign w:val="bottom"/>
          </w:tcPr>
          <w:p>
            <w:pPr>
              <w:jc w:val="right"/>
              <w:ind w:right="126"/>
              <w:spacing w:after="0"/>
              <w:rPr>
                <w:sz w:val="20"/>
                <w:szCs w:val="20"/>
                <w:color w:val="auto"/>
              </w:rPr>
            </w:pPr>
            <w:r>
              <w:rPr>
                <w:rFonts w:ascii="Arial" w:cs="Arial" w:eastAsia="Arial" w:hAnsi="Arial"/>
                <w:sz w:val="11"/>
                <w:szCs w:val="11"/>
                <w:color w:val="auto"/>
              </w:rPr>
              <w:t>281,250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281</w:t>
            </w:r>
          </w:p>
        </w:tc>
        <w:tc>
          <w:tcPr>
            <w:tcW w:w="120" w:type="dxa"/>
            <w:vAlign w:val="bottom"/>
          </w:tcPr>
          <w:p>
            <w:pPr>
              <w:spacing w:after="0"/>
              <w:rPr>
                <w:sz w:val="11"/>
                <w:szCs w:val="11"/>
                <w:color w:val="auto"/>
              </w:rPr>
            </w:pPr>
          </w:p>
        </w:tc>
        <w:tc>
          <w:tcPr>
            <w:tcW w:w="800" w:type="dxa"/>
            <w:vAlign w:val="bottom"/>
          </w:tcPr>
          <w:p>
            <w:pPr>
              <w:ind w:left="180"/>
              <w:spacing w:after="0"/>
              <w:rPr>
                <w:sz w:val="20"/>
                <w:szCs w:val="20"/>
                <w:color w:val="auto"/>
              </w:rPr>
            </w:pPr>
            <w:r>
              <w:rPr>
                <w:rFonts w:ascii="Arial" w:cs="Arial" w:eastAsia="Arial" w:hAnsi="Arial"/>
                <w:sz w:val="11"/>
                <w:szCs w:val="11"/>
                <w:color w:val="auto"/>
              </w:rPr>
              <w:t>(2,500,124)</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(2,501)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277,500</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106"/>
              <w:spacing w:after="0"/>
              <w:rPr>
                <w:sz w:val="20"/>
                <w:szCs w:val="20"/>
                <w:color w:val="auto"/>
              </w:rPr>
            </w:pPr>
            <w:r>
              <w:rPr>
                <w:rFonts w:ascii="Arial" w:cs="Arial" w:eastAsia="Arial" w:hAnsi="Arial"/>
                <w:sz w:val="11"/>
                <w:szCs w:val="11"/>
                <w:color w:val="auto"/>
              </w:rPr>
              <w:t>47,678</w:t>
            </w:r>
          </w:p>
        </w:tc>
        <w:tc>
          <w:tcPr>
            <w:tcW w:w="12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322,964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Conversion of note</w:t>
            </w: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color w:val="auto"/>
              </w:rPr>
              <w:t>payable to preferred</w:t>
            </w: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shd w:val="clear" w:color="auto" w:fill="CCFFCC"/>
          </w:tcPr>
          <w:p>
            <w:pPr>
              <w:ind w:left="120"/>
              <w:spacing w:after="0"/>
              <w:rPr>
                <w:sz w:val="20"/>
                <w:szCs w:val="20"/>
                <w:color w:val="auto"/>
              </w:rPr>
            </w:pPr>
            <w:r>
              <w:rPr>
                <w:rFonts w:ascii="Arial" w:cs="Arial" w:eastAsia="Arial" w:hAnsi="Arial"/>
                <w:sz w:val="11"/>
                <w:szCs w:val="11"/>
                <w:color w:val="auto"/>
              </w:rPr>
              <w:t>stock</w:t>
            </w:r>
          </w:p>
        </w:tc>
        <w:tc>
          <w:tcPr>
            <w:tcW w:w="800" w:type="dxa"/>
            <w:vAlign w:val="bottom"/>
            <w:tcBorders>
              <w:right w:val="single" w:sz="8" w:color="CCFFCC"/>
            </w:tcBorders>
            <w:shd w:val="clear" w:color="auto" w:fill="CCFFCC"/>
          </w:tcPr>
          <w:p>
            <w:pPr>
              <w:jc w:val="right"/>
              <w:ind w:right="126"/>
              <w:spacing w:after="0"/>
              <w:rPr>
                <w:sz w:val="20"/>
                <w:szCs w:val="20"/>
                <w:color w:val="auto"/>
              </w:rPr>
            </w:pPr>
            <w:r>
              <w:rPr>
                <w:rFonts w:ascii="Arial" w:cs="Arial" w:eastAsia="Arial" w:hAnsi="Arial"/>
                <w:sz w:val="11"/>
                <w:szCs w:val="11"/>
                <w:color w:val="auto"/>
              </w:rPr>
              <w:t>2,763</w:t>
            </w: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FFCC"/>
          </w:tcPr>
          <w:p>
            <w:pPr>
              <w:spacing w:after="0"/>
              <w:rPr>
                <w:sz w:val="11"/>
                <w:szCs w:val="11"/>
                <w:color w:val="auto"/>
              </w:rPr>
            </w:pPr>
          </w:p>
        </w:tc>
        <w:tc>
          <w:tcPr>
            <w:tcW w:w="80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55,268</w:t>
            </w: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rPr>
              <w:t>55,271</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00" w:type="dxa"/>
            <w:vAlign w:val="bottom"/>
          </w:tcPr>
          <w:p>
            <w:pPr>
              <w:spacing w:after="0" w:line="112" w:lineRule="exact"/>
              <w:rPr>
                <w:sz w:val="20"/>
                <w:szCs w:val="20"/>
                <w:color w:val="auto"/>
              </w:rPr>
            </w:pPr>
            <w:r>
              <w:rPr>
                <w:rFonts w:ascii="Arial" w:cs="Arial" w:eastAsia="Arial" w:hAnsi="Arial"/>
                <w:sz w:val="11"/>
                <w:szCs w:val="11"/>
                <w:color w:val="auto"/>
              </w:rPr>
              <w:t>Issuance of</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replacement</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restricted preferred</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stock to</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tcPr>
          <w:p>
            <w:pPr>
              <w:ind w:left="120"/>
              <w:spacing w:after="0"/>
              <w:rPr>
                <w:sz w:val="20"/>
                <w:szCs w:val="20"/>
                <w:color w:val="auto"/>
              </w:rPr>
            </w:pPr>
            <w:r>
              <w:rPr>
                <w:rFonts w:ascii="Arial" w:cs="Arial" w:eastAsia="Arial" w:hAnsi="Arial"/>
                <w:sz w:val="11"/>
                <w:szCs w:val="11"/>
                <w:color w:val="auto"/>
              </w:rPr>
              <w:t>employees</w:t>
            </w:r>
          </w:p>
        </w:tc>
        <w:tc>
          <w:tcPr>
            <w:tcW w:w="800" w:type="dxa"/>
            <w:vAlign w:val="bottom"/>
          </w:tcPr>
          <w:p>
            <w:pPr>
              <w:jc w:val="right"/>
              <w:ind w:right="126"/>
              <w:spacing w:after="0"/>
              <w:rPr>
                <w:sz w:val="20"/>
                <w:szCs w:val="20"/>
                <w:color w:val="auto"/>
              </w:rPr>
            </w:pPr>
            <w:r>
              <w:rPr>
                <w:rFonts w:ascii="Arial" w:cs="Arial" w:eastAsia="Arial" w:hAnsi="Arial"/>
                <w:sz w:val="11"/>
                <w:szCs w:val="11"/>
                <w:color w:val="auto"/>
              </w:rPr>
              <w:t>129,375</w:t>
            </w: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129</w:t>
            </w:r>
          </w:p>
        </w:tc>
        <w:tc>
          <w:tcPr>
            <w:tcW w:w="120" w:type="dxa"/>
            <w:vAlign w:val="bottom"/>
          </w:tcPr>
          <w:p>
            <w:pPr>
              <w:spacing w:after="0"/>
              <w:rPr>
                <w:sz w:val="11"/>
                <w:szCs w:val="11"/>
                <w:color w:val="auto"/>
              </w:rPr>
            </w:pPr>
          </w:p>
        </w:tc>
        <w:tc>
          <w:tcPr>
            <w:tcW w:w="800" w:type="dxa"/>
            <w:vAlign w:val="bottom"/>
          </w:tcPr>
          <w:p>
            <w:pPr>
              <w:ind w:left="180"/>
              <w:spacing w:after="0"/>
              <w:rPr>
                <w:sz w:val="20"/>
                <w:szCs w:val="20"/>
                <w:color w:val="auto"/>
              </w:rPr>
            </w:pPr>
            <w:r>
              <w:rPr>
                <w:rFonts w:ascii="Arial" w:cs="Arial" w:eastAsia="Arial" w:hAnsi="Arial"/>
                <w:sz w:val="11"/>
                <w:szCs w:val="11"/>
                <w:color w:val="auto"/>
              </w:rPr>
              <w:t>(1,150,000)</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(1,150)</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1,021</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Common stock issued</w:t>
            </w: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color w:val="auto"/>
              </w:rPr>
              <w:t>at $2.25 per share,</w:t>
            </w: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shd w:val="clear" w:color="auto" w:fill="CCFFCC"/>
          </w:tcPr>
          <w:p>
            <w:pPr>
              <w:ind w:left="120"/>
              <w:spacing w:after="0"/>
              <w:rPr>
                <w:sz w:val="20"/>
                <w:szCs w:val="20"/>
                <w:color w:val="auto"/>
              </w:rPr>
            </w:pPr>
            <w:r>
              <w:rPr>
                <w:rFonts w:ascii="Arial" w:cs="Arial" w:eastAsia="Arial" w:hAnsi="Arial"/>
                <w:sz w:val="11"/>
                <w:szCs w:val="11"/>
                <w:color w:val="auto"/>
              </w:rPr>
              <w:t>net of expenses</w:t>
            </w:r>
          </w:p>
        </w:tc>
        <w:tc>
          <w:tcPr>
            <w:tcW w:w="80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tcBorders>
              <w:right w:val="single" w:sz="8" w:color="CCFFCC"/>
            </w:tcBorders>
            <w:shd w:val="clear" w:color="auto" w:fill="CCFFCC"/>
          </w:tcPr>
          <w:p>
            <w:pPr>
              <w:jc w:val="right"/>
              <w:ind w:right="126"/>
              <w:spacing w:after="0"/>
              <w:rPr>
                <w:sz w:val="20"/>
                <w:szCs w:val="20"/>
                <w:color w:val="auto"/>
              </w:rPr>
            </w:pPr>
            <w:r>
              <w:rPr>
                <w:rFonts w:ascii="Arial" w:cs="Arial" w:eastAsia="Arial" w:hAnsi="Arial"/>
                <w:sz w:val="11"/>
                <w:szCs w:val="11"/>
                <w:color w:val="auto"/>
              </w:rPr>
              <w:t>4,929,523</w:t>
            </w: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4,930</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9,650,886</w:t>
            </w: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rPr>
              <w:t>9,655,816</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00" w:type="dxa"/>
            <w:vAlign w:val="bottom"/>
          </w:tcPr>
          <w:p>
            <w:pPr>
              <w:spacing w:after="0" w:line="112" w:lineRule="exact"/>
              <w:rPr>
                <w:sz w:val="20"/>
                <w:szCs w:val="20"/>
                <w:color w:val="auto"/>
              </w:rPr>
            </w:pPr>
            <w:r>
              <w:rPr>
                <w:rFonts w:ascii="Arial" w:cs="Arial" w:eastAsia="Arial" w:hAnsi="Arial"/>
                <w:sz w:val="11"/>
                <w:szCs w:val="11"/>
                <w:color w:val="auto"/>
              </w:rPr>
              <w:t>Compensation in</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respect of restricted</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stock preferred</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stock</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granted to</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tcPr>
          <w:p>
            <w:pPr>
              <w:ind w:left="120"/>
              <w:spacing w:after="0"/>
              <w:rPr>
                <w:sz w:val="20"/>
                <w:szCs w:val="20"/>
                <w:color w:val="auto"/>
              </w:rPr>
            </w:pPr>
            <w:r>
              <w:rPr>
                <w:rFonts w:ascii="Arial" w:cs="Arial" w:eastAsia="Arial" w:hAnsi="Arial"/>
                <w:sz w:val="11"/>
                <w:szCs w:val="11"/>
                <w:color w:val="auto"/>
              </w:rPr>
              <w:t>employees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86,494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86,494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FFCC"/>
          </w:tcPr>
          <w:p>
            <w:pPr>
              <w:spacing w:after="0"/>
              <w:rPr>
                <w:sz w:val="20"/>
                <w:szCs w:val="20"/>
                <w:color w:val="auto"/>
              </w:rPr>
            </w:pPr>
            <w:r>
              <w:rPr>
                <w:rFonts w:ascii="Arial" w:cs="Arial" w:eastAsia="Arial" w:hAnsi="Arial"/>
                <w:sz w:val="11"/>
                <w:szCs w:val="11"/>
                <w:color w:val="auto"/>
              </w:rPr>
              <w:t>Net loss</w:t>
            </w:r>
          </w:p>
        </w:tc>
        <w:tc>
          <w:tcPr>
            <w:tcW w:w="8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(853,074)</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tcBorders>
              <w:right w:val="single" w:sz="8" w:color="CCFFCC"/>
            </w:tcBorders>
            <w:shd w:val="clear" w:color="auto" w:fill="CCFFCC"/>
          </w:tcPr>
          <w:p>
            <w:pPr>
              <w:jc w:val="right"/>
              <w:ind w:right="46"/>
              <w:spacing w:after="0"/>
              <w:rPr>
                <w:sz w:val="20"/>
                <w:szCs w:val="20"/>
                <w:color w:val="auto"/>
              </w:rPr>
            </w:pPr>
            <w:r>
              <w:rPr>
                <w:rFonts w:ascii="Arial" w:cs="Arial" w:eastAsia="Arial" w:hAnsi="Arial"/>
                <w:sz w:val="11"/>
                <w:szCs w:val="11"/>
                <w:color w:val="auto"/>
              </w:rPr>
              <w:t>(35,997)</w:t>
            </w:r>
          </w:p>
        </w:tc>
        <w:tc>
          <w:tcPr>
            <w:tcW w:w="12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(889,071)</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600" w:type="dxa"/>
            <w:vAlign w:val="bottom"/>
          </w:tcPr>
          <w:p>
            <w:pPr>
              <w:spacing w:after="0" w:line="92" w:lineRule="exact"/>
              <w:rPr>
                <w:sz w:val="20"/>
                <w:szCs w:val="20"/>
                <w:color w:val="auto"/>
              </w:rPr>
            </w:pPr>
            <w:r>
              <w:rPr>
                <w:rFonts w:ascii="Arial" w:cs="Arial" w:eastAsia="Arial" w:hAnsi="Arial"/>
                <w:sz w:val="10"/>
                <w:szCs w:val="10"/>
                <w:color w:val="auto"/>
              </w:rPr>
              <w:t>Balance at December</w:t>
            </w:r>
          </w:p>
        </w:tc>
        <w:tc>
          <w:tcPr>
            <w:tcW w:w="8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620" w:type="dxa"/>
            <w:vAlign w:val="bottom"/>
            <w:gridSpan w:val="2"/>
          </w:tcPr>
          <w:p>
            <w:pPr>
              <w:ind w:left="140"/>
              <w:spacing w:after="0"/>
              <w:rPr>
                <w:sz w:val="20"/>
                <w:szCs w:val="20"/>
                <w:color w:val="auto"/>
              </w:rPr>
            </w:pPr>
            <w:r>
              <w:rPr>
                <w:rFonts w:ascii="Arial" w:cs="Arial" w:eastAsia="Arial" w:hAnsi="Arial"/>
                <w:sz w:val="11"/>
                <w:szCs w:val="11"/>
                <w:color w:val="auto"/>
              </w:rPr>
              <w:t>31, 2011</w:t>
            </w:r>
          </w:p>
        </w:tc>
        <w:tc>
          <w:tcPr>
            <w:tcW w:w="800" w:type="dxa"/>
            <w:vAlign w:val="bottom"/>
          </w:tcPr>
          <w:p>
            <w:pPr>
              <w:jc w:val="right"/>
              <w:ind w:right="126"/>
              <w:spacing w:after="0"/>
              <w:rPr>
                <w:sz w:val="20"/>
                <w:szCs w:val="20"/>
                <w:color w:val="auto"/>
              </w:rPr>
            </w:pPr>
            <w:r>
              <w:rPr>
                <w:rFonts w:ascii="Arial" w:cs="Arial" w:eastAsia="Arial" w:hAnsi="Arial"/>
                <w:sz w:val="11"/>
                <w:szCs w:val="11"/>
                <w:color w:val="auto"/>
              </w:rPr>
              <w:t>413,388</w:t>
            </w: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413</w:t>
            </w:r>
          </w:p>
        </w:tc>
        <w:tc>
          <w:tcPr>
            <w:tcW w:w="120" w:type="dxa"/>
            <w:vAlign w:val="bottom"/>
          </w:tcPr>
          <w:p>
            <w:pPr>
              <w:spacing w:after="0"/>
              <w:rPr>
                <w:sz w:val="11"/>
                <w:szCs w:val="11"/>
                <w:color w:val="auto"/>
              </w:rPr>
            </w:pPr>
          </w:p>
        </w:tc>
        <w:tc>
          <w:tcPr>
            <w:tcW w:w="800" w:type="dxa"/>
            <w:vAlign w:val="bottom"/>
          </w:tcPr>
          <w:p>
            <w:pPr>
              <w:jc w:val="right"/>
              <w:ind w:right="126"/>
              <w:spacing w:after="0"/>
              <w:rPr>
                <w:sz w:val="20"/>
                <w:szCs w:val="20"/>
                <w:color w:val="auto"/>
              </w:rPr>
            </w:pPr>
            <w:r>
              <w:rPr>
                <w:rFonts w:ascii="Arial" w:cs="Arial" w:eastAsia="Arial" w:hAnsi="Arial"/>
                <w:sz w:val="11"/>
                <w:szCs w:val="11"/>
                <w:color w:val="auto"/>
              </w:rPr>
              <w:t>5,061,399</w:t>
            </w:r>
          </w:p>
        </w:tc>
        <w:tc>
          <w:tcPr>
            <w:tcW w:w="12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5,061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10,472,115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(853,074)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06"/>
              <w:spacing w:after="0"/>
              <w:rPr>
                <w:sz w:val="20"/>
                <w:szCs w:val="20"/>
                <w:color w:val="auto"/>
              </w:rPr>
            </w:pPr>
            <w:r>
              <w:rPr>
                <w:rFonts w:ascii="Arial" w:cs="Arial" w:eastAsia="Arial" w:hAnsi="Arial"/>
                <w:sz w:val="11"/>
                <w:szCs w:val="11"/>
                <w:color w:val="auto"/>
              </w:rPr>
              <w:t>11,681</w:t>
            </w:r>
          </w:p>
        </w:tc>
        <w:tc>
          <w:tcPr>
            <w:tcW w:w="12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9,636,202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8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600" w:type="dxa"/>
            <w:vAlign w:val="bottom"/>
          </w:tcPr>
          <w:p>
            <w:pPr>
              <w:spacing w:after="0" w:line="112" w:lineRule="exact"/>
              <w:rPr>
                <w:sz w:val="20"/>
                <w:szCs w:val="20"/>
                <w:color w:val="auto"/>
              </w:rPr>
            </w:pPr>
            <w:r>
              <w:rPr>
                <w:rFonts w:ascii="Arial" w:cs="Arial" w:eastAsia="Arial" w:hAnsi="Arial"/>
                <w:sz w:val="11"/>
                <w:szCs w:val="11"/>
                <w:color w:val="auto"/>
              </w:rPr>
              <w:t>Compensation in</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respect of restricted</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preferred stock</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granted to</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tcPr>
          <w:p>
            <w:pPr>
              <w:ind w:left="120"/>
              <w:spacing w:after="0"/>
              <w:rPr>
                <w:sz w:val="20"/>
                <w:szCs w:val="20"/>
                <w:color w:val="auto"/>
              </w:rPr>
            </w:pPr>
            <w:r>
              <w:rPr>
                <w:rFonts w:ascii="Arial" w:cs="Arial" w:eastAsia="Arial" w:hAnsi="Arial"/>
                <w:sz w:val="11"/>
                <w:szCs w:val="11"/>
                <w:color w:val="auto"/>
              </w:rPr>
              <w:t>employees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188,509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188,509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Preferred stock issued</w:t>
            </w: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color w:val="auto"/>
              </w:rPr>
              <w:t>at $20.00 per share,</w:t>
            </w: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shd w:val="clear" w:color="auto" w:fill="CCFFCC"/>
          </w:tcPr>
          <w:p>
            <w:pPr>
              <w:ind w:left="120"/>
              <w:spacing w:after="0"/>
              <w:rPr>
                <w:sz w:val="20"/>
                <w:szCs w:val="20"/>
                <w:color w:val="auto"/>
              </w:rPr>
            </w:pPr>
            <w:r>
              <w:rPr>
                <w:rFonts w:ascii="Arial" w:cs="Arial" w:eastAsia="Arial" w:hAnsi="Arial"/>
                <w:sz w:val="11"/>
                <w:szCs w:val="11"/>
                <w:color w:val="auto"/>
              </w:rPr>
              <w:t>net of expenses</w:t>
            </w:r>
          </w:p>
        </w:tc>
        <w:tc>
          <w:tcPr>
            <w:tcW w:w="800" w:type="dxa"/>
            <w:vAlign w:val="bottom"/>
            <w:tcBorders>
              <w:right w:val="single" w:sz="8" w:color="CCFFCC"/>
            </w:tcBorders>
            <w:shd w:val="clear" w:color="auto" w:fill="CCFFCC"/>
          </w:tcPr>
          <w:p>
            <w:pPr>
              <w:jc w:val="right"/>
              <w:ind w:right="126"/>
              <w:spacing w:after="0"/>
              <w:rPr>
                <w:sz w:val="20"/>
                <w:szCs w:val="20"/>
                <w:color w:val="auto"/>
              </w:rPr>
            </w:pPr>
            <w:r>
              <w:rPr>
                <w:rFonts w:ascii="Arial" w:cs="Arial" w:eastAsia="Arial" w:hAnsi="Arial"/>
                <w:sz w:val="11"/>
                <w:szCs w:val="11"/>
                <w:color w:val="auto"/>
              </w:rPr>
              <w:t>695,428</w:t>
            </w: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rPr>
              <w:t>696</w:t>
            </w:r>
          </w:p>
        </w:tc>
        <w:tc>
          <w:tcPr>
            <w:tcW w:w="120" w:type="dxa"/>
            <w:vAlign w:val="bottom"/>
            <w:shd w:val="clear" w:color="auto" w:fill="CCFFCC"/>
          </w:tcPr>
          <w:p>
            <w:pPr>
              <w:spacing w:after="0"/>
              <w:rPr>
                <w:sz w:val="11"/>
                <w:szCs w:val="11"/>
                <w:color w:val="auto"/>
              </w:rPr>
            </w:pPr>
          </w:p>
        </w:tc>
        <w:tc>
          <w:tcPr>
            <w:tcW w:w="80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12,180,710</w:t>
            </w: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rPr>
              <w:t>12,181,406</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00" w:type="dxa"/>
            <w:vAlign w:val="bottom"/>
          </w:tcPr>
          <w:p>
            <w:pPr>
              <w:spacing w:after="0" w:line="112" w:lineRule="exact"/>
              <w:rPr>
                <w:sz w:val="20"/>
                <w:szCs w:val="20"/>
                <w:color w:val="auto"/>
              </w:rPr>
            </w:pPr>
            <w:r>
              <w:rPr>
                <w:rFonts w:ascii="Arial" w:cs="Arial" w:eastAsia="Arial" w:hAnsi="Arial"/>
                <w:sz w:val="11"/>
                <w:szCs w:val="11"/>
                <w:color w:val="auto"/>
              </w:rPr>
              <w:t>Shares issued in</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subsidiary to non-</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controlling interest</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in connection with</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tcPr>
          <w:p>
            <w:pPr>
              <w:ind w:left="120"/>
              <w:spacing w:after="0"/>
              <w:rPr>
                <w:sz w:val="20"/>
                <w:szCs w:val="20"/>
                <w:color w:val="auto"/>
              </w:rPr>
            </w:pPr>
            <w:r>
              <w:rPr>
                <w:rFonts w:ascii="Arial" w:cs="Arial" w:eastAsia="Arial" w:hAnsi="Arial"/>
                <w:sz w:val="11"/>
                <w:szCs w:val="11"/>
                <w:color w:val="auto"/>
              </w:rPr>
              <w:t>in-licensing agreement</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06"/>
              <w:spacing w:after="0"/>
              <w:rPr>
                <w:sz w:val="20"/>
                <w:szCs w:val="20"/>
                <w:color w:val="auto"/>
              </w:rPr>
            </w:pPr>
            <w:r>
              <w:rPr>
                <w:rFonts w:ascii="Arial" w:cs="Arial" w:eastAsia="Arial" w:hAnsi="Arial"/>
                <w:sz w:val="11"/>
                <w:szCs w:val="11"/>
                <w:color w:val="auto"/>
              </w:rPr>
              <w:t>16,578,000</w:t>
            </w:r>
          </w:p>
        </w:tc>
        <w:tc>
          <w:tcPr>
            <w:tcW w:w="12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16,578,000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Conversion of</w:t>
            </w: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color w:val="auto"/>
              </w:rPr>
              <w:t>preferred stock to</w:t>
            </w: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color w:val="auto"/>
              </w:rPr>
              <w:t>common stock in</w:t>
            </w: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color w:val="auto"/>
              </w:rPr>
              <w:t>conjunction with</w:t>
            </w: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shd w:val="clear" w:color="auto" w:fill="CCFFCC"/>
          </w:tcPr>
          <w:p>
            <w:pPr>
              <w:ind w:left="120"/>
              <w:spacing w:after="0"/>
              <w:rPr>
                <w:sz w:val="20"/>
                <w:szCs w:val="20"/>
                <w:color w:val="auto"/>
              </w:rPr>
            </w:pPr>
            <w:r>
              <w:rPr>
                <w:rFonts w:ascii="Arial" w:cs="Arial" w:eastAsia="Arial" w:hAnsi="Arial"/>
                <w:sz w:val="11"/>
                <w:szCs w:val="11"/>
                <w:color w:val="auto"/>
              </w:rPr>
              <w:t>reverse stock split</w:t>
            </w:r>
          </w:p>
        </w:tc>
        <w:tc>
          <w:tcPr>
            <w:tcW w:w="8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1"/>
                <w:szCs w:val="11"/>
                <w:color w:val="auto"/>
              </w:rPr>
              <w:t>(1,108,816)</w:t>
            </w:r>
          </w:p>
        </w:tc>
        <w:tc>
          <w:tcPr>
            <w:tcW w:w="1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(1,109)</w:t>
            </w:r>
          </w:p>
        </w:tc>
        <w:tc>
          <w:tcPr>
            <w:tcW w:w="800" w:type="dxa"/>
            <w:vAlign w:val="bottom"/>
            <w:tcBorders>
              <w:right w:val="single" w:sz="8" w:color="CCFFCC"/>
            </w:tcBorders>
            <w:shd w:val="clear" w:color="auto" w:fill="CCFFCC"/>
          </w:tcPr>
          <w:p>
            <w:pPr>
              <w:jc w:val="right"/>
              <w:ind w:right="126"/>
              <w:spacing w:after="0"/>
              <w:rPr>
                <w:sz w:val="20"/>
                <w:szCs w:val="20"/>
                <w:color w:val="auto"/>
              </w:rPr>
            </w:pPr>
            <w:r>
              <w:rPr>
                <w:rFonts w:ascii="Arial" w:cs="Arial" w:eastAsia="Arial" w:hAnsi="Arial"/>
                <w:sz w:val="11"/>
                <w:szCs w:val="11"/>
                <w:color w:val="auto"/>
              </w:rPr>
              <w:t>9,857,596</w:t>
            </w: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9,858</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(8,749)</w:t>
            </w: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00" w:type="dxa"/>
            <w:vAlign w:val="bottom"/>
          </w:tcPr>
          <w:p>
            <w:pPr>
              <w:spacing w:after="0" w:line="112" w:lineRule="exact"/>
              <w:rPr>
                <w:sz w:val="20"/>
                <w:szCs w:val="20"/>
                <w:color w:val="auto"/>
              </w:rPr>
            </w:pPr>
            <w:r>
              <w:rPr>
                <w:rFonts w:ascii="Arial" w:cs="Arial" w:eastAsia="Arial" w:hAnsi="Arial"/>
                <w:sz w:val="11"/>
                <w:szCs w:val="11"/>
                <w:color w:val="auto"/>
              </w:rPr>
              <w:t>Issuance of restricted</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tcPr>
          <w:p>
            <w:pPr>
              <w:ind w:left="120"/>
              <w:spacing w:after="0"/>
              <w:rPr>
                <w:sz w:val="20"/>
                <w:szCs w:val="20"/>
                <w:color w:val="auto"/>
              </w:rPr>
            </w:pPr>
            <w:r>
              <w:rPr>
                <w:rFonts w:ascii="Arial" w:cs="Arial" w:eastAsia="Arial" w:hAnsi="Arial"/>
                <w:sz w:val="11"/>
                <w:szCs w:val="11"/>
                <w:color w:val="auto"/>
              </w:rPr>
              <w:t>stock</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26"/>
              <w:spacing w:after="0"/>
              <w:rPr>
                <w:sz w:val="20"/>
                <w:szCs w:val="20"/>
                <w:color w:val="auto"/>
              </w:rPr>
            </w:pPr>
            <w:r>
              <w:rPr>
                <w:rFonts w:ascii="Arial" w:cs="Arial" w:eastAsia="Arial" w:hAnsi="Arial"/>
                <w:sz w:val="11"/>
                <w:szCs w:val="11"/>
                <w:color w:val="auto"/>
              </w:rPr>
              <w:t>5,901,743</w:t>
            </w:r>
          </w:p>
        </w:tc>
        <w:tc>
          <w:tcPr>
            <w:tcW w:w="12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5,902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(5,902)</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Compensation in</w:t>
            </w: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color w:val="auto"/>
              </w:rPr>
              <w:t>respect of restricted</w:t>
            </w: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color w:val="auto"/>
              </w:rPr>
              <w:t>common stock granted</w:t>
            </w: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color w:val="auto"/>
              </w:rPr>
              <w:t>to employees,</w:t>
            </w: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color w:val="auto"/>
              </w:rPr>
              <w:t>directors and</w:t>
            </w: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shd w:val="clear" w:color="auto" w:fill="CCFFCC"/>
          </w:tcPr>
          <w:p>
            <w:pPr>
              <w:ind w:left="120"/>
              <w:spacing w:after="0"/>
              <w:rPr>
                <w:sz w:val="20"/>
                <w:szCs w:val="20"/>
                <w:color w:val="auto"/>
              </w:rPr>
            </w:pPr>
            <w:r>
              <w:rPr>
                <w:rFonts w:ascii="Arial" w:cs="Arial" w:eastAsia="Arial" w:hAnsi="Arial"/>
                <w:sz w:val="11"/>
                <w:szCs w:val="11"/>
                <w:color w:val="auto"/>
              </w:rPr>
              <w:t>consultants</w:t>
            </w:r>
          </w:p>
        </w:tc>
        <w:tc>
          <w:tcPr>
            <w:tcW w:w="80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3,233,674</w:t>
            </w: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rPr>
              <w:t>3,233,674</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00" w:type="dxa"/>
            <w:vAlign w:val="bottom"/>
          </w:tcPr>
          <w:p>
            <w:pPr>
              <w:spacing w:after="0" w:line="112" w:lineRule="exact"/>
              <w:rPr>
                <w:sz w:val="20"/>
                <w:szCs w:val="20"/>
                <w:color w:val="auto"/>
              </w:rPr>
            </w:pPr>
            <w:r>
              <w:rPr>
                <w:rFonts w:ascii="Arial" w:cs="Arial" w:eastAsia="Arial" w:hAnsi="Arial"/>
                <w:sz w:val="11"/>
                <w:szCs w:val="11"/>
                <w:color w:val="auto"/>
              </w:rPr>
              <w:t>Non-controlling</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interest subsidiary</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shares exchanged</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for shares in</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120"/>
              <w:spacing w:after="0" w:line="122" w:lineRule="exact"/>
              <w:rPr>
                <w:sz w:val="20"/>
                <w:szCs w:val="20"/>
                <w:color w:val="auto"/>
              </w:rPr>
            </w:pPr>
            <w:r>
              <w:rPr>
                <w:rFonts w:ascii="Arial" w:cs="Arial" w:eastAsia="Arial" w:hAnsi="Arial"/>
                <w:sz w:val="11"/>
                <w:szCs w:val="11"/>
                <w:color w:val="auto"/>
              </w:rPr>
              <w:t>TG Therapeutics,</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tcPr>
          <w:p>
            <w:pPr>
              <w:ind w:left="120"/>
              <w:spacing w:after="0"/>
              <w:rPr>
                <w:sz w:val="20"/>
                <w:szCs w:val="20"/>
                <w:color w:val="auto"/>
              </w:rPr>
            </w:pPr>
            <w:r>
              <w:rPr>
                <w:rFonts w:ascii="Arial" w:cs="Arial" w:eastAsia="Arial" w:hAnsi="Arial"/>
                <w:sz w:val="11"/>
                <w:szCs w:val="11"/>
                <w:color w:val="auto"/>
              </w:rPr>
              <w:t>Inc.</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26"/>
              <w:spacing w:after="0"/>
              <w:rPr>
                <w:sz w:val="20"/>
                <w:szCs w:val="20"/>
                <w:color w:val="auto"/>
              </w:rPr>
            </w:pPr>
            <w:r>
              <w:rPr>
                <w:rFonts w:ascii="Arial" w:cs="Arial" w:eastAsia="Arial" w:hAnsi="Arial"/>
                <w:sz w:val="11"/>
                <w:szCs w:val="11"/>
                <w:color w:val="auto"/>
              </w:rPr>
              <w:t>5,000,000</w:t>
            </w:r>
          </w:p>
        </w:tc>
        <w:tc>
          <w:tcPr>
            <w:tcW w:w="12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8,474,448</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(8,479,448)</w:t>
            </w:r>
          </w:p>
        </w:tc>
        <w:tc>
          <w:tcPr>
            <w:tcW w:w="12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Surrender of common</w:t>
            </w: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color w:val="auto"/>
              </w:rPr>
              <w:t>stock for tax</w:t>
            </w: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shd w:val="clear" w:color="auto" w:fill="CCFFCC"/>
          </w:tcPr>
          <w:p>
            <w:pPr>
              <w:ind w:left="120"/>
              <w:spacing w:after="0"/>
              <w:rPr>
                <w:sz w:val="20"/>
                <w:szCs w:val="20"/>
                <w:color w:val="auto"/>
              </w:rPr>
            </w:pPr>
            <w:r>
              <w:rPr>
                <w:rFonts w:ascii="Arial" w:cs="Arial" w:eastAsia="Arial" w:hAnsi="Arial"/>
                <w:sz w:val="11"/>
                <w:szCs w:val="11"/>
                <w:color w:val="auto"/>
              </w:rPr>
              <w:t>withholding</w:t>
            </w:r>
          </w:p>
        </w:tc>
        <w:tc>
          <w:tcPr>
            <w:tcW w:w="80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13,526</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jc w:val="right"/>
              <w:ind w:right="53"/>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(84,538)</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(84,538)</w:t>
            </w: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20"/>
                <w:szCs w:val="20"/>
                <w:color w:val="auto"/>
              </w:rPr>
            </w:pPr>
            <w:r>
              <w:rPr>
                <w:rFonts w:ascii="Arial" w:cs="Arial" w:eastAsia="Arial" w:hAnsi="Arial"/>
                <w:sz w:val="11"/>
                <w:szCs w:val="11"/>
                <w:color w:val="auto"/>
              </w:rPr>
              <w:t>Net loss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(18,072,719)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(8,110,233)</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(26,182,952)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vMerge w:val="restart"/>
            <w:shd w:val="clear" w:color="auto" w:fill="CCFFCC"/>
          </w:tcPr>
          <w:p>
            <w:pPr>
              <w:spacing w:after="0" w:line="112" w:lineRule="exact"/>
              <w:rPr>
                <w:sz w:val="20"/>
                <w:szCs w:val="20"/>
                <w:color w:val="auto"/>
              </w:rPr>
            </w:pPr>
            <w:r>
              <w:rPr>
                <w:rFonts w:ascii="Arial" w:cs="Arial" w:eastAsia="Arial" w:hAnsi="Arial"/>
                <w:sz w:val="11"/>
                <w:szCs w:val="11"/>
                <w:color w:val="auto"/>
              </w:rPr>
              <w:t>Balance at December</w:t>
            </w:r>
          </w:p>
        </w:tc>
        <w:tc>
          <w:tcPr>
            <w:tcW w:w="80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tcPr>
          <w:p>
            <w:pPr>
              <w:spacing w:after="0"/>
              <w:rPr>
                <w:sz w:val="7"/>
                <w:szCs w:val="7"/>
                <w:color w:val="auto"/>
              </w:rPr>
            </w:pPr>
          </w:p>
        </w:tc>
        <w:tc>
          <w:tcPr>
            <w:tcW w:w="1600" w:type="dxa"/>
            <w:vAlign w:val="bottom"/>
            <w:vMerge w:val="continue"/>
            <w:shd w:val="clear" w:color="auto" w:fill="CCFFCC"/>
          </w:tcPr>
          <w:p>
            <w:pPr>
              <w:spacing w:after="0"/>
              <w:rPr>
                <w:sz w:val="7"/>
                <w:szCs w:val="7"/>
                <w:color w:val="auto"/>
              </w:rPr>
            </w:pPr>
          </w:p>
        </w:tc>
        <w:tc>
          <w:tcPr>
            <w:tcW w:w="800" w:type="dxa"/>
            <w:vAlign w:val="bottom"/>
            <w:tcBorders>
              <w:right w:val="single" w:sz="8" w:color="CCFFCC"/>
            </w:tcBorders>
            <w:vMerge w:val="restart"/>
            <w:shd w:val="clear" w:color="auto" w:fill="CCFFCC"/>
          </w:tcPr>
          <w:p>
            <w:pPr>
              <w:jc w:val="right"/>
              <w:ind w:right="126"/>
              <w:spacing w:after="0"/>
              <w:rPr>
                <w:sz w:val="20"/>
                <w:szCs w:val="20"/>
                <w:color w:val="auto"/>
              </w:rPr>
            </w:pPr>
            <w:r>
              <w:rPr>
                <w:rFonts w:ascii="Arial" w:cs="Arial" w:eastAsia="Arial" w:hAnsi="Arial"/>
                <w:sz w:val="11"/>
                <w:szCs w:val="11"/>
                <w:color w:val="auto"/>
              </w:rPr>
              <w:t>—</w:t>
            </w:r>
          </w:p>
        </w:tc>
        <w:tc>
          <w:tcPr>
            <w:tcW w:w="120" w:type="dxa"/>
            <w:vAlign w:val="bottom"/>
            <w:vMerge w:val="restart"/>
            <w:shd w:val="clear" w:color="auto" w:fill="CCFFCC"/>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CFFC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vMerge w:val="restart"/>
            <w:shd w:val="clear" w:color="auto" w:fill="CCFFCC"/>
          </w:tcPr>
          <w:p>
            <w:pPr>
              <w:spacing w:after="0"/>
              <w:rPr>
                <w:sz w:val="7"/>
                <w:szCs w:val="7"/>
                <w:color w:val="auto"/>
              </w:rPr>
            </w:pPr>
          </w:p>
        </w:tc>
        <w:tc>
          <w:tcPr>
            <w:tcW w:w="800" w:type="dxa"/>
            <w:vAlign w:val="bottom"/>
            <w:tcBorders>
              <w:right w:val="single" w:sz="8" w:color="CCFFCC"/>
            </w:tcBorders>
            <w:vMerge w:val="restart"/>
            <w:shd w:val="clear" w:color="auto" w:fill="CCFFCC"/>
          </w:tcPr>
          <w:p>
            <w:pPr>
              <w:jc w:val="right"/>
              <w:ind w:right="126"/>
              <w:spacing w:after="0"/>
              <w:rPr>
                <w:sz w:val="20"/>
                <w:szCs w:val="20"/>
                <w:color w:val="auto"/>
              </w:rPr>
            </w:pPr>
            <w:r>
              <w:rPr>
                <w:rFonts w:ascii="Arial" w:cs="Arial" w:eastAsia="Arial" w:hAnsi="Arial"/>
                <w:sz w:val="11"/>
                <w:szCs w:val="11"/>
                <w:color w:val="auto"/>
              </w:rPr>
              <w:t>25,820,738</w:t>
            </w:r>
          </w:p>
        </w:tc>
        <w:tc>
          <w:tcPr>
            <w:tcW w:w="120" w:type="dxa"/>
            <w:vAlign w:val="bottom"/>
            <w:vMerge w:val="restart"/>
            <w:shd w:val="clear" w:color="auto" w:fill="CCFFCC"/>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CFFCC"/>
          </w:tcPr>
          <w:p>
            <w:pPr>
              <w:jc w:val="right"/>
              <w:ind w:right="6"/>
              <w:spacing w:after="0"/>
              <w:rPr>
                <w:sz w:val="20"/>
                <w:szCs w:val="20"/>
                <w:color w:val="auto"/>
              </w:rPr>
            </w:pPr>
            <w:r>
              <w:rPr>
                <w:rFonts w:ascii="Arial" w:cs="Arial" w:eastAsia="Arial" w:hAnsi="Arial"/>
                <w:sz w:val="11"/>
                <w:szCs w:val="11"/>
                <w:color w:val="auto"/>
              </w:rPr>
              <w:t>25,821</w:t>
            </w:r>
          </w:p>
        </w:tc>
        <w:tc>
          <w:tcPr>
            <w:tcW w:w="120" w:type="dxa"/>
            <w:vAlign w:val="bottom"/>
            <w:shd w:val="clear" w:color="auto" w:fill="CCFFCC"/>
          </w:tcPr>
          <w:p>
            <w:pPr>
              <w:spacing w:after="0"/>
              <w:rPr>
                <w:sz w:val="7"/>
                <w:szCs w:val="7"/>
                <w:color w:val="auto"/>
              </w:rPr>
            </w:pPr>
          </w:p>
        </w:tc>
        <w:tc>
          <w:tcPr>
            <w:tcW w:w="100" w:type="dxa"/>
            <w:vAlign w:val="bottom"/>
            <w:vMerge w:val="restart"/>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vMerge w:val="restart"/>
            <w:shd w:val="clear" w:color="auto" w:fill="CCFFCC"/>
          </w:tcPr>
          <w:p>
            <w:pPr>
              <w:jc w:val="right"/>
              <w:ind w:right="26"/>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FFCC"/>
          </w:tcPr>
          <w:p>
            <w:pPr>
              <w:spacing w:after="0"/>
              <w:rPr>
                <w:sz w:val="7"/>
                <w:szCs w:val="7"/>
                <w:color w:val="auto"/>
              </w:rPr>
            </w:pPr>
          </w:p>
        </w:tc>
        <w:tc>
          <w:tcPr>
            <w:tcW w:w="100" w:type="dxa"/>
            <w:vAlign w:val="bottom"/>
            <w:vMerge w:val="restart"/>
            <w:shd w:val="clear" w:color="auto" w:fill="CCFFCC"/>
          </w:tcPr>
          <w:p>
            <w:pPr>
              <w:jc w:val="right"/>
              <w:ind w:right="33"/>
              <w:spacing w:after="0"/>
              <w:rPr>
                <w:sz w:val="20"/>
                <w:szCs w:val="20"/>
                <w:color w:val="auto"/>
              </w:rPr>
            </w:pPr>
            <w:r>
              <w:rPr>
                <w:rFonts w:ascii="Arial" w:cs="Arial" w:eastAsia="Arial" w:hAnsi="Arial"/>
                <w:sz w:val="5"/>
                <w:szCs w:val="5"/>
                <w:color w:val="auto"/>
                <w:w w:val="70"/>
              </w:rPr>
              <w:t>$</w:t>
            </w:r>
          </w:p>
        </w:tc>
        <w:tc>
          <w:tcPr>
            <w:tcW w:w="700" w:type="dxa"/>
            <w:vAlign w:val="bottom"/>
            <w:vMerge w:val="restart"/>
            <w:shd w:val="clear" w:color="auto" w:fill="CCFFCC"/>
          </w:tcPr>
          <w:p>
            <w:pPr>
              <w:jc w:val="right"/>
              <w:ind w:right="6"/>
              <w:spacing w:after="0"/>
              <w:rPr>
                <w:sz w:val="20"/>
                <w:szCs w:val="20"/>
                <w:color w:val="auto"/>
              </w:rPr>
            </w:pPr>
            <w:r>
              <w:rPr>
                <w:rFonts w:ascii="Arial" w:cs="Arial" w:eastAsia="Arial" w:hAnsi="Arial"/>
                <w:sz w:val="11"/>
                <w:szCs w:val="11"/>
                <w:color w:val="auto"/>
              </w:rPr>
              <w:t>34,534,805</w:t>
            </w:r>
          </w:p>
        </w:tc>
        <w:tc>
          <w:tcPr>
            <w:tcW w:w="120" w:type="dxa"/>
            <w:vAlign w:val="bottom"/>
            <w:shd w:val="clear" w:color="auto" w:fill="CCFFCC"/>
          </w:tcPr>
          <w:p>
            <w:pPr>
              <w:spacing w:after="0"/>
              <w:rPr>
                <w:sz w:val="7"/>
                <w:szCs w:val="7"/>
                <w:color w:val="auto"/>
              </w:rPr>
            </w:pPr>
          </w:p>
        </w:tc>
        <w:tc>
          <w:tcPr>
            <w:tcW w:w="660" w:type="dxa"/>
            <w:vAlign w:val="bottom"/>
            <w:vMerge w:val="restart"/>
            <w:shd w:val="clear" w:color="auto" w:fill="CCFFCC"/>
          </w:tcPr>
          <w:p>
            <w:pPr>
              <w:jc w:val="right"/>
              <w:ind w:right="6"/>
              <w:spacing w:after="0"/>
              <w:rPr>
                <w:sz w:val="20"/>
                <w:szCs w:val="20"/>
                <w:color w:val="auto"/>
              </w:rPr>
            </w:pPr>
            <w:r>
              <w:rPr>
                <w:rFonts w:ascii="Arial" w:cs="Arial" w:eastAsia="Arial" w:hAnsi="Arial"/>
                <w:sz w:val="11"/>
                <w:szCs w:val="11"/>
                <w:color w:val="auto"/>
              </w:rPr>
              <w:t>13,526</w:t>
            </w:r>
          </w:p>
        </w:tc>
        <w:tc>
          <w:tcPr>
            <w:tcW w:w="120" w:type="dxa"/>
            <w:vAlign w:val="bottom"/>
            <w:shd w:val="clear" w:color="auto" w:fill="CCFFCC"/>
          </w:tcPr>
          <w:p>
            <w:pPr>
              <w:spacing w:after="0"/>
              <w:rPr>
                <w:sz w:val="7"/>
                <w:szCs w:val="7"/>
                <w:color w:val="auto"/>
              </w:rPr>
            </w:pPr>
          </w:p>
        </w:tc>
        <w:tc>
          <w:tcPr>
            <w:tcW w:w="120" w:type="dxa"/>
            <w:vAlign w:val="bottom"/>
            <w:vMerge w:val="restart"/>
            <w:shd w:val="clear" w:color="auto" w:fill="CCFFCC"/>
          </w:tcPr>
          <w:p>
            <w:pPr>
              <w:jc w:val="right"/>
              <w:ind w:right="53"/>
              <w:spacing w:after="0"/>
              <w:rPr>
                <w:sz w:val="20"/>
                <w:szCs w:val="20"/>
                <w:color w:val="auto"/>
              </w:rPr>
            </w:pPr>
            <w:r>
              <w:rPr>
                <w:rFonts w:ascii="Arial" w:cs="Arial" w:eastAsia="Arial" w:hAnsi="Arial"/>
                <w:sz w:val="5"/>
                <w:szCs w:val="5"/>
                <w:color w:val="auto"/>
                <w:w w:val="70"/>
              </w:rPr>
              <w:t>$</w:t>
            </w:r>
          </w:p>
        </w:tc>
        <w:tc>
          <w:tcPr>
            <w:tcW w:w="660" w:type="dxa"/>
            <w:vAlign w:val="bottom"/>
            <w:vMerge w:val="restart"/>
            <w:shd w:val="clear" w:color="auto" w:fill="CCFFCC"/>
          </w:tcPr>
          <w:p>
            <w:pPr>
              <w:jc w:val="right"/>
              <w:spacing w:after="0"/>
              <w:rPr>
                <w:sz w:val="20"/>
                <w:szCs w:val="20"/>
                <w:color w:val="auto"/>
              </w:rPr>
            </w:pPr>
            <w:r>
              <w:rPr>
                <w:rFonts w:ascii="Arial" w:cs="Arial" w:eastAsia="Arial" w:hAnsi="Arial"/>
                <w:sz w:val="11"/>
                <w:szCs w:val="11"/>
                <w:color w:val="auto"/>
              </w:rPr>
              <w:t>(84,538)</w:t>
            </w:r>
          </w:p>
        </w:tc>
        <w:tc>
          <w:tcPr>
            <w:tcW w:w="100" w:type="dxa"/>
            <w:vAlign w:val="bottom"/>
            <w:shd w:val="clear" w:color="auto" w:fill="CCFFCC"/>
          </w:tcPr>
          <w:p>
            <w:pPr>
              <w:spacing w:after="0"/>
              <w:rPr>
                <w:sz w:val="7"/>
                <w:szCs w:val="7"/>
                <w:color w:val="auto"/>
              </w:rPr>
            </w:pPr>
          </w:p>
        </w:tc>
        <w:tc>
          <w:tcPr>
            <w:tcW w:w="80" w:type="dxa"/>
            <w:vAlign w:val="bottom"/>
            <w:vMerge w:val="restart"/>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CFFCC"/>
          </w:tcPr>
          <w:p>
            <w:pPr>
              <w:jc w:val="right"/>
              <w:spacing w:after="0"/>
              <w:rPr>
                <w:sz w:val="20"/>
                <w:szCs w:val="20"/>
                <w:color w:val="auto"/>
              </w:rPr>
            </w:pPr>
            <w:r>
              <w:rPr>
                <w:rFonts w:ascii="Arial" w:cs="Arial" w:eastAsia="Arial" w:hAnsi="Arial"/>
                <w:sz w:val="11"/>
                <w:szCs w:val="11"/>
                <w:color w:val="auto"/>
              </w:rPr>
              <w:t>(18,925,793)</w:t>
            </w:r>
          </w:p>
        </w:tc>
        <w:tc>
          <w:tcPr>
            <w:tcW w:w="200" w:type="dxa"/>
            <w:vAlign w:val="bottom"/>
            <w:gridSpan w:val="2"/>
            <w:vMerge w:val="restart"/>
            <w:shd w:val="clear" w:color="auto" w:fill="CCFFCC"/>
          </w:tcPr>
          <w:p>
            <w:pPr>
              <w:jc w:val="right"/>
              <w:ind w:right="20"/>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CCFFCC"/>
            </w:tcBorders>
            <w:vMerge w:val="restart"/>
            <w:shd w:val="clear" w:color="auto" w:fill="CCFFCC"/>
          </w:tcPr>
          <w:p>
            <w:pPr>
              <w:jc w:val="right"/>
              <w:ind w:right="106"/>
              <w:spacing w:after="0"/>
              <w:rPr>
                <w:sz w:val="20"/>
                <w:szCs w:val="20"/>
                <w:color w:val="auto"/>
              </w:rPr>
            </w:pPr>
            <w:r>
              <w:rPr>
                <w:rFonts w:ascii="Arial" w:cs="Arial" w:eastAsia="Arial" w:hAnsi="Arial"/>
                <w:sz w:val="11"/>
                <w:szCs w:val="11"/>
                <w:color w:val="auto"/>
              </w:rPr>
              <w:t>—</w:t>
            </w:r>
          </w:p>
        </w:tc>
        <w:tc>
          <w:tcPr>
            <w:tcW w:w="120" w:type="dxa"/>
            <w:vAlign w:val="bottom"/>
            <w:vMerge w:val="restart"/>
            <w:shd w:val="clear" w:color="auto" w:fill="CCFFCC"/>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vMerge w:val="restart"/>
            <w:shd w:val="clear" w:color="auto" w:fill="CCFFCC"/>
          </w:tcPr>
          <w:p>
            <w:pPr>
              <w:jc w:val="right"/>
              <w:ind w:right="26"/>
              <w:spacing w:after="0"/>
              <w:rPr>
                <w:sz w:val="20"/>
                <w:szCs w:val="20"/>
                <w:color w:val="auto"/>
              </w:rPr>
            </w:pPr>
            <w:r>
              <w:rPr>
                <w:rFonts w:ascii="Arial" w:cs="Arial" w:eastAsia="Arial" w:hAnsi="Arial"/>
                <w:sz w:val="11"/>
                <w:szCs w:val="11"/>
                <w:color w:val="auto"/>
              </w:rPr>
              <w:t>15,550,301</w:t>
            </w:r>
          </w:p>
        </w:tc>
        <w:tc>
          <w:tcPr>
            <w:tcW w:w="100" w:type="dxa"/>
            <w:vAlign w:val="bottom"/>
            <w:shd w:val="clear" w:color="auto" w:fill="CCFFCC"/>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00" w:type="dxa"/>
            <w:vAlign w:val="bottom"/>
            <w:shd w:val="clear" w:color="auto" w:fill="CCFFCC"/>
          </w:tcPr>
          <w:p>
            <w:pPr>
              <w:ind w:left="120"/>
              <w:spacing w:after="0" w:line="118" w:lineRule="exact"/>
              <w:rPr>
                <w:sz w:val="20"/>
                <w:szCs w:val="20"/>
                <w:color w:val="auto"/>
              </w:rPr>
            </w:pPr>
            <w:r>
              <w:rPr>
                <w:rFonts w:ascii="Arial" w:cs="Arial" w:eastAsia="Arial" w:hAnsi="Arial"/>
                <w:sz w:val="11"/>
                <w:szCs w:val="11"/>
                <w:color w:val="auto"/>
              </w:rPr>
              <w:t>31, 2012</w:t>
            </w:r>
          </w:p>
        </w:tc>
        <w:tc>
          <w:tcPr>
            <w:tcW w:w="800" w:type="dxa"/>
            <w:vAlign w:val="bottom"/>
            <w:tcBorders>
              <w:right w:val="single" w:sz="8" w:color="CCFFCC"/>
            </w:tcBorders>
            <w:vMerge w:val="continue"/>
            <w:shd w:val="clear" w:color="auto" w:fill="CCFFCC"/>
          </w:tcPr>
          <w:p>
            <w:pPr>
              <w:spacing w:after="0"/>
              <w:rPr>
                <w:sz w:val="10"/>
                <w:szCs w:val="10"/>
                <w:color w:val="auto"/>
              </w:rPr>
            </w:pPr>
          </w:p>
        </w:tc>
        <w:tc>
          <w:tcPr>
            <w:tcW w:w="120" w:type="dxa"/>
            <w:vAlign w:val="bottom"/>
            <w:vMerge w:val="continue"/>
            <w:shd w:val="clear" w:color="auto" w:fill="CCFFCC"/>
          </w:tcPr>
          <w:p>
            <w:pPr>
              <w:spacing w:after="0"/>
              <w:rPr>
                <w:sz w:val="10"/>
                <w:szCs w:val="10"/>
                <w:color w:val="auto"/>
              </w:rPr>
            </w:pPr>
          </w:p>
        </w:tc>
        <w:tc>
          <w:tcPr>
            <w:tcW w:w="700" w:type="dxa"/>
            <w:vAlign w:val="bottom"/>
            <w:vMerge w:val="continue"/>
            <w:shd w:val="clear" w:color="auto" w:fill="CCFFCC"/>
          </w:tcPr>
          <w:p>
            <w:pPr>
              <w:spacing w:after="0"/>
              <w:rPr>
                <w:sz w:val="10"/>
                <w:szCs w:val="10"/>
                <w:color w:val="auto"/>
              </w:rPr>
            </w:pPr>
          </w:p>
        </w:tc>
        <w:tc>
          <w:tcPr>
            <w:tcW w:w="120" w:type="dxa"/>
            <w:vAlign w:val="bottom"/>
            <w:vMerge w:val="continue"/>
            <w:shd w:val="clear" w:color="auto" w:fill="CCFFCC"/>
          </w:tcPr>
          <w:p>
            <w:pPr>
              <w:spacing w:after="0"/>
              <w:rPr>
                <w:sz w:val="10"/>
                <w:szCs w:val="10"/>
                <w:color w:val="auto"/>
              </w:rPr>
            </w:pPr>
          </w:p>
        </w:tc>
        <w:tc>
          <w:tcPr>
            <w:tcW w:w="800" w:type="dxa"/>
            <w:vAlign w:val="bottom"/>
            <w:tcBorders>
              <w:right w:val="single" w:sz="8" w:color="CCFFCC"/>
            </w:tcBorders>
            <w:vMerge w:val="continue"/>
            <w:shd w:val="clear" w:color="auto" w:fill="CCFFCC"/>
          </w:tcPr>
          <w:p>
            <w:pPr>
              <w:spacing w:after="0"/>
              <w:rPr>
                <w:sz w:val="10"/>
                <w:szCs w:val="10"/>
                <w:color w:val="auto"/>
              </w:rPr>
            </w:pPr>
          </w:p>
        </w:tc>
        <w:tc>
          <w:tcPr>
            <w:tcW w:w="120" w:type="dxa"/>
            <w:vAlign w:val="bottom"/>
            <w:vMerge w:val="continue"/>
            <w:shd w:val="clear" w:color="auto" w:fill="CCFFCC"/>
          </w:tcPr>
          <w:p>
            <w:pPr>
              <w:spacing w:after="0"/>
              <w:rPr>
                <w:sz w:val="10"/>
                <w:szCs w:val="10"/>
                <w:color w:val="auto"/>
              </w:rPr>
            </w:pPr>
          </w:p>
        </w:tc>
        <w:tc>
          <w:tcPr>
            <w:tcW w:w="700" w:type="dxa"/>
            <w:vAlign w:val="bottom"/>
            <w:vMerge w:val="continue"/>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vMerge w:val="continue"/>
            <w:shd w:val="clear" w:color="auto" w:fill="CCFFCC"/>
          </w:tcPr>
          <w:p>
            <w:pPr>
              <w:spacing w:after="0"/>
              <w:rPr>
                <w:sz w:val="10"/>
                <w:szCs w:val="10"/>
                <w:color w:val="auto"/>
              </w:rPr>
            </w:pPr>
          </w:p>
        </w:tc>
        <w:tc>
          <w:tcPr>
            <w:tcW w:w="840" w:type="dxa"/>
            <w:vAlign w:val="bottom"/>
            <w:vMerge w:val="continue"/>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vMerge w:val="continue"/>
            <w:shd w:val="clear" w:color="auto" w:fill="CCFFCC"/>
          </w:tcPr>
          <w:p>
            <w:pPr>
              <w:spacing w:after="0"/>
              <w:rPr>
                <w:sz w:val="10"/>
                <w:szCs w:val="10"/>
                <w:color w:val="auto"/>
              </w:rPr>
            </w:pPr>
          </w:p>
        </w:tc>
        <w:tc>
          <w:tcPr>
            <w:tcW w:w="700" w:type="dxa"/>
            <w:vAlign w:val="bottom"/>
            <w:vMerge w:val="continue"/>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vMerge w:val="continue"/>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vMerge w:val="continue"/>
            <w:shd w:val="clear" w:color="auto" w:fill="CCFFCC"/>
          </w:tcPr>
          <w:p>
            <w:pPr>
              <w:spacing w:after="0"/>
              <w:rPr>
                <w:sz w:val="10"/>
                <w:szCs w:val="10"/>
                <w:color w:val="auto"/>
              </w:rPr>
            </w:pPr>
          </w:p>
        </w:tc>
        <w:tc>
          <w:tcPr>
            <w:tcW w:w="660" w:type="dxa"/>
            <w:vAlign w:val="bottom"/>
            <w:vMerge w:val="continue"/>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vMerge w:val="continue"/>
            <w:shd w:val="clear" w:color="auto" w:fill="CCFFCC"/>
          </w:tcPr>
          <w:p>
            <w:pPr>
              <w:spacing w:after="0"/>
              <w:rPr>
                <w:sz w:val="10"/>
                <w:szCs w:val="10"/>
                <w:color w:val="auto"/>
              </w:rPr>
            </w:pPr>
          </w:p>
        </w:tc>
        <w:tc>
          <w:tcPr>
            <w:tcW w:w="700" w:type="dxa"/>
            <w:vAlign w:val="bottom"/>
            <w:vMerge w:val="continue"/>
            <w:shd w:val="clear" w:color="auto" w:fill="CCFFCC"/>
          </w:tcPr>
          <w:p>
            <w:pPr>
              <w:spacing w:after="0"/>
              <w:rPr>
                <w:sz w:val="10"/>
                <w:szCs w:val="10"/>
                <w:color w:val="auto"/>
              </w:rPr>
            </w:pPr>
          </w:p>
        </w:tc>
        <w:tc>
          <w:tcPr>
            <w:tcW w:w="200" w:type="dxa"/>
            <w:vAlign w:val="bottom"/>
            <w:gridSpan w:val="2"/>
            <w:vMerge w:val="continue"/>
            <w:shd w:val="clear" w:color="auto" w:fill="CCFFCC"/>
          </w:tcPr>
          <w:p>
            <w:pPr>
              <w:spacing w:after="0"/>
              <w:rPr>
                <w:sz w:val="10"/>
                <w:szCs w:val="10"/>
                <w:color w:val="auto"/>
              </w:rPr>
            </w:pPr>
          </w:p>
        </w:tc>
        <w:tc>
          <w:tcPr>
            <w:tcW w:w="800" w:type="dxa"/>
            <w:vAlign w:val="bottom"/>
            <w:tcBorders>
              <w:right w:val="single" w:sz="8" w:color="CCFFCC"/>
            </w:tcBorders>
            <w:vMerge w:val="continue"/>
            <w:shd w:val="clear" w:color="auto" w:fill="CCFFCC"/>
          </w:tcPr>
          <w:p>
            <w:pPr>
              <w:spacing w:after="0"/>
              <w:rPr>
                <w:sz w:val="10"/>
                <w:szCs w:val="10"/>
                <w:color w:val="auto"/>
              </w:rPr>
            </w:pPr>
          </w:p>
        </w:tc>
        <w:tc>
          <w:tcPr>
            <w:tcW w:w="120" w:type="dxa"/>
            <w:vAlign w:val="bottom"/>
            <w:vMerge w:val="continue"/>
            <w:shd w:val="clear" w:color="auto" w:fill="CCFFCC"/>
          </w:tcPr>
          <w:p>
            <w:pPr>
              <w:spacing w:after="0"/>
              <w:rPr>
                <w:sz w:val="10"/>
                <w:szCs w:val="10"/>
                <w:color w:val="auto"/>
              </w:rPr>
            </w:pPr>
          </w:p>
        </w:tc>
        <w:tc>
          <w:tcPr>
            <w:tcW w:w="680" w:type="dxa"/>
            <w:vAlign w:val="bottom"/>
            <w:vMerge w:val="continue"/>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Equity for the Years Ended December 31, 2013, 2012 and 2011 and Cumulative Period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0" w:right="40" w:hanging="134"/>
        <w:spacing w:after="0" w:line="262" w:lineRule="auto"/>
        <w:rPr>
          <w:sz w:val="20"/>
          <w:szCs w:val="20"/>
          <w:color w:val="auto"/>
        </w:rPr>
      </w:pPr>
      <w:r>
        <w:rPr>
          <w:rFonts w:ascii="Arial" w:cs="Arial" w:eastAsia="Arial" w:hAnsi="Arial"/>
          <w:sz w:val="10"/>
          <w:szCs w:val="10"/>
          <w:color w:val="auto"/>
        </w:rPr>
        <w:t>Balance at December31, 2012</w:t>
      </w:r>
    </w:p>
    <w:p>
      <w:pPr>
        <w:ind w:left="140" w:right="120" w:hanging="134"/>
        <w:spacing w:after="0" w:line="281" w:lineRule="auto"/>
        <w:rPr>
          <w:sz w:val="20"/>
          <w:szCs w:val="20"/>
          <w:color w:val="auto"/>
        </w:rPr>
      </w:pPr>
      <w:r>
        <w:rPr>
          <w:rFonts w:ascii="Arial" w:cs="Arial" w:eastAsia="Arial" w:hAnsi="Arial"/>
          <w:sz w:val="9"/>
          <w:szCs w:val="9"/>
          <w:color w:val="auto"/>
        </w:rPr>
        <w:t>Issuance of common stock in connection with exercise of warrants</w:t>
      </w:r>
    </w:p>
    <w:p>
      <w:pPr>
        <w:spacing w:after="0" w:line="2" w:lineRule="exact"/>
        <w:rPr>
          <w:sz w:val="20"/>
          <w:szCs w:val="20"/>
          <w:color w:val="auto"/>
        </w:rPr>
      </w:pPr>
    </w:p>
    <w:p>
      <w:pPr>
        <w:ind w:left="140" w:hanging="134"/>
        <w:spacing w:after="0" w:line="253" w:lineRule="auto"/>
        <w:rPr>
          <w:sz w:val="20"/>
          <w:szCs w:val="20"/>
          <w:color w:val="auto"/>
        </w:rPr>
      </w:pPr>
      <w:r>
        <w:rPr>
          <w:rFonts w:ascii="Arial" w:cs="Arial" w:eastAsia="Arial" w:hAnsi="Arial"/>
          <w:sz w:val="10"/>
          <w:szCs w:val="10"/>
          <w:color w:val="auto"/>
        </w:rPr>
        <w:t>Issuance of common stock in connection with cashless exercise of warrants</w:t>
      </w:r>
    </w:p>
    <w:p>
      <w:pPr>
        <w:spacing w:after="0" w:line="1" w:lineRule="exact"/>
        <w:rPr>
          <w:sz w:val="20"/>
          <w:szCs w:val="20"/>
          <w:color w:val="auto"/>
        </w:rPr>
      </w:pPr>
    </w:p>
    <w:p>
      <w:pPr>
        <w:ind w:left="140" w:right="180" w:hanging="134"/>
        <w:spacing w:after="0" w:line="230" w:lineRule="auto"/>
        <w:rPr>
          <w:sz w:val="20"/>
          <w:szCs w:val="20"/>
          <w:color w:val="auto"/>
        </w:rPr>
      </w:pPr>
      <w:r>
        <w:rPr>
          <w:rFonts w:ascii="Arial" w:cs="Arial" w:eastAsia="Arial" w:hAnsi="Arial"/>
          <w:sz w:val="11"/>
          <w:szCs w:val="11"/>
          <w:color w:val="auto"/>
        </w:rPr>
        <w:t>Issuance of restricted stock</w:t>
      </w:r>
    </w:p>
    <w:p>
      <w:pPr>
        <w:spacing w:after="0" w:line="1" w:lineRule="exact"/>
        <w:rPr>
          <w:sz w:val="20"/>
          <w:szCs w:val="20"/>
          <w:color w:val="auto"/>
        </w:rPr>
      </w:pPr>
    </w:p>
    <w:p>
      <w:pPr>
        <w:ind w:left="140" w:right="200" w:hanging="134"/>
        <w:spacing w:after="0" w:line="281" w:lineRule="auto"/>
        <w:rPr>
          <w:sz w:val="20"/>
          <w:szCs w:val="20"/>
          <w:color w:val="auto"/>
        </w:rPr>
      </w:pPr>
      <w:r>
        <w:rPr>
          <w:rFonts w:ascii="Arial" w:cs="Arial" w:eastAsia="Arial" w:hAnsi="Arial"/>
          <w:sz w:val="9"/>
          <w:szCs w:val="9"/>
          <w:color w:val="auto"/>
        </w:rPr>
        <w:t>Issuance of common stock in public offering (net of offering costs of $2,664,970)</w:t>
      </w:r>
    </w:p>
    <w:p>
      <w:pPr>
        <w:spacing w:after="0" w:line="2" w:lineRule="exact"/>
        <w:rPr>
          <w:sz w:val="20"/>
          <w:szCs w:val="20"/>
          <w:color w:val="auto"/>
        </w:rPr>
      </w:pPr>
    </w:p>
    <w:p>
      <w:pPr>
        <w:ind w:left="140" w:hanging="134"/>
        <w:spacing w:after="0" w:line="253" w:lineRule="auto"/>
        <w:rPr>
          <w:sz w:val="20"/>
          <w:szCs w:val="20"/>
          <w:color w:val="auto"/>
        </w:rPr>
      </w:pPr>
      <w:r>
        <w:rPr>
          <w:rFonts w:ascii="Arial" w:cs="Arial" w:eastAsia="Arial" w:hAnsi="Arial"/>
          <w:sz w:val="10"/>
          <w:szCs w:val="10"/>
          <w:color w:val="auto"/>
        </w:rPr>
        <w:t>Compensation in respect of restricted stock and stock options granted to employees, directors and consultants</w:t>
      </w:r>
    </w:p>
    <w:p>
      <w:pPr>
        <w:spacing w:after="0" w:line="2" w:lineRule="exact"/>
        <w:rPr>
          <w:sz w:val="20"/>
          <w:szCs w:val="20"/>
          <w:color w:val="auto"/>
        </w:rPr>
      </w:pPr>
    </w:p>
    <w:p>
      <w:pPr>
        <w:ind w:left="140" w:right="140" w:hanging="134"/>
        <w:spacing w:after="0" w:line="253" w:lineRule="auto"/>
        <w:rPr>
          <w:sz w:val="20"/>
          <w:szCs w:val="20"/>
          <w:color w:val="auto"/>
        </w:rPr>
      </w:pPr>
      <w:r>
        <w:rPr>
          <w:rFonts w:ascii="Arial" w:cs="Arial" w:eastAsia="Arial" w:hAnsi="Arial"/>
          <w:sz w:val="10"/>
          <w:szCs w:val="10"/>
          <w:color w:val="auto"/>
        </w:rPr>
        <w:t>Surrender of common stock for tax withholding</w:t>
      </w:r>
    </w:p>
    <w:p>
      <w:pPr>
        <w:spacing w:after="0" w:line="232" w:lineRule="auto"/>
        <w:rPr>
          <w:sz w:val="20"/>
          <w:szCs w:val="20"/>
          <w:color w:val="auto"/>
        </w:rPr>
      </w:pPr>
      <w:r>
        <w:rPr>
          <w:rFonts w:ascii="Arial" w:cs="Arial" w:eastAsia="Arial" w:hAnsi="Arial"/>
          <w:sz w:val="11"/>
          <w:szCs w:val="11"/>
          <w:color w:val="auto"/>
        </w:rPr>
        <w:t>Net loss</w:t>
      </w:r>
    </w:p>
    <w:p>
      <w:pPr>
        <w:ind w:left="140" w:right="160" w:hanging="134"/>
        <w:spacing w:after="0" w:line="339" w:lineRule="auto"/>
        <w:rPr>
          <w:sz w:val="20"/>
          <w:szCs w:val="20"/>
          <w:color w:val="auto"/>
        </w:rPr>
      </w:pPr>
      <w:r>
        <w:rPr>
          <w:rFonts w:ascii="Arial" w:cs="Arial" w:eastAsia="Arial" w:hAnsi="Arial"/>
          <w:sz w:val="9"/>
          <w:szCs w:val="9"/>
          <w:color w:val="auto"/>
        </w:rPr>
        <w:t>Balance at December 31,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22"/>
        </w:trPr>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10"/>
                <w:szCs w:val="10"/>
                <w:color w:val="auto"/>
              </w:rPr>
            </w:pPr>
          </w:p>
        </w:tc>
        <w:tc>
          <w:tcPr>
            <w:tcW w:w="800" w:type="dxa"/>
            <w:vAlign w:val="bottom"/>
            <w:gridSpan w:val="2"/>
          </w:tcPr>
          <w:p>
            <w:pPr>
              <w:ind w:left="180"/>
              <w:spacing w:after="0" w:line="122" w:lineRule="exact"/>
              <w:rPr>
                <w:sz w:val="20"/>
                <w:szCs w:val="20"/>
                <w:color w:val="auto"/>
              </w:rPr>
            </w:pPr>
            <w:r>
              <w:rPr>
                <w:rFonts w:ascii="Arial" w:cs="Arial" w:eastAsia="Arial" w:hAnsi="Arial"/>
                <w:sz w:val="11"/>
                <w:szCs w:val="11"/>
                <w:b w:val="1"/>
                <w:bCs w:val="1"/>
                <w:color w:val="auto"/>
              </w:rPr>
              <w:t>Non-</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29"/>
        </w:trPr>
        <w:tc>
          <w:tcPr>
            <w:tcW w:w="1640" w:type="dxa"/>
            <w:vAlign w:val="bottom"/>
            <w:gridSpan w:val="5"/>
          </w:tcPr>
          <w:p>
            <w:pPr>
              <w:ind w:left="420"/>
              <w:spacing w:after="0" w:line="122" w:lineRule="exact"/>
              <w:rPr>
                <w:sz w:val="20"/>
                <w:szCs w:val="20"/>
                <w:color w:val="auto"/>
              </w:rPr>
            </w:pPr>
            <w:r>
              <w:rPr>
                <w:rFonts w:ascii="Arial" w:cs="Arial" w:eastAsia="Arial" w:hAnsi="Arial"/>
                <w:sz w:val="11"/>
                <w:szCs w:val="11"/>
                <w:b w:val="1"/>
                <w:bCs w:val="1"/>
                <w:color w:val="auto"/>
              </w:rPr>
              <w:t>Preferred stock</w:t>
            </w:r>
          </w:p>
        </w:tc>
        <w:tc>
          <w:tcPr>
            <w:tcW w:w="1160" w:type="dxa"/>
            <w:vAlign w:val="bottom"/>
            <w:gridSpan w:val="3"/>
          </w:tcPr>
          <w:p>
            <w:pPr>
              <w:jc w:val="right"/>
              <w:spacing w:after="0" w:line="122" w:lineRule="exact"/>
              <w:rPr>
                <w:sz w:val="20"/>
                <w:szCs w:val="20"/>
                <w:color w:val="auto"/>
              </w:rPr>
            </w:pPr>
            <w:r>
              <w:rPr>
                <w:rFonts w:ascii="Arial" w:cs="Arial" w:eastAsia="Arial" w:hAnsi="Arial"/>
                <w:sz w:val="11"/>
                <w:szCs w:val="11"/>
                <w:b w:val="1"/>
                <w:bCs w:val="1"/>
                <w:color w:val="auto"/>
              </w:rPr>
              <w:t>Common stock</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Contingently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Additional</w:t>
            </w:r>
          </w:p>
        </w:tc>
        <w:tc>
          <w:tcPr>
            <w:tcW w:w="680" w:type="dxa"/>
            <w:vAlign w:val="bottom"/>
          </w:tcPr>
          <w:p>
            <w:pPr>
              <w:spacing w:after="0"/>
              <w:rPr>
                <w:sz w:val="11"/>
                <w:szCs w:val="11"/>
                <w:color w:val="auto"/>
              </w:rPr>
            </w:pPr>
          </w:p>
        </w:tc>
        <w:tc>
          <w:tcPr>
            <w:tcW w:w="820" w:type="dxa"/>
            <w:vAlign w:val="bottom"/>
            <w:gridSpan w:val="2"/>
          </w:tcPr>
          <w:p>
            <w:pPr>
              <w:jc w:val="right"/>
              <w:ind w:right="80"/>
              <w:spacing w:after="0" w:line="122" w:lineRule="exact"/>
              <w:rPr>
                <w:sz w:val="20"/>
                <w:szCs w:val="20"/>
                <w:color w:val="auto"/>
              </w:rPr>
            </w:pPr>
            <w:r>
              <w:rPr>
                <w:rFonts w:ascii="Arial" w:cs="Arial" w:eastAsia="Arial" w:hAnsi="Arial"/>
                <w:sz w:val="11"/>
                <w:szCs w:val="11"/>
                <w:b w:val="1"/>
                <w:bCs w:val="1"/>
                <w:color w:val="auto"/>
                <w:w w:val="90"/>
              </w:rPr>
              <w:t>Treasury 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in the</w:t>
            </w:r>
          </w:p>
        </w:tc>
        <w:tc>
          <w:tcPr>
            <w:tcW w:w="100" w:type="dxa"/>
            <w:vAlign w:val="bottom"/>
          </w:tcPr>
          <w:p>
            <w:pPr>
              <w:spacing w:after="0"/>
              <w:rPr>
                <w:sz w:val="11"/>
                <w:szCs w:val="11"/>
                <w:color w:val="auto"/>
              </w:rPr>
            </w:pPr>
          </w:p>
        </w:tc>
        <w:tc>
          <w:tcPr>
            <w:tcW w:w="8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controlling</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94"/>
        </w:trPr>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center"/>
              <w:spacing w:after="0" w:line="94" w:lineRule="exact"/>
              <w:rPr>
                <w:sz w:val="20"/>
                <w:szCs w:val="20"/>
                <w:color w:val="auto"/>
              </w:rPr>
            </w:pPr>
            <w:r>
              <w:rPr>
                <w:rFonts w:ascii="Arial" w:cs="Arial" w:eastAsia="Arial" w:hAnsi="Arial"/>
                <w:sz w:val="10"/>
                <w:szCs w:val="10"/>
                <w:b w:val="1"/>
                <w:bCs w:val="1"/>
                <w:color w:val="auto"/>
                <w:w w:val="94"/>
              </w:rPr>
              <w:t>issuable</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right"/>
              <w:ind w:right="340"/>
              <w:spacing w:after="0" w:line="94" w:lineRule="exact"/>
              <w:rPr>
                <w:sz w:val="20"/>
                <w:szCs w:val="20"/>
                <w:color w:val="auto"/>
              </w:rPr>
            </w:pPr>
            <w:r>
              <w:rPr>
                <w:rFonts w:ascii="Arial" w:cs="Arial" w:eastAsia="Arial" w:hAnsi="Arial"/>
                <w:sz w:val="10"/>
                <w:szCs w:val="10"/>
                <w:b w:val="1"/>
                <w:bCs w:val="1"/>
                <w:color w:val="auto"/>
              </w:rPr>
              <w:t>paid-in</w:t>
            </w: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200"/>
              <w:spacing w:after="0" w:line="94" w:lineRule="exact"/>
              <w:rPr>
                <w:sz w:val="20"/>
                <w:szCs w:val="20"/>
                <w:color w:val="auto"/>
              </w:rPr>
            </w:pPr>
            <w:r>
              <w:rPr>
                <w:rFonts w:ascii="Arial" w:cs="Arial" w:eastAsia="Arial" w:hAnsi="Arial"/>
                <w:sz w:val="10"/>
                <w:szCs w:val="10"/>
                <w:b w:val="1"/>
                <w:bCs w:val="1"/>
                <w:color w:val="auto"/>
                <w:w w:val="93"/>
              </w:rPr>
              <w:t>development</w:t>
            </w:r>
          </w:p>
        </w:tc>
        <w:tc>
          <w:tcPr>
            <w:tcW w:w="100" w:type="dxa"/>
            <w:vAlign w:val="bottom"/>
          </w:tcPr>
          <w:p>
            <w:pPr>
              <w:spacing w:after="0"/>
              <w:rPr>
                <w:sz w:val="8"/>
                <w:szCs w:val="8"/>
                <w:color w:val="auto"/>
              </w:rPr>
            </w:pPr>
          </w:p>
        </w:tc>
        <w:tc>
          <w:tcPr>
            <w:tcW w:w="800" w:type="dxa"/>
            <w:vAlign w:val="bottom"/>
            <w:gridSpan w:val="2"/>
          </w:tcPr>
          <w:p>
            <w:pPr>
              <w:ind w:left="60"/>
              <w:spacing w:after="0" w:line="94" w:lineRule="exact"/>
              <w:rPr>
                <w:sz w:val="20"/>
                <w:szCs w:val="20"/>
                <w:color w:val="auto"/>
              </w:rPr>
            </w:pPr>
            <w:r>
              <w:rPr>
                <w:rFonts w:ascii="Arial" w:cs="Arial" w:eastAsia="Arial" w:hAnsi="Arial"/>
                <w:sz w:val="10"/>
                <w:szCs w:val="10"/>
                <w:b w:val="1"/>
                <w:bCs w:val="1"/>
                <w:color w:val="auto"/>
              </w:rPr>
              <w:t>interest in</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35"/>
        </w:trPr>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1"/>
                <w:szCs w:val="11"/>
                <w:color w:val="auto"/>
              </w:rPr>
            </w:pPr>
          </w:p>
        </w:tc>
        <w:tc>
          <w:tcPr>
            <w:tcW w:w="78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shares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1"/>
                <w:szCs w:val="11"/>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stage</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subsidiary</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Total</w:t>
            </w:r>
          </w:p>
        </w:tc>
      </w:tr>
      <w:tr>
        <w:trPr>
          <w:trHeight w:val="228"/>
        </w:trPr>
        <w:tc>
          <w:tcPr>
            <w:tcW w:w="76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25,820,738</w:t>
            </w:r>
          </w:p>
        </w:tc>
        <w:tc>
          <w:tcPr>
            <w:tcW w:w="100" w:type="dxa"/>
            <w:vAlign w:val="bottom"/>
          </w:tcPr>
          <w:p>
            <w:pPr>
              <w:spacing w:after="0"/>
              <w:rPr>
                <w:sz w:val="19"/>
                <w:szCs w:val="19"/>
                <w:color w:val="auto"/>
              </w:rPr>
            </w:pP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ind w:right="26"/>
              <w:spacing w:after="0"/>
              <w:rPr>
                <w:sz w:val="20"/>
                <w:szCs w:val="20"/>
                <w:color w:val="auto"/>
              </w:rPr>
            </w:pPr>
            <w:r>
              <w:rPr>
                <w:rFonts w:ascii="Arial" w:cs="Arial" w:eastAsia="Arial" w:hAnsi="Arial"/>
                <w:sz w:val="11"/>
                <w:szCs w:val="11"/>
                <w:color w:val="auto"/>
                <w:w w:val="89"/>
              </w:rPr>
              <w:t>25,821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6</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34,534,805</w:t>
            </w:r>
          </w:p>
        </w:tc>
        <w:tc>
          <w:tcPr>
            <w:tcW w:w="100" w:type="dxa"/>
            <w:vAlign w:val="bottom"/>
          </w:tcPr>
          <w:p>
            <w:pPr>
              <w:spacing w:after="0"/>
              <w:rPr>
                <w:sz w:val="19"/>
                <w:szCs w:val="19"/>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13,526</w:t>
            </w:r>
          </w:p>
        </w:tc>
        <w:tc>
          <w:tcPr>
            <w:tcW w:w="820" w:type="dxa"/>
            <w:vAlign w:val="bottom"/>
            <w:gridSpan w:val="2"/>
          </w:tcPr>
          <w:p>
            <w:pPr>
              <w:jc w:val="right"/>
              <w:ind w:right="6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(84,538)</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tcPr>
          <w:p>
            <w:pPr>
              <w:ind w:left="160"/>
              <w:spacing w:after="0"/>
              <w:rPr>
                <w:sz w:val="20"/>
                <w:szCs w:val="20"/>
                <w:color w:val="auto"/>
              </w:rPr>
            </w:pPr>
            <w:r>
              <w:rPr>
                <w:rFonts w:ascii="Arial" w:cs="Arial" w:eastAsia="Arial" w:hAnsi="Arial"/>
                <w:sz w:val="11"/>
                <w:szCs w:val="11"/>
                <w:color w:val="auto"/>
                <w:w w:val="86"/>
              </w:rPr>
              <w:t>(18,925,793)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26"/>
              <w:spacing w:after="0"/>
              <w:rPr>
                <w:sz w:val="20"/>
                <w:szCs w:val="20"/>
                <w:color w:val="auto"/>
              </w:rPr>
            </w:pPr>
            <w:r>
              <w:rPr>
                <w:rFonts w:ascii="Arial" w:cs="Arial" w:eastAsia="Arial" w:hAnsi="Arial"/>
                <w:sz w:val="11"/>
                <w:szCs w:val="11"/>
                <w:color w:val="auto"/>
                <w:w w:val="90"/>
              </w:rPr>
              <w:t>15,550,301</w:t>
            </w:r>
          </w:p>
        </w:tc>
      </w:tr>
      <w:tr>
        <w:trPr>
          <w:trHeight w:val="486"/>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1,013,009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jc w:val="right"/>
              <w:ind w:right="26"/>
              <w:spacing w:after="0"/>
              <w:rPr>
                <w:sz w:val="20"/>
                <w:szCs w:val="20"/>
                <w:color w:val="auto"/>
              </w:rPr>
            </w:pPr>
            <w:r>
              <w:rPr>
                <w:rFonts w:ascii="Arial" w:cs="Arial" w:eastAsia="Arial" w:hAnsi="Arial"/>
                <w:sz w:val="11"/>
                <w:szCs w:val="11"/>
                <w:color w:val="auto"/>
              </w:rPr>
              <w:t>1,013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2,279,760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2,280,773</w:t>
            </w:r>
          </w:p>
        </w:tc>
      </w:tr>
      <w:tr>
        <w:trPr>
          <w:trHeight w:val="486"/>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3,024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(4)</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243"/>
        </w:trPr>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944,464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jc w:val="right"/>
              <w:ind w:right="26"/>
              <w:spacing w:after="0"/>
              <w:rPr>
                <w:sz w:val="20"/>
                <w:szCs w:val="20"/>
                <w:color w:val="auto"/>
              </w:rPr>
            </w:pPr>
            <w:r>
              <w:rPr>
                <w:rFonts w:ascii="Arial" w:cs="Arial" w:eastAsia="Arial" w:hAnsi="Arial"/>
                <w:sz w:val="11"/>
                <w:szCs w:val="11"/>
                <w:color w:val="auto"/>
              </w:rPr>
              <w:t>944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(944)</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w:t>
            </w:r>
          </w:p>
        </w:tc>
      </w:tr>
      <w:tr>
        <w:trPr>
          <w:trHeight w:val="608"/>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6,555,000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jc w:val="right"/>
              <w:ind w:right="26"/>
              <w:spacing w:after="0"/>
              <w:rPr>
                <w:sz w:val="20"/>
                <w:szCs w:val="20"/>
                <w:color w:val="auto"/>
              </w:rPr>
            </w:pPr>
            <w:r>
              <w:rPr>
                <w:rFonts w:ascii="Arial" w:cs="Arial" w:eastAsia="Arial" w:hAnsi="Arial"/>
                <w:sz w:val="11"/>
                <w:szCs w:val="11"/>
                <w:color w:val="auto"/>
              </w:rPr>
              <w:t>6,555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37,641,725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w w:val="90"/>
              </w:rPr>
              <w:t>37,648,280</w:t>
            </w:r>
          </w:p>
        </w:tc>
      </w:tr>
      <w:tr>
        <w:trPr>
          <w:trHeight w:val="729"/>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5,203,148</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5,203,148</w:t>
            </w:r>
          </w:p>
        </w:tc>
      </w:tr>
      <w:tr>
        <w:trPr>
          <w:trHeight w:val="350"/>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27,783</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(149,799)</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(149,799)</w:t>
            </w:r>
          </w:p>
        </w:tc>
      </w:tr>
      <w:tr>
        <w:trPr>
          <w:trHeight w:val="131"/>
        </w:trPr>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1"/>
                <w:szCs w:val="11"/>
                <w:color w:val="auto"/>
                <w:w w:val="86"/>
              </w:rPr>
              <w:t>(20,478,210)</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2"/>
              </w:rPr>
              <w:t>(20,478,210)</w:t>
            </w:r>
          </w:p>
        </w:tc>
      </w:tr>
      <w:tr>
        <w:trPr>
          <w:trHeight w:val="210"/>
        </w:trPr>
        <w:tc>
          <w:tcPr>
            <w:tcW w:w="76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34,336,235</w:t>
            </w:r>
          </w:p>
        </w:tc>
        <w:tc>
          <w:tcPr>
            <w:tcW w:w="100" w:type="dxa"/>
            <w:vAlign w:val="bottom"/>
          </w:tcPr>
          <w:p>
            <w:pPr>
              <w:spacing w:after="0"/>
              <w:rPr>
                <w:sz w:val="18"/>
                <w:szCs w:val="18"/>
                <w:color w:val="auto"/>
              </w:rPr>
            </w:pP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ind w:right="26"/>
              <w:spacing w:after="0"/>
              <w:rPr>
                <w:sz w:val="20"/>
                <w:szCs w:val="20"/>
                <w:color w:val="auto"/>
              </w:rPr>
            </w:pPr>
            <w:r>
              <w:rPr>
                <w:rFonts w:ascii="Arial" w:cs="Arial" w:eastAsia="Arial" w:hAnsi="Arial"/>
                <w:sz w:val="11"/>
                <w:szCs w:val="11"/>
                <w:color w:val="auto"/>
                <w:w w:val="89"/>
              </w:rPr>
              <w:t>34,336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6</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79,658,490</w:t>
            </w:r>
          </w:p>
        </w:tc>
        <w:tc>
          <w:tcPr>
            <w:tcW w:w="100" w:type="dxa"/>
            <w:vAlign w:val="bottom"/>
          </w:tcPr>
          <w:p>
            <w:pPr>
              <w:spacing w:after="0"/>
              <w:rPr>
                <w:sz w:val="18"/>
                <w:szCs w:val="18"/>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41,309</w:t>
            </w:r>
          </w:p>
        </w:tc>
        <w:tc>
          <w:tcPr>
            <w:tcW w:w="820" w:type="dxa"/>
            <w:vAlign w:val="bottom"/>
            <w:gridSpan w:val="2"/>
          </w:tcPr>
          <w:p>
            <w:pPr>
              <w:jc w:val="right"/>
              <w:ind w:right="6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(234,337)</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tcPr>
          <w:p>
            <w:pPr>
              <w:ind w:left="160"/>
              <w:spacing w:after="0"/>
              <w:rPr>
                <w:sz w:val="20"/>
                <w:szCs w:val="20"/>
                <w:color w:val="auto"/>
              </w:rPr>
            </w:pPr>
            <w:r>
              <w:rPr>
                <w:rFonts w:ascii="Arial" w:cs="Arial" w:eastAsia="Arial" w:hAnsi="Arial"/>
                <w:sz w:val="11"/>
                <w:szCs w:val="11"/>
                <w:color w:val="auto"/>
                <w:w w:val="86"/>
              </w:rPr>
              <w:t>(39,404,003)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26"/>
              <w:spacing w:after="0"/>
              <w:rPr>
                <w:sz w:val="20"/>
                <w:szCs w:val="20"/>
                <w:color w:val="auto"/>
              </w:rPr>
            </w:pPr>
            <w:r>
              <w:rPr>
                <w:rFonts w:ascii="Arial" w:cs="Arial" w:eastAsia="Arial" w:hAnsi="Arial"/>
                <w:sz w:val="11"/>
                <w:szCs w:val="11"/>
                <w:color w:val="auto"/>
                <w:w w:val="90"/>
              </w:rPr>
              <w:t>40,054,492</w:t>
            </w:r>
          </w:p>
        </w:tc>
      </w:tr>
      <w:tr>
        <w:trPr>
          <w:trHeight w:val="20"/>
        </w:trPr>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-2254885</wp:posOffset>
            </wp:positionV>
            <wp:extent cx="72466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-1791970</wp:posOffset>
            </wp:positionV>
            <wp:extent cx="7246620"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-1328420</wp:posOffset>
            </wp:positionV>
            <wp:extent cx="7246620" cy="386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-479425</wp:posOffset>
            </wp:positionV>
            <wp:extent cx="7246620" cy="2317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-170815</wp:posOffset>
            </wp:positionV>
            <wp:extent cx="72466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ectPr>
          <w:pgSz w:w="11900" w:h="16838" w:orient="portrait"/>
          <w:cols w:equalWidth="0" w:num="2">
            <w:col w:w="1100" w:space="520"/>
            <w:col w:w="9780"/>
          </w:cols>
          <w:pgMar w:left="240" w:top="337" w:right="259" w:bottom="1440" w:gutter="0" w:footer="0" w:header="0"/>
          <w:type w:val="continuous"/>
        </w:sect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for the Years Ended December 31, 2013 and 2012 and Cumulative Period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during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1"/>
              </w:rPr>
              <w:t>development stage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Consolidated net loss</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9"/>
              </w:rPr>
              <w:t>(20,478,210)</w:t>
            </w:r>
          </w:p>
        </w:tc>
        <w:tc>
          <w:tcPr>
            <w:tcW w:w="26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(26,182,952)</w:t>
            </w: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(47,550,233)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rPr>
              <w:t>Adjustments to reconcile consolidated net loss to net cash used in</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Stock compensation expense</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5,203,148</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3,422,182</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8,711,824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rPr>
              <w:t>Noncash stock expense associated with in-licensing</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agreement</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16,578,000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16,875,000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Impairment of in-process research and development</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2,797,600</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1,104,700</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3,902,300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Amortization of premiums on investment securities, net</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975</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Change in fair value and accrued interest of notes payable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(2,414,569)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(815,699)</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(3,230,268)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Changes in assets and liabilities, net of effects of acquisition:</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Decrease (increase) in other current assets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229,258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(1,932,710)</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(1,699,859)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Increase in accrued interest receivable</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(27,169)</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Increase in other assets</w:t>
            </w: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(85,121)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(85,121)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Increase in accounts payable and accrued expenses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4,034,605</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595,757</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5,038,672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Increase in interest payable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66,506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(Decrease) increase in deferred revenue</w:t>
            </w:r>
          </w:p>
        </w:tc>
        <w:tc>
          <w:tcPr>
            <w:tcW w:w="20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(152,381)</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1,980,952</w:t>
            </w:r>
          </w:p>
        </w:tc>
        <w:tc>
          <w:tcPr>
            <w:tcW w:w="10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1,828,571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(10,824,231)</w:t>
            </w:r>
          </w:p>
        </w:tc>
        <w:tc>
          <w:tcPr>
            <w:tcW w:w="6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(5,187,964)</w:t>
            </w:r>
          </w:p>
        </w:tc>
        <w:tc>
          <w:tcPr>
            <w:tcW w:w="100" w:type="dxa"/>
            <w:vAlign w:val="bottom"/>
            <w:tcBorders>
              <w:bottom w:val="single" w:sz="8" w:color="CCFFC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(16,098,772)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Purchases of equipment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(1,399)</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Investment in held-to-maturity long-term securities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(4,919,871)</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(4,919,871)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acquired in connection with acquisition</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(4,925,552)</w:t>
            </w:r>
          </w:p>
        </w:tc>
        <w:tc>
          <w:tcPr>
            <w:tcW w:w="6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(4,916,565)</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Proceeds from exercise of warrants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2,280,773</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2,280,773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Payments of short-term loans</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(200,001)</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Proceeds from sale of common stock, net</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37,648,280</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47,472,962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sale of preferred stock, net</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12,257,309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12,257,309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Offering costs paid</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(75,903)</w:t>
            </w:r>
          </w:p>
        </w:tc>
        <w:tc>
          <w:tcPr>
            <w:tcW w:w="1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(149,799)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(84,538)</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(234,337)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39,779,254</w:t>
            </w:r>
          </w:p>
        </w:tc>
        <w:tc>
          <w:tcPr>
            <w:tcW w:w="6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11,896,867</w:t>
            </w: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61,500,803</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24,029,471</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6,707,504</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40,485,466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16,455,995</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9,748,491</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40,485,466</w:t>
            </w:r>
          </w:p>
        </w:tc>
        <w:tc>
          <w:tcPr>
            <w:tcW w:w="60" w:type="dxa"/>
            <w:vAlign w:val="bottom"/>
            <w:shd w:val="clear" w:color="auto" w:fill="CCFFCC"/>
          </w:tcPr>
          <w:p>
            <w:pPr>
              <w:spacing w:after="0"/>
              <w:rPr>
                <w:sz w:val="18"/>
                <w:szCs w:val="18"/>
                <w:color w:val="auto"/>
              </w:rPr>
            </w:pPr>
          </w:p>
        </w:tc>
        <w:tc>
          <w:tcPr>
            <w:tcW w:w="26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16,455,995</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40,485,466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NONCASH TRANSACTIONS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Conversion of notes payable to preferred stock</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55,271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80" w:type="dxa"/>
            <w:vAlign w:val="bottom"/>
            <w:tcBorders>
              <w:top w:val="single" w:sz="8" w:color="CCFFCC"/>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rPr>
              <w:t>Accrued financing costs</w:t>
            </w:r>
          </w:p>
        </w:tc>
        <w:tc>
          <w:tcPr>
            <w:tcW w:w="200" w:type="dxa"/>
            <w:vAlign w:val="bottom"/>
            <w:tcBorders>
              <w:top w:val="single" w:sz="8" w:color="auto"/>
              <w:bottom w:val="single" w:sz="8" w:color="auto"/>
            </w:tcBorders>
            <w:shd w:val="clear" w:color="auto" w:fill="CCFFC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40" w:type="dxa"/>
            <w:vAlign w:val="bottom"/>
            <w:tcBorders>
              <w:top w:val="single" w:sz="8" w:color="auto"/>
              <w:bottom w:val="single" w:sz="8" w:color="auto"/>
            </w:tcBorders>
            <w:shd w:val="clear" w:color="auto" w:fill="CCFFCC"/>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61,138</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jc w:val="center"/>
        <w:ind w:right="-7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 and our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the Company is developing two therapies targeting hematological malignancies. TG-1101 (ublituximab), is a novel, glycoengineered monoclonal antibody that targets a specific and unique epitope on the CD20 antigen found on mature B-lymphocytes. We are also developing TGR-1202, an orally available PI3K delta inhibitor. We also hold the development rights to AST-726, a nasally delivered product for the treatment of Vitamin B</w:t>
      </w:r>
      <w:r>
        <w:rPr>
          <w:rFonts w:ascii="Arial" w:cs="Arial" w:eastAsia="Arial" w:hAnsi="Arial"/>
          <w:sz w:val="26"/>
          <w:szCs w:val="26"/>
          <w:color w:val="auto"/>
          <w:vertAlign w:val="subscript"/>
        </w:rPr>
        <w:t>12</w:t>
      </w:r>
      <w:r>
        <w:rPr>
          <w:rFonts w:ascii="Arial" w:cs="Arial" w:eastAsia="Arial" w:hAnsi="Arial"/>
          <w:sz w:val="16"/>
          <w:szCs w:val="16"/>
          <w:color w:val="auto"/>
        </w:rPr>
        <w:t xml:space="preserve"> deficiency.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Transaction with TG Therapeutics, Inc. and its majority shareholders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December 29, 2011, the Company entered into and consummated an Exchange Transaction Agreement with Opus Point Partners, LLC (“Opus”) and TG Biologics, Inc. (formerly known as TG Therapeutics, Inc.) (“TG Bio”) (the “Agreement”). Under the Agreement, Opus exchanged (the “Exchange Transaction”) its shares of common stock in TG Bio (“TG Bio Common Stock”) for shares of Series A preferred stock in the Company (“Company Preferred Stock”). In accordance with the terms of the Agreement, 95% of the holders of common stock of TG Bio (one (1) minority shareholder of TG Bio holding in aggregate 132,000 shares of common stock of TG Bio did not participate) surrendered their TG Bio common stock. The Agreement caused the Company to issue to TG Bio’s shareholders 281,250 shares of Company Preferred Stock. Each share of Company Preferred Stock was convertible into 8.89 shares of the Common Stock provided that such conversion rights were subject to sufficient available authorized shares of Common Stock. In connection with the reverse stock split effected by the Company on April 30, 2012 (as discussed below), all shares of preferred stock issued in connection with the Agreement were converted to Common Stock. The Company Preferred Stock issued in connection with the Agreement provided the former TG Bio shareholders with direct and/or indirect ownership of approximately 95% of the Company’s outstanding Company Common Stock immediately following the consummation of the transaction.</w:t>
      </w:r>
    </w:p>
    <w:p>
      <w:pPr>
        <w:spacing w:after="0" w:line="18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Since the stockholders of TG Bio received the majority of the voting shares of the Company, the merger was accounted for as a reverse acquisition whereby TG Bio was the accounting acquirer (legal acquiree) and the Company was the accounting acquiree (legal acquirer) under the acquisition method of accounting. TG Bio was incorporated in Delaware in November 2010, but did not commence operations until April 2011.</w:t>
      </w:r>
    </w:p>
    <w:p>
      <w:pPr>
        <w:spacing w:after="0" w:line="16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filings with the Securities and Exchange Commission (the “SEC”) include the historical financial results of TG Bio and will hereafter collectively be referred to as the Company.</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April 30, 2012, the Company filed a Certificate of Amendment to its Certificate of Incorporation to change its name from Manhattan Pharmaceuticals, Inc. (“Manhattan”) to TG Therapeutics, Inc. In conjunction with this change, the subsidiary formerly named TG Therapeutics, Inc. filed a Certificate of Amendment changing its name to TG Biologics,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December 31, 2013, we have an accumulated deficit of $39,404,003.</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primary source of cash has been proceeds from the sale of equity securities, the upfront payment from our Sublicense Agreement with Ildong Pharmaceutical Co. Ltd. (“Ildong”), and warrant exercises.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December 31, 2013, we had $45,431,532 in cash, cash equivalents, investment securities, and interest receivable. We currently anticipate that our cash and cash equivalents to be sufficient to fund our anticipated operating cash requirements for approximately 24 months from December 31, 2013.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NASDAQ Capital Market and trades under the symbol “TGTX.”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April 30, 2012, the Company effected a reverse split of its Common Stock at a ratio of 56.25 for 1, pursuant to a previously obtained stockholder authorization. All share amounts and per share prices in this Annual Report on Form 10-K have been retroactively adjusted to reflect the effect of our reverse stock split, on a fifty-six and one quarter (56.25) for one (1) basis, unless otherwise indicated. The exercise price for all stock options and warrants and the conversion price for convertible securities in the accompanying consolidated financial statements have been adjusted to reflect the reverse stock split by multiplying the original exercise or conversion price by fifty-six and one quarter (56.25).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July 2013, the Financial Accounting Standards Board, or FASB, issued a new accounting standard which will require the presentation of certain unrecognized tax benefits as reductions to deferred tax assets rather than as liabilities in the consolidated balance sheets when a net operating loss carryforward, a similar tax loss, or a tax credit carryforward exists. The new standard requires adoption on a prospective basis in the first quarter of 2015; however, early adoption is permitted. The Company does not anticipate that this adoption will have a significant impact on its financial position, results of operations, or cash flows.</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the consolidated financial statements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60" w:firstLine="540"/>
        <w:spacing w:after="0" w:line="277" w:lineRule="auto"/>
        <w:rPr>
          <w:sz w:val="20"/>
          <w:szCs w:val="20"/>
          <w:color w:val="auto"/>
        </w:rPr>
      </w:pPr>
      <w:r>
        <w:rPr>
          <w:rFonts w:ascii="Arial" w:cs="Arial" w:eastAsia="Arial" w:hAnsi="Arial"/>
          <w:sz w:val="18"/>
          <w:szCs w:val="18"/>
          <w:color w:val="auto"/>
        </w:rPr>
        <w:t>The Company has generated limited revenue from its operations and, accordingly, the financial statements have been prepared in accordance with the provisions of accounting and reporting for Development Stage Enterprises.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Actual results could differ from those estimates. Such differences could be material to the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less than three months when purchased as cash and cash equivalents.</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Investment securities at December 31, 2013 consist of long-term government securities. We classify our long-term debt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net. Unrealized gains, if determined to be temporary, are included in accumulated other comprehensive income in stockholders’ equity. Dividend and interest income are recognized when earned.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recognize license revenue in accordance with the revenue recognition guidance of the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w:t>
      </w:r>
    </w:p>
    <w:p>
      <w:pPr>
        <w:spacing w:after="0" w:line="5" w:lineRule="exact"/>
        <w:rPr>
          <w:sz w:val="20"/>
          <w:szCs w:val="20"/>
          <w:color w:val="auto"/>
        </w:rPr>
      </w:pPr>
    </w:p>
    <w:p>
      <w:pPr>
        <w:ind w:right="220" w:firstLine="8"/>
        <w:spacing w:after="0" w:line="255"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w:t>
      </w:r>
    </w:p>
    <w:p>
      <w:pPr>
        <w:spacing w:after="0" w:line="229" w:lineRule="exact"/>
        <w:rPr>
          <w:sz w:val="20"/>
          <w:szCs w:val="20"/>
          <w:color w:val="auto"/>
        </w:rPr>
      </w:pPr>
    </w:p>
    <w:p>
      <w:pPr>
        <w:ind w:right="20" w:firstLine="540"/>
        <w:spacing w:after="0" w:line="259" w:lineRule="auto"/>
        <w:rPr>
          <w:sz w:val="20"/>
          <w:szCs w:val="20"/>
          <w:color w:val="auto"/>
        </w:rPr>
      </w:pPr>
      <w:r>
        <w:rPr>
          <w:rFonts w:ascii="Arial" w:cs="Arial" w:eastAsia="Arial" w:hAnsi="Arial"/>
          <w:sz w:val="18"/>
          <w:szCs w:val="18"/>
          <w:color w:val="auto"/>
        </w:rPr>
        <w:t>All acquired research and development projects are recorded at their fair value as of the date acquisition. The fair values are assessed as of the balance sheet date to ascertain if there has been any impairment of the recorded value. If there is an impairment, the asset is written down to its current fair value by the recording of an expense. Impairment is tested on an annual basis or sooner, if there is an indication of impairment, and consists of a comparison of the fair value of the in-process research and development with its carrying amount.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interest and penalties related to uncertain income tax positions in income tax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 BASED COMPENSATION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recognize all share-based payments to employees and to non-employee directors as compensation for service as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For share-based payments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INCOME PER COMMON SHARE</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Basic net income (loss) per common share is calculated by dividing net income (loss) applicable to common shares by the weighted-average number of common shares outstanding for the period. Diluted net loss per common share is the same as basic net income (loss) per common share, since potentially dilutive securities from stock options, stock warrants and convertible preferred stock would have an antidilutive effect either because the Company incurred a net loss during the period presented or because such potentially dilutive securities were out of the money and the Company realized net income during the period presented. The amounts of potentially dilutive securities excluded from the calculation were 10,618,584 and 10,746,837 at December 31, 2013 and 2012, respectively. During the years ended December 31, 2013 and 2012 the Company incurred a net loss, therefore, all of the dilutive securities are excluded from the computation of diluted earnings per share.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GOODWILL</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Long-lived assets are reviewed for an impairment loss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NOTE 2</w:t>
            </w:r>
          </w:p>
        </w:tc>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 CASH AND CASH EQUIVALENTS</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December 31, 2013</w:t>
            </w:r>
          </w:p>
        </w:tc>
        <w:tc>
          <w:tcPr>
            <w:tcW w:w="174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December 31,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Money market funds</w:t>
            </w:r>
          </w:p>
        </w:tc>
        <w:tc>
          <w:tcPr>
            <w:tcW w:w="4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554,069</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500,007</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Checking and bank deposits</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39,931,397</w:t>
            </w:r>
          </w:p>
        </w:tc>
        <w:tc>
          <w:tcPr>
            <w:tcW w:w="80" w:type="dxa"/>
            <w:vAlign w:val="bottom"/>
            <w:tcBorders>
              <w:bottom w:val="single" w:sz="8" w:color="CCFFC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15,955,988</w:t>
            </w:r>
          </w:p>
        </w:tc>
        <w:tc>
          <w:tcPr>
            <w:tcW w:w="12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4440" w:type="dxa"/>
            <w:vAlign w:val="bottom"/>
            <w:tcBorders>
              <w:bottom w:val="single" w:sz="8" w:color="CCFFCC"/>
            </w:tcBorders>
            <w:shd w:val="clear" w:color="auto" w:fill="CCFFCC"/>
          </w:tcPr>
          <w:p>
            <w:pPr>
              <w:spacing w:after="0"/>
              <w:rPr>
                <w:sz w:val="18"/>
                <w:szCs w:val="18"/>
                <w:color w:val="auto"/>
              </w:rPr>
            </w:pPr>
          </w:p>
        </w:tc>
        <w:tc>
          <w:tcPr>
            <w:tcW w:w="42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40,485,466</w:t>
            </w:r>
          </w:p>
        </w:tc>
        <w:tc>
          <w:tcPr>
            <w:tcW w:w="80" w:type="dxa"/>
            <w:vAlign w:val="bottom"/>
            <w:tcBorders>
              <w:bottom w:val="single" w:sz="8" w:color="CCFFCC"/>
            </w:tcBorders>
            <w:shd w:val="clear" w:color="auto" w:fill="CCFFCC"/>
          </w:tcPr>
          <w:p>
            <w:pPr>
              <w:spacing w:after="0"/>
              <w:rPr>
                <w:sz w:val="18"/>
                <w:szCs w:val="18"/>
                <w:color w:val="auto"/>
              </w:rPr>
            </w:pPr>
          </w:p>
        </w:tc>
        <w:tc>
          <w:tcPr>
            <w:tcW w:w="42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16,455,995</w:t>
            </w:r>
          </w:p>
        </w:tc>
        <w:tc>
          <w:tcPr>
            <w:tcW w:w="12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3</w:t>
            </w:r>
          </w:p>
        </w:tc>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INVESTMENT SECURITIES</w:t>
            </w: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0" w:type="dxa"/>
            <w:vAlign w:val="bottom"/>
            <w:gridSpan w:val="2"/>
            <w:vMerge w:val="continue"/>
          </w:tcPr>
          <w:p>
            <w:pPr>
              <w:spacing w:after="0"/>
              <w:rPr>
                <w:sz w:val="17"/>
                <w:szCs w:val="17"/>
                <w:color w:val="auto"/>
              </w:rPr>
            </w:pPr>
          </w:p>
        </w:tc>
        <w:tc>
          <w:tcPr>
            <w:tcW w:w="44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our investments as either held-to-maturity or available-for-sale. Held-to-maturity investments are recorded at amortized cost.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not invested in investment securities at December 31, 2012. The following tables summarize our investment securities at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rPr>
              <w:t>December 31, 2013</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6"/>
                <w:szCs w:val="16"/>
                <w:color w:val="auto"/>
              </w:rPr>
            </w:pPr>
          </w:p>
        </w:tc>
        <w:tc>
          <w:tcPr>
            <w:tcW w:w="11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Amortized cost,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as adjusted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holding gains</w:t>
            </w:r>
          </w:p>
        </w:tc>
        <w:tc>
          <w:tcPr>
            <w:tcW w:w="10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holding losses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2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Long-term investments:</w:t>
            </w: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5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02"/>
        </w:trPr>
        <w:tc>
          <w:tcPr>
            <w:tcW w:w="5200" w:type="dxa"/>
            <w:vAlign w:val="bottom"/>
          </w:tcPr>
          <w:p>
            <w:pPr>
              <w:spacing w:after="0" w:line="201" w:lineRule="exact"/>
              <w:rPr>
                <w:sz w:val="20"/>
                <w:szCs w:val="20"/>
                <w:color w:val="auto"/>
              </w:rPr>
            </w:pPr>
            <w:r>
              <w:rPr>
                <w:rFonts w:ascii="Arial" w:cs="Arial" w:eastAsia="Arial" w:hAnsi="Arial"/>
                <w:sz w:val="18"/>
                <w:szCs w:val="18"/>
                <w:color w:val="auto"/>
              </w:rPr>
              <w:t>Obligations of domestic governmental agencies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w w:val="92"/>
              </w:rPr>
              <w:t>(maturing between January 2015 and April 2015) (held-to-maturity)</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4,918,897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650</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4,918,247</w:t>
            </w:r>
          </w:p>
        </w:tc>
        <w:tc>
          <w:tcPr>
            <w:tcW w:w="100" w:type="dxa"/>
            <w:vAlign w:val="bottom"/>
          </w:tcPr>
          <w:p>
            <w:pPr>
              <w:spacing w:after="0"/>
              <w:rPr>
                <w:sz w:val="20"/>
                <w:szCs w:val="20"/>
                <w:color w:val="auto"/>
              </w:rPr>
            </w:pPr>
          </w:p>
        </w:tc>
      </w:tr>
      <w:tr>
        <w:trPr>
          <w:trHeight w:val="210"/>
        </w:trPr>
        <w:tc>
          <w:tcPr>
            <w:tcW w:w="5200" w:type="dxa"/>
            <w:vAlign w:val="bottom"/>
            <w:tcBorders>
              <w:top w:val="single" w:sz="8" w:color="CCFFCC"/>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 long-term investment securities</w:t>
            </w: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4,918,897</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4,918,247</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1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1" w:lineRule="exact"/>
        <w:rPr>
          <w:sz w:val="20"/>
          <w:szCs w:val="20"/>
          <w:color w:val="auto"/>
        </w:rPr>
      </w:pPr>
    </w:p>
    <w:p>
      <w:pPr>
        <w:ind w:left="980" w:hanging="324"/>
        <w:spacing w:after="0"/>
        <w:tabs>
          <w:tab w:leader="none" w:pos="980" w:val="left"/>
        </w:tabs>
        <w:numPr>
          <w:ilvl w:val="0"/>
          <w:numId w:val="33"/>
        </w:numPr>
        <w:rPr>
          <w:rFonts w:ascii="MS PGothic" w:cs="MS PGothic" w:eastAsia="MS PGothic" w:hAnsi="MS PGothic"/>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33"/>
        </w:numPr>
        <w:rPr>
          <w:rFonts w:ascii="MS PGothic" w:cs="MS PGothic" w:eastAsia="MS PGothic" w:hAnsi="MS PGothic"/>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33"/>
        </w:numPr>
        <w:rPr>
          <w:rFonts w:ascii="MS PGothic" w:cs="MS PGothic" w:eastAsia="MS PGothic" w:hAnsi="MS PGothic"/>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December 31, 2013 and 2012, the fair values of cash and cash equivalents, and notes and interest payable, current portion approximate their carrying value.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Upon the merger between Manhattan and Ariston Pharmaceuticals, Inc. (“Ariston”) in March 2010, Ariston issued $15,452,793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The Company has no obligations under the 5% Notes aside from a) 50% of the net product cash flows from Ariston’s product candidates, if any, payable to noteholders; and b) the conversion feature, discussed above.</w:t>
      </w:r>
    </w:p>
    <w:p>
      <w:pPr>
        <w:spacing w:after="0" w:line="193"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connection with the Exchange Transaction in December 2011, the Company performed a valuation of the assets and liabilities of Manhattan immediately prior to the transaction. The cumulative liability including accrued and unpaid interest of these notes was approximately $16,876,000 immediately prior to the Exchange Transaction, and $18,614,000 and $17,727,000 at December 31, 2013 and 2012, respectively. As these notes payable are tied directly to net product cash flows derived from the preexisting products of the Company, this note and accrued interest was recorded at fair value of $3,287,700 as of the date of the Exchange Transaction. No payments have been made on these notes as of December 31, 2013.</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elected the fair value option for valuing the 5% Notes upon the completion of the reverse merger with TG Bio, as discussed above. The Company elected the fair value option in order to reflect in our financial statements the assumptions that market participants use in evaluating these financial instruments.</w:t>
      </w:r>
    </w:p>
    <w:p>
      <w:pPr>
        <w:spacing w:after="0" w:line="18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For the year ended December 31, 2012, the valuation method used to estimate the 5% Notes’ fair value was a discounted cash flow model, where the expected cash flows of AST-726 and AST-915 were discounted to the present using a yield that incorporated compensation for the probability of success in clinical development and marketing, among other factors. The discount rate used in this discounted cash flow model approximated 20% at December 31, 2012. As of December 31, 2013, as a result of expiring intellectual property rights and other factors as discussed below in Nonrecurring Fair Value Measurements, it was determined that net product cash flows from AST-726 were unlikely. As the Company has no other obligations under the 5% Notes aside from the net product cash flows and the conversion feature, the conversion feature was used to estimate the 5% Notes’ fair value as of December 31, 2013. The assumptions, assessments and projections of future revenues are subject to uncertainties, are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financial liabilities measured at fair value on a recurring basis as of December 31, 2013 and 2012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as of December 31, 2013</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4"/>
              </w:rPr>
              <w:t>Level 1</w:t>
            </w: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5% Notes</w:t>
            </w:r>
          </w:p>
        </w:tc>
        <w:tc>
          <w:tcPr>
            <w:tcW w:w="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FFCC"/>
          </w:tcPr>
          <w:p>
            <w:pPr>
              <w:jc w:val="right"/>
              <w:ind w:right="79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64,529</w:t>
            </w:r>
          </w:p>
        </w:tc>
        <w:tc>
          <w:tcPr>
            <w:tcW w:w="360" w:type="dxa"/>
            <w:vAlign w:val="bottom"/>
            <w:gridSpan w:val="3"/>
            <w:shd w:val="clear" w:color="auto" w:fill="CCFFC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64,529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Totals</w:t>
            </w:r>
          </w:p>
        </w:tc>
        <w:tc>
          <w:tcPr>
            <w:tcW w:w="2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92"/>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Financial liabilities at fair value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as of December 31, 2012</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ind w:left="320"/>
              <w:spacing w:after="0"/>
              <w:rPr>
                <w:sz w:val="20"/>
                <w:szCs w:val="20"/>
                <w:color w:val="auto"/>
              </w:rPr>
            </w:pPr>
            <w:r>
              <w:rPr>
                <w:rFonts w:ascii="Arial" w:cs="Arial" w:eastAsia="Arial" w:hAnsi="Arial"/>
                <w:sz w:val="18"/>
                <w:szCs w:val="18"/>
                <w:b w:val="1"/>
                <w:bCs w:val="1"/>
                <w:color w:val="auto"/>
                <w:w w:val="98"/>
              </w:rPr>
              <w:t>Level 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5% Notes</w:t>
            </w:r>
          </w:p>
        </w:tc>
        <w:tc>
          <w:tcPr>
            <w:tcW w:w="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FFCC"/>
          </w:tcPr>
          <w:p>
            <w:pPr>
              <w:jc w:val="right"/>
              <w:ind w:right="79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2,479,098</w:t>
            </w:r>
          </w:p>
        </w:tc>
        <w:tc>
          <w:tcPr>
            <w:tcW w:w="360" w:type="dxa"/>
            <w:vAlign w:val="bottom"/>
            <w:gridSpan w:val="3"/>
            <w:shd w:val="clear" w:color="auto" w:fill="CCFFC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2,479,098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Totals</w:t>
            </w: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79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2,479,098</w:t>
            </w:r>
          </w:p>
        </w:tc>
        <w:tc>
          <w:tcPr>
            <w:tcW w:w="120" w:type="dxa"/>
            <w:vAlign w:val="bottom"/>
            <w:gridSpan w:val="2"/>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2,479,098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Level 3 instruments for the years ended December 31, 2012 and 2013:</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Balance at January 1, 2012</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3,294,797</w:t>
            </w:r>
          </w:p>
        </w:tc>
        <w:tc>
          <w:tcPr>
            <w:tcW w:w="120" w:type="dxa"/>
            <w:vAlign w:val="bottom"/>
            <w:shd w:val="clear" w:color="auto" w:fill="CCFFCC"/>
          </w:tcPr>
          <w:p>
            <w:pPr>
              <w:spacing w:after="0"/>
              <w:rPr>
                <w:sz w:val="18"/>
                <w:szCs w:val="18"/>
                <w:color w:val="auto"/>
              </w:rPr>
            </w:pPr>
          </w:p>
        </w:tc>
      </w:tr>
      <w:tr>
        <w:trPr>
          <w:trHeight w:val="216"/>
        </w:trPr>
        <w:tc>
          <w:tcPr>
            <w:tcW w:w="7180" w:type="dxa"/>
            <w:vAlign w:val="bottom"/>
          </w:tcPr>
          <w:p>
            <w:pPr>
              <w:ind w:left="180"/>
              <w:spacing w:after="0"/>
              <w:rPr>
                <w:sz w:val="20"/>
                <w:szCs w:val="20"/>
                <w:color w:val="auto"/>
              </w:rPr>
            </w:pPr>
            <w:r>
              <w:rPr>
                <w:rFonts w:ascii="Arial" w:cs="Arial" w:eastAsia="Arial" w:hAnsi="Arial"/>
                <w:sz w:val="18"/>
                <w:szCs w:val="18"/>
                <w:color w:val="auto"/>
              </w:rPr>
              <w:t>Interest accrued on face value of 5% Notes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844,173</w:t>
            </w:r>
          </w:p>
        </w:tc>
        <w:tc>
          <w:tcPr>
            <w:tcW w:w="120" w:type="dxa"/>
            <w:vAlign w:val="bottom"/>
          </w:tcPr>
          <w:p>
            <w:pPr>
              <w:spacing w:after="0"/>
              <w:rPr>
                <w:sz w:val="18"/>
                <w:szCs w:val="18"/>
                <w:color w:val="auto"/>
              </w:rPr>
            </w:pPr>
          </w:p>
        </w:tc>
      </w:tr>
      <w:tr>
        <w:trPr>
          <w:trHeight w:val="216"/>
        </w:trPr>
        <w:tc>
          <w:tcPr>
            <w:tcW w:w="7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Change in fair value of Level 3 liabilities</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(1,659,872)</w:t>
            </w:r>
          </w:p>
        </w:tc>
      </w:tr>
      <w:tr>
        <w:trPr>
          <w:trHeight w:val="210"/>
        </w:trPr>
        <w:tc>
          <w:tcPr>
            <w:tcW w:w="7180" w:type="dxa"/>
            <w:vAlign w:val="bottom"/>
          </w:tcPr>
          <w:p>
            <w:pPr>
              <w:spacing w:after="0"/>
              <w:rPr>
                <w:sz w:val="20"/>
                <w:szCs w:val="20"/>
                <w:color w:val="auto"/>
              </w:rPr>
            </w:pPr>
            <w:r>
              <w:rPr>
                <w:rFonts w:ascii="Arial" w:cs="Arial" w:eastAsia="Arial" w:hAnsi="Arial"/>
                <w:sz w:val="18"/>
                <w:szCs w:val="18"/>
                <w:color w:val="auto"/>
              </w:rPr>
              <w:t>Balance at December 31, 2012</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2,479,098</w:t>
            </w:r>
          </w:p>
        </w:tc>
        <w:tc>
          <w:tcPr>
            <w:tcW w:w="120" w:type="dxa"/>
            <w:vAlign w:val="bottom"/>
          </w:tcPr>
          <w:p>
            <w:pPr>
              <w:spacing w:after="0"/>
              <w:rPr>
                <w:sz w:val="18"/>
                <w:szCs w:val="18"/>
                <w:color w:val="auto"/>
              </w:rPr>
            </w:pPr>
          </w:p>
        </w:tc>
      </w:tr>
      <w:tr>
        <w:trPr>
          <w:trHeight w:val="216"/>
        </w:trPr>
        <w:tc>
          <w:tcPr>
            <w:tcW w:w="7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accrued on face value of 5% Notes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886,382</w:t>
            </w:r>
          </w:p>
        </w:tc>
        <w:tc>
          <w:tcPr>
            <w:tcW w:w="120" w:type="dxa"/>
            <w:vAlign w:val="bottom"/>
            <w:shd w:val="clear" w:color="auto" w:fill="CCFFCC"/>
          </w:tcPr>
          <w:p>
            <w:pPr>
              <w:spacing w:after="0"/>
              <w:rPr>
                <w:sz w:val="18"/>
                <w:szCs w:val="18"/>
                <w:color w:val="auto"/>
              </w:rPr>
            </w:pPr>
          </w:p>
        </w:tc>
      </w:tr>
      <w:tr>
        <w:trPr>
          <w:trHeight w:val="216"/>
        </w:trPr>
        <w:tc>
          <w:tcPr>
            <w:tcW w:w="7180" w:type="dxa"/>
            <w:vAlign w:val="bottom"/>
          </w:tcPr>
          <w:p>
            <w:pPr>
              <w:ind w:left="180"/>
              <w:spacing w:after="0"/>
              <w:rPr>
                <w:sz w:val="20"/>
                <w:szCs w:val="20"/>
                <w:color w:val="auto"/>
              </w:rPr>
            </w:pPr>
            <w:r>
              <w:rPr>
                <w:rFonts w:ascii="Arial" w:cs="Arial" w:eastAsia="Arial" w:hAnsi="Arial"/>
                <w:sz w:val="18"/>
                <w:szCs w:val="18"/>
                <w:color w:val="auto"/>
              </w:rPr>
              <w:t>Change in fair value of Level 3 liabilities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(3,300,951)</w:t>
            </w:r>
          </w:p>
        </w:tc>
      </w:tr>
      <w:tr>
        <w:trPr>
          <w:trHeight w:val="210"/>
        </w:trPr>
        <w:tc>
          <w:tcPr>
            <w:tcW w:w="71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at December 31, 2013</w:t>
            </w:r>
          </w:p>
        </w:tc>
        <w:tc>
          <w:tcPr>
            <w:tcW w:w="260" w:type="dxa"/>
            <w:vAlign w:val="bottom"/>
            <w:tcBorders>
              <w:top w:val="single" w:sz="8" w:color="auto"/>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64,529</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measured at fair value on a nonrecurring basis as of December 31, 2013 and 2012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6"/>
          </w:tcPr>
          <w:p>
            <w:pPr>
              <w:jc w:val="right"/>
              <w:ind w:right="245"/>
              <w:spacing w:after="0"/>
              <w:rPr>
                <w:sz w:val="20"/>
                <w:szCs w:val="20"/>
                <w:color w:val="auto"/>
              </w:rPr>
            </w:pPr>
            <w:r>
              <w:rPr>
                <w:rFonts w:ascii="Arial" w:cs="Arial" w:eastAsia="Arial" w:hAnsi="Arial"/>
                <w:sz w:val="18"/>
                <w:szCs w:val="18"/>
                <w:b w:val="1"/>
                <w:bCs w:val="1"/>
                <w:color w:val="auto"/>
                <w:w w:val="88"/>
              </w:rPr>
              <w:t>Fair value measurements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Total impairment charge</w:t>
            </w:r>
          </w:p>
        </w:tc>
      </w:tr>
      <w:tr>
        <w:trPr>
          <w:trHeight w:val="234"/>
        </w:trPr>
        <w:tc>
          <w:tcPr>
            <w:tcW w:w="3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8"/>
                <w:szCs w:val="18"/>
                <w:b w:val="1"/>
                <w:bCs w:val="1"/>
                <w:color w:val="auto"/>
                <w:w w:val="88"/>
              </w:rPr>
              <w:t>as of December 31, 2013</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for the year ended</w:t>
            </w:r>
          </w:p>
        </w:tc>
      </w:tr>
      <w:tr>
        <w:trPr>
          <w:trHeight w:val="210"/>
        </w:trPr>
        <w:tc>
          <w:tcPr>
            <w:tcW w:w="3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ind w:right="77"/>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ind w:left="22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 2013</w:t>
            </w:r>
          </w:p>
        </w:tc>
      </w:tr>
      <w:tr>
        <w:trPr>
          <w:trHeight w:val="210"/>
        </w:trPr>
        <w:tc>
          <w:tcPr>
            <w:tcW w:w="3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64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9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900" w:type="dxa"/>
            <w:vAlign w:val="bottom"/>
            <w:gridSpan w:val="2"/>
          </w:tcPr>
          <w:p>
            <w:pPr>
              <w:jc w:val="right"/>
              <w:ind w:right="1097"/>
              <w:spacing w:after="0"/>
              <w:rPr>
                <w:sz w:val="20"/>
                <w:szCs w:val="20"/>
                <w:color w:val="auto"/>
              </w:rPr>
            </w:pPr>
            <w:r>
              <w:rPr>
                <w:rFonts w:ascii="Arial" w:cs="Arial" w:eastAsia="Arial" w:hAnsi="Arial"/>
                <w:sz w:val="18"/>
                <w:szCs w:val="18"/>
                <w:color w:val="auto"/>
              </w:rPr>
              <w:t>$</w:t>
            </w: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(2,797,600)</w:t>
            </w:r>
          </w:p>
        </w:tc>
      </w:tr>
      <w:tr>
        <w:trPr>
          <w:trHeight w:val="210"/>
        </w:trPr>
        <w:tc>
          <w:tcPr>
            <w:tcW w:w="3300" w:type="dxa"/>
            <w:vAlign w:val="bottom"/>
            <w:tcBorders>
              <w:top w:val="single" w:sz="8" w:color="CCFFCC"/>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CCFFCC"/>
              <w:bottom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ind w:right="109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FFCC"/>
          </w:tcPr>
          <w:p>
            <w:pPr>
              <w:ind w:left="16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bottom w:val="single" w:sz="8" w:color="auto"/>
            </w:tcBorders>
            <w:shd w:val="clear" w:color="auto" w:fill="CCFFCC"/>
          </w:tcPr>
          <w:p>
            <w:pPr>
              <w:spacing w:after="0"/>
              <w:rPr>
                <w:sz w:val="18"/>
                <w:szCs w:val="18"/>
                <w:color w:val="auto"/>
              </w:rPr>
            </w:pP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FFCC"/>
          </w:tcPr>
          <w:p>
            <w:pPr>
              <w:ind w:left="1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FFCC"/>
          </w:tcPr>
          <w:p>
            <w:pPr>
              <w:ind w:left="1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(2,797,600)</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r>
      <w:tr>
        <w:trPr>
          <w:trHeight w:val="20"/>
        </w:trPr>
        <w:tc>
          <w:tcPr>
            <w:tcW w:w="3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gridSpan w:val="6"/>
          </w:tcPr>
          <w:p>
            <w:pPr>
              <w:jc w:val="center"/>
              <w:ind w:right="210"/>
              <w:spacing w:after="0"/>
              <w:rPr>
                <w:sz w:val="20"/>
                <w:szCs w:val="20"/>
                <w:color w:val="auto"/>
              </w:rPr>
            </w:pPr>
            <w:r>
              <w:rPr>
                <w:rFonts w:ascii="Arial" w:cs="Arial" w:eastAsia="Arial" w:hAnsi="Arial"/>
                <w:sz w:val="18"/>
                <w:szCs w:val="18"/>
                <w:b w:val="1"/>
                <w:bCs w:val="1"/>
                <w:color w:val="auto"/>
                <w:w w:val="89"/>
              </w:rPr>
              <w:t>Fair value measurements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Total impairment charge</w:t>
            </w:r>
          </w:p>
        </w:tc>
      </w:tr>
      <w:tr>
        <w:trPr>
          <w:trHeight w:val="234"/>
        </w:trPr>
        <w:tc>
          <w:tcPr>
            <w:tcW w:w="3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as of December 31, 2012</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for the year ended</w:t>
            </w:r>
          </w:p>
        </w:tc>
      </w:tr>
      <w:tr>
        <w:trPr>
          <w:trHeight w:val="210"/>
        </w:trPr>
        <w:tc>
          <w:tcPr>
            <w:tcW w:w="3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8"/>
                <w:szCs w:val="18"/>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 2012</w:t>
            </w:r>
          </w:p>
        </w:tc>
      </w:tr>
      <w:tr>
        <w:trPr>
          <w:trHeight w:val="210"/>
        </w:trPr>
        <w:tc>
          <w:tcPr>
            <w:tcW w:w="33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64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9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90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ind w:right="1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2,797,600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(1,104,700)</w:t>
            </w:r>
          </w:p>
        </w:tc>
      </w:tr>
      <w:tr>
        <w:trPr>
          <w:trHeight w:val="210"/>
        </w:trPr>
        <w:tc>
          <w:tcPr>
            <w:tcW w:w="3320" w:type="dxa"/>
            <w:vAlign w:val="bottom"/>
            <w:tcBorders>
              <w:top w:val="single" w:sz="8" w:color="CCFFCC"/>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CCFFCC"/>
              <w:bottom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ind w:right="10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FFCC"/>
          </w:tcPr>
          <w:p>
            <w:pPr>
              <w:ind w:left="16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FFCC"/>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2,797,600</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(1,104,700)</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December 31, 2013, as a result of expiring intellectual property rights, uncertain regulatory pathways, and market changes affecting the commercial potential for the Ariston in-process research and development asset (AST-726), the Company determined that the asset's carrying value was no longer recoverable. Accordingly, during the year ended December 31, 2013, we recorded a non-cash impairment charge of $2,797,600, which was recorded as impairment of in-process research and development in our consolidated statements of operations. The fair value of this asset was determined to be zero primarily as a result of the expiring intellectual property rights surrounding the asset. This fair value measurement technique is based on significant inputs not observable in the market and thus represents a Level 3 measurement within the fair value hierarchy.</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December 31, 2012, as a result of market changes affecting the commercial potential for the Ariston in-process research and development assets (AST-726 and AST-915), the Company determined that the asset's carrying value was no longer fully recoverable. Accordingly, during the year ended December 31, 2012, we recorded a non-cash impairment charge of $1,104,700, which was recorded as impairment of in-process research and development in our consolidated statements of operations. The fair value of this asset was determined using a discounted cash flow model, where the expected cash flows of the Ariston assets are discounted to the present using a yield that incorporates compensation for the probability of success in clinical development and marketing, among other factors. This fair value measurement technique is based on significant inputs not observable in the market and thus represents a Level 3 measurement within the fair value hierarchy. Also contributing to the impairment charge recorded during the period ended December 31, 2012 was the Company’s decision during 2012 to discontinue future development activities for AST-915, following the analysis from a Phase I dose escalation trial, in which AST-915 failed to meet its primary efficacy endpoint.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the Company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amended and restated certificate of incorporation authorizes the issuance of up to 500,000,000 shares of $0.001 par value common stock.</w:t>
      </w:r>
    </w:p>
    <w:p>
      <w:pPr>
        <w:spacing w:after="0" w:line="237"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On December 30, 2011, we completed the first closing of the private placement of our securities, issuing 4,929,523 shares of Common Stock at a price per share of $2.25 for total gross proceeds, before placement commissions and expenses, of $11,091,425 (the “2011 Equity PIPE”). Investors also received warrants to purchase 1,232,381 shares of Common Stock. The warrants have an exercise price of $2.25 per share and are exercisable for five years.</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2012, we completed two additional closings of the 2011 Equity PIPE. These closings were held on January 31, 2012, and February 24, 2012. In these closings, the Company issued 695,428 shares of our Company Preferred Stock at a price per share of $20.00 for total gross proceeds, before placement commissions and expenses, of $13,908,560. Each share of Company Preferred Stock was convertible into 8.89 shares of Common Stock; provided that such conversion rights were subject to sufficient available authorized shares of Common Stock. In connection with the reverse stock split effected by the Company on April 30, 2012, all shares of Preferred Stock issued in the 2011 Equity PIPE were converted to Common Stock. Investors also received warrants to purchase 1,545,396 shares of Common Stock. The warrants have an exercise price of $2.25 per share and are exercisable for five years. The shares of Company Preferred Stock and warrants sold in these closings were offered and sold to accredited investors, including members of management, without registration under the Securities Act, or state securities laws, in reliance on the exemptions provided by Section 4(2) of the Securities Act, and Regulation D promulgated thereunder and in reliance on similar exemptions under applicable state laws. Accordingly, the securities issued in the offering have not been registered under the Securities Act, and until so registered, these securities may not be offered or sold in the United States absent registration or availability of an applicable exemption from registration.</w:t>
      </w:r>
    </w:p>
    <w:p>
      <w:pPr>
        <w:spacing w:after="0" w:line="18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July 18, 2013, we announced the pricing of an underwritten public offering of 5,700,000 shares of our Common Stock at a price of $6.15 per share for gross proceeds of approximately $35 million. We also granted to the underwriters a 30-day option to acquire an additional 855,000 shares to cover overallotments in connection with the offering. Total net proceeds from this offering, including the overallotment, were approximately $37.6 million, net of underwriting discounts and offering expenses of approximately $2.7 million. The shares were sold under a shelf registration statement on Form S-3 (File No. 333-189015) that was previously filed and declared effective by the SEC on June 17, 2013.</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currently have one shelf registration statement on Form S-3 filed and declared effective by the SEC (File No. 333-189015). Subsequent to the July 2013 offering, this shelf registration statement provides for the offering of up to approximately $135 million of common stock. We may offer the securities under our shelf registration statement from time to time in response to market conditions or other circumstances if we believe such a plan of financing is in the best interests of our stockholders. We believe that this shelf registration statement provides us with the flexibility to raise additional capital to finance our operations as needed.</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ind w:right="620" w:firstLine="693"/>
        <w:spacing w:after="0" w:line="308" w:lineRule="auto"/>
        <w:rPr>
          <w:sz w:val="20"/>
          <w:szCs w:val="20"/>
          <w:color w:val="auto"/>
        </w:rPr>
      </w:pPr>
      <w:r>
        <w:rPr>
          <w:rFonts w:ascii="Arial" w:cs="Arial" w:eastAsia="Arial" w:hAnsi="Arial"/>
          <w:sz w:val="17"/>
          <w:szCs w:val="17"/>
          <w:color w:val="auto"/>
        </w:rPr>
        <w:t>As of December 31, 2013, 41,309 shares of common stock are being held by the Company in Treasury, at a cost of approximately $234,000, representing the fair market value on the date the shares were surrendered to the Company to satisfy employee tax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in effect the following stock option and incentive plans.</w:t>
      </w:r>
    </w:p>
    <w:p>
      <w:pPr>
        <w:spacing w:after="0" w:line="225" w:lineRule="exact"/>
        <w:rPr>
          <w:sz w:val="20"/>
          <w:szCs w:val="20"/>
          <w:color w:val="auto"/>
        </w:rPr>
      </w:pPr>
    </w:p>
    <w:p>
      <w:pPr>
        <w:ind w:right="20" w:firstLine="765"/>
        <w:spacing w:after="0" w:line="279" w:lineRule="auto"/>
        <w:rPr>
          <w:sz w:val="20"/>
          <w:szCs w:val="20"/>
          <w:color w:val="auto"/>
        </w:rPr>
      </w:pPr>
      <w:r>
        <w:rPr>
          <w:rFonts w:ascii="Arial" w:cs="Arial" w:eastAsia="Arial" w:hAnsi="Arial"/>
          <w:sz w:val="17"/>
          <w:szCs w:val="17"/>
          <w:color w:val="auto"/>
        </w:rPr>
        <w:t>a. The Company has shareholder-approved incentive stock option plans for employees under which it has granted non-qualified and incentive stock options, which provided for the granting of options to purchase up to 5,333 shares of the Company’s common stock. The options have a maximum term of 10 years and vest over a period determined by the Company’s Board of Directors. At December 31, 2013, options to purchase 591 shares were outstanding, 10 shares of common stock were issued and there were no shares reserved for future grants under the Plan.</w:t>
      </w:r>
    </w:p>
    <w:p>
      <w:pPr>
        <w:spacing w:after="0" w:line="171" w:lineRule="exact"/>
        <w:rPr>
          <w:sz w:val="20"/>
          <w:szCs w:val="20"/>
          <w:color w:val="auto"/>
        </w:rPr>
      </w:pPr>
    </w:p>
    <w:p>
      <w:pPr>
        <w:ind w:right="20" w:firstLine="720"/>
        <w:spacing w:after="0" w:line="257" w:lineRule="auto"/>
        <w:rPr>
          <w:sz w:val="20"/>
          <w:szCs w:val="20"/>
          <w:color w:val="auto"/>
        </w:rPr>
      </w:pPr>
      <w:r>
        <w:rPr>
          <w:rFonts w:ascii="Arial" w:cs="Arial" w:eastAsia="Arial" w:hAnsi="Arial"/>
          <w:sz w:val="18"/>
          <w:szCs w:val="18"/>
          <w:color w:val="auto"/>
        </w:rPr>
        <w:t>b. In May 2012, the Company established the TG Therapeutics, Inc. Amended and Restated 2012 Incentive Plan (“2012 Incentive Plan”). Under the 2012 Incentive Plan, the compensation committee of the Company’s board of directors is authorized to grant stock-based awards to directors, consultants, employees and officers. The 2012 Incentive Plan authorizes grants to purchase up to 6,000,000 shares of authorized but unissued common stock. As of December 31, 2013, options to purchase 46,000 shares were outstanding and up to an additional 1,107,793 shares may be issued under the 2012 Incentive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years ended December 31, 2013 and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720" w:type="dxa"/>
            <w:vAlign w:val="bottom"/>
            <w:gridSpan w:val="2"/>
          </w:tcPr>
          <w:p>
            <w:pPr>
              <w:ind w:left="46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average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800" w:type="dxa"/>
            <w:vAlign w:val="bottom"/>
            <w:gridSpan w:val="3"/>
          </w:tcPr>
          <w:p>
            <w:pPr>
              <w:ind w:left="60"/>
              <w:spacing w:after="0"/>
              <w:rPr>
                <w:sz w:val="20"/>
                <w:szCs w:val="20"/>
                <w:color w:val="auto"/>
              </w:rPr>
            </w:pPr>
            <w:r>
              <w:rPr>
                <w:rFonts w:ascii="Arial" w:cs="Arial" w:eastAsia="Arial" w:hAnsi="Arial"/>
                <w:sz w:val="18"/>
                <w:szCs w:val="18"/>
                <w:b w:val="1"/>
                <w:bCs w:val="1"/>
                <w:color w:val="auto"/>
              </w:rPr>
              <w:t>Aggregate 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720" w:type="dxa"/>
            <w:vAlign w:val="bottom"/>
            <w:gridSpan w:val="2"/>
          </w:tcPr>
          <w:p>
            <w:pPr>
              <w:ind w:left="460"/>
              <w:spacing w:after="0"/>
              <w:rPr>
                <w:sz w:val="20"/>
                <w:szCs w:val="20"/>
                <w:color w:val="auto"/>
              </w:rPr>
            </w:pPr>
            <w:r>
              <w:rPr>
                <w:rFonts w:ascii="Arial" w:cs="Arial" w:eastAsia="Arial" w:hAnsi="Arial"/>
                <w:sz w:val="18"/>
                <w:szCs w:val="18"/>
                <w:b w:val="1"/>
                <w:bCs w:val="1"/>
                <w:color w:val="auto"/>
              </w:rPr>
              <w:t>of shares</w:t>
            </w:r>
          </w:p>
        </w:tc>
        <w:tc>
          <w:tcPr>
            <w:tcW w:w="22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 price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January 1, 2012</w:t>
            </w:r>
          </w:p>
        </w:tc>
        <w:tc>
          <w:tcPr>
            <w:tcW w:w="1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3,379</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1,315.62</w:t>
            </w: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46,000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(2,475)</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720.45</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Expired</w:t>
            </w:r>
          </w:p>
        </w:tc>
        <w:tc>
          <w:tcPr>
            <w:tcW w:w="17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Pr>
          <w:p>
            <w:pPr>
              <w:spacing w:after="0" w:line="196" w:lineRule="exact"/>
              <w:rPr>
                <w:sz w:val="20"/>
                <w:szCs w:val="20"/>
                <w:color w:val="auto"/>
              </w:rPr>
            </w:pPr>
            <w:r>
              <w:rPr>
                <w:rFonts w:ascii="Arial" w:cs="Arial" w:eastAsia="Arial" w:hAnsi="Arial"/>
                <w:sz w:val="18"/>
                <w:szCs w:val="18"/>
                <w:color w:val="auto"/>
              </w:rPr>
              <w:t>Outstanding at December 31, 2012</w:t>
            </w:r>
          </w:p>
        </w:tc>
        <w:tc>
          <w:tcPr>
            <w:tcW w:w="1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46,904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61.08</w:t>
            </w:r>
          </w:p>
        </w:tc>
        <w:tc>
          <w:tcPr>
            <w:tcW w:w="100" w:type="dxa"/>
            <w:vAlign w:val="bottom"/>
          </w:tcPr>
          <w:p>
            <w:pPr>
              <w:spacing w:after="0"/>
              <w:rPr>
                <w:sz w:val="20"/>
                <w:szCs w:val="20"/>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9.44</w:t>
            </w:r>
          </w:p>
        </w:tc>
        <w:tc>
          <w:tcPr>
            <w:tcW w:w="480" w:type="dxa"/>
            <w:vAlign w:val="bottom"/>
            <w:gridSpan w:val="2"/>
          </w:tcPr>
          <w:p>
            <w:pPr>
              <w:jc w:val="right"/>
              <w:ind w:right="197"/>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tcBorders>
              <w:top w:val="single" w:sz="8" w:color="CCFFCC"/>
            </w:tcBorders>
            <w:shd w:val="clear" w:color="auto" w:fill="CCFFCC"/>
          </w:tcPr>
          <w:p>
            <w:pPr>
              <w:ind w:left="160"/>
              <w:spacing w:after="0" w:line="196" w:lineRule="exact"/>
              <w:rPr>
                <w:sz w:val="20"/>
                <w:szCs w:val="20"/>
                <w:color w:val="auto"/>
              </w:rPr>
            </w:pPr>
            <w:r>
              <w:rPr>
                <w:rFonts w:ascii="Arial" w:cs="Arial" w:eastAsia="Arial" w:hAnsi="Arial"/>
                <w:sz w:val="18"/>
                <w:szCs w:val="18"/>
                <w:color w:val="auto"/>
              </w:rPr>
              <w:t>Granted</w:t>
            </w:r>
          </w:p>
        </w:tc>
        <w:tc>
          <w:tcPr>
            <w:tcW w:w="1720" w:type="dxa"/>
            <w:vAlign w:val="bottom"/>
            <w:tcBorders>
              <w:top w:val="single" w:sz="8" w:color="CCFFCC"/>
            </w:tcBorders>
            <w:gridSpan w:val="2"/>
            <w:shd w:val="clear" w:color="auto" w:fill="CCFFC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FFCC"/>
            </w:tcBorders>
            <w:shd w:val="clear" w:color="auto" w:fill="CCFFCC"/>
          </w:tcPr>
          <w:p>
            <w:pPr>
              <w:spacing w:after="0"/>
              <w:rPr>
                <w:sz w:val="17"/>
                <w:szCs w:val="17"/>
                <w:color w:val="auto"/>
              </w:rPr>
            </w:pPr>
          </w:p>
        </w:tc>
        <w:tc>
          <w:tcPr>
            <w:tcW w:w="1600" w:type="dxa"/>
            <w:vAlign w:val="bottom"/>
            <w:tcBorders>
              <w:top w:val="single" w:sz="8" w:color="CCFFCC"/>
            </w:tcBorders>
            <w:gridSpan w:val="2"/>
            <w:shd w:val="clear" w:color="auto" w:fill="CCFFC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360" w:type="dxa"/>
            <w:vAlign w:val="bottom"/>
            <w:tcBorders>
              <w:top w:val="single" w:sz="8" w:color="auto"/>
            </w:tcBorders>
            <w:shd w:val="clear" w:color="auto" w:fill="CCFFCC"/>
          </w:tcPr>
          <w:p>
            <w:pPr>
              <w:spacing w:after="0"/>
              <w:rPr>
                <w:sz w:val="17"/>
                <w:szCs w:val="17"/>
                <w:color w:val="auto"/>
              </w:rPr>
            </w:pPr>
          </w:p>
        </w:tc>
        <w:tc>
          <w:tcPr>
            <w:tcW w:w="13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Forfeited</w:t>
            </w:r>
          </w:p>
        </w:tc>
        <w:tc>
          <w:tcPr>
            <w:tcW w:w="17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CFFCC"/>
          </w:tcPr>
          <w:p>
            <w:pPr>
              <w:spacing w:after="0"/>
              <w:rPr>
                <w:sz w:val="18"/>
                <w:szCs w:val="18"/>
                <w:color w:val="auto"/>
              </w:rPr>
            </w:pP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2,249.85</w:t>
            </w: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Expired</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2013</w:t>
            </w:r>
          </w:p>
        </w:tc>
        <w:tc>
          <w:tcPr>
            <w:tcW w:w="16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46,591</w:t>
            </w: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Borders>
              <w:top w:val="single" w:sz="8" w:color="CCFFCC"/>
            </w:tcBorders>
            <w:shd w:val="clear" w:color="auto" w:fill="CCFFCC"/>
          </w:tcPr>
          <w:p>
            <w:pPr>
              <w:spacing w:after="0"/>
              <w:rPr>
                <w:sz w:val="18"/>
                <w:szCs w:val="18"/>
                <w:color w:val="auto"/>
              </w:rPr>
            </w:pPr>
          </w:p>
        </w:tc>
        <w:tc>
          <w:tcPr>
            <w:tcW w:w="16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8.50</w:t>
            </w:r>
          </w:p>
        </w:tc>
        <w:tc>
          <w:tcPr>
            <w:tcW w:w="480" w:type="dxa"/>
            <w:vAlign w:val="bottom"/>
            <w:tcBorders>
              <w:top w:val="single" w:sz="8" w:color="CCFFCC"/>
            </w:tcBorders>
            <w:gridSpan w:val="2"/>
            <w:shd w:val="clear" w:color="auto" w:fill="CCFFCC"/>
          </w:tcPr>
          <w:p>
            <w:pPr>
              <w:jc w:val="right"/>
              <w:ind w:right="197"/>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FFCC"/>
            </w:tcBorders>
            <w:gridSpan w:val="2"/>
            <w:shd w:val="clear" w:color="auto" w:fill="CCFFCC"/>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FFC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Vested and expected to vest at December 31, 2013</w:t>
            </w:r>
          </w:p>
        </w:tc>
        <w:tc>
          <w:tcPr>
            <w:tcW w:w="1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9,591</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208.30</w:t>
            </w: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8.16</w:t>
            </w:r>
          </w:p>
        </w:tc>
        <w:tc>
          <w:tcPr>
            <w:tcW w:w="480" w:type="dxa"/>
            <w:vAlign w:val="bottom"/>
            <w:gridSpan w:val="2"/>
            <w:shd w:val="clear" w:color="auto" w:fill="CCFFCC"/>
          </w:tcPr>
          <w:p>
            <w:pPr>
              <w:jc w:val="right"/>
              <w:ind w:right="19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CFFC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2013</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gridSpan w:val="2"/>
            <w:vMerge w:val="continue"/>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9,591</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208.30</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8.16</w:t>
            </w:r>
          </w:p>
        </w:tc>
        <w:tc>
          <w:tcPr>
            <w:tcW w:w="12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ind w:left="1080"/>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720" w:type="dxa"/>
            <w:vAlign w:val="bottom"/>
            <w:gridSpan w:val="2"/>
          </w:tcPr>
          <w:p>
            <w:pPr>
              <w:ind w:left="1200"/>
              <w:spacing w:after="0"/>
              <w:rPr>
                <w:sz w:val="20"/>
                <w:szCs w:val="20"/>
                <w:color w:val="auto"/>
              </w:rPr>
            </w:pPr>
            <w:r>
              <w:rPr>
                <w:rFonts w:ascii="Arial" w:cs="Arial" w:eastAsia="Arial" w:hAnsi="Arial"/>
                <w:sz w:val="18"/>
                <w:szCs w:val="18"/>
                <w:color w:val="auto"/>
              </w:rPr>
              <w:t>F-16</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December 31, 2013, there is no unrecognized compensation cost related to unvested time-based option awards. This amount does not include, as of December 31, 2013, 37,000 non-employee options outstanding which are milestone-based and vest upon certain corporate milestones. Stock-based compensation will be measured and recorded if and when a milestone occurs.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Preferred</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Certain employees had been awarded restricted preferred stock. The restricted stock vesting consisted of milestone and time-based vesting. The following table summarizes restricted share activity for the years ended December 31, 2013 and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80" w:type="dxa"/>
            <w:vAlign w:val="bottom"/>
          </w:tcPr>
          <w:p>
            <w:pPr>
              <w:spacing w:after="0"/>
              <w:rPr>
                <w:sz w:val="19"/>
                <w:szCs w:val="19"/>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Number of Shares</w:t>
            </w:r>
          </w:p>
        </w:tc>
        <w:tc>
          <w:tcPr>
            <w:tcW w:w="360" w:type="dxa"/>
            <w:vAlign w:val="bottom"/>
          </w:tcPr>
          <w:p>
            <w:pPr>
              <w:spacing w:after="0"/>
              <w:rPr>
                <w:sz w:val="19"/>
                <w:szCs w:val="19"/>
                <w:color w:val="auto"/>
              </w:rPr>
            </w:pPr>
          </w:p>
        </w:tc>
        <w:tc>
          <w:tcPr>
            <w:tcW w:w="19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680" w:type="dxa"/>
            <w:vAlign w:val="bottom"/>
          </w:tcPr>
          <w:p>
            <w:pPr>
              <w:spacing w:after="0"/>
              <w:rPr>
                <w:sz w:val="18"/>
                <w:szCs w:val="18"/>
                <w:color w:val="auto"/>
              </w:rPr>
            </w:pP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Restricted Series</w:t>
            </w:r>
          </w:p>
        </w:tc>
        <w:tc>
          <w:tcPr>
            <w:tcW w:w="360" w:type="dxa"/>
            <w:vAlign w:val="bottom"/>
          </w:tcPr>
          <w:p>
            <w:pPr>
              <w:spacing w:after="0"/>
              <w:rPr>
                <w:sz w:val="18"/>
                <w:szCs w:val="18"/>
                <w:color w:val="auto"/>
              </w:rPr>
            </w:pPr>
          </w:p>
        </w:tc>
        <w:tc>
          <w:tcPr>
            <w:tcW w:w="19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680" w:type="dxa"/>
            <w:vAlign w:val="bottom"/>
          </w:tcPr>
          <w:p>
            <w:pPr>
              <w:spacing w:after="0"/>
              <w:rPr>
                <w:sz w:val="18"/>
                <w:szCs w:val="18"/>
                <w:color w:val="auto"/>
              </w:rPr>
            </w:pP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 Preferred</w:t>
            </w:r>
          </w:p>
        </w:tc>
        <w:tc>
          <w:tcPr>
            <w:tcW w:w="360" w:type="dxa"/>
            <w:vAlign w:val="bottom"/>
          </w:tcPr>
          <w:p>
            <w:pPr>
              <w:spacing w:after="0"/>
              <w:rPr>
                <w:sz w:val="18"/>
                <w:szCs w:val="18"/>
                <w:color w:val="auto"/>
              </w:rPr>
            </w:pPr>
          </w:p>
        </w:tc>
        <w:tc>
          <w:tcPr>
            <w:tcW w:w="19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5"/>
              </w:rPr>
              <w:t>Grant Date</w:t>
            </w:r>
          </w:p>
        </w:tc>
      </w:tr>
      <w:tr>
        <w:trPr>
          <w:trHeight w:val="270"/>
        </w:trPr>
        <w:tc>
          <w:tcPr>
            <w:tcW w:w="4680" w:type="dxa"/>
            <w:vAlign w:val="bottom"/>
          </w:tcPr>
          <w:p>
            <w:pPr>
              <w:spacing w:after="0"/>
              <w:rPr>
                <w:sz w:val="23"/>
                <w:szCs w:val="23"/>
                <w:color w:val="auto"/>
              </w:rPr>
            </w:pPr>
          </w:p>
        </w:tc>
        <w:tc>
          <w:tcPr>
            <w:tcW w:w="2140" w:type="dxa"/>
            <w:vAlign w:val="bottom"/>
            <w:gridSpan w:val="2"/>
          </w:tcPr>
          <w:p>
            <w:pPr>
              <w:jc w:val="center"/>
              <w:ind w:right="100"/>
              <w:spacing w:after="0" w:line="269" w:lineRule="exact"/>
              <w:rPr>
                <w:sz w:val="20"/>
                <w:szCs w:val="20"/>
                <w:color w:val="auto"/>
              </w:rPr>
            </w:pPr>
            <w:r>
              <w:rPr>
                <w:rFonts w:ascii="Arial" w:cs="Arial" w:eastAsia="Arial" w:hAnsi="Arial"/>
                <w:sz w:val="18"/>
                <w:szCs w:val="18"/>
                <w:b w:val="1"/>
                <w:bCs w:val="1"/>
                <w:color w:val="auto"/>
                <w:w w:val="81"/>
              </w:rPr>
              <w:t>Stock</w:t>
            </w:r>
            <w:r>
              <w:rPr>
                <w:rFonts w:ascii="Arial" w:cs="Arial" w:eastAsia="Arial" w:hAnsi="Arial"/>
                <w:sz w:val="30"/>
                <w:szCs w:val="30"/>
                <w:b w:val="1"/>
                <w:bCs w:val="1"/>
                <w:color w:val="auto"/>
                <w:w w:val="81"/>
                <w:vertAlign w:val="superscript"/>
              </w:rPr>
              <w:t>(1)</w:t>
            </w:r>
          </w:p>
        </w:tc>
        <w:tc>
          <w:tcPr>
            <w:tcW w:w="360" w:type="dxa"/>
            <w:vAlign w:val="bottom"/>
          </w:tcPr>
          <w:p>
            <w:pPr>
              <w:spacing w:after="0"/>
              <w:rPr>
                <w:sz w:val="23"/>
                <w:szCs w:val="23"/>
                <w:color w:val="auto"/>
              </w:rPr>
            </w:pPr>
          </w:p>
        </w:tc>
        <w:tc>
          <w:tcPr>
            <w:tcW w:w="1960" w:type="dxa"/>
            <w:vAlign w:val="bottom"/>
            <w:gridSpan w:val="2"/>
          </w:tcPr>
          <w:p>
            <w:pPr>
              <w:ind w:left="3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6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January 1, 2012</w:t>
            </w:r>
          </w:p>
        </w:tc>
        <w:tc>
          <w:tcPr>
            <w:tcW w:w="2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129,375</w:t>
            </w:r>
          </w:p>
        </w:tc>
        <w:tc>
          <w:tcPr>
            <w:tcW w:w="8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top w:val="single" w:sz="8" w:color="CCFFCC"/>
            </w:tcBorders>
            <w:shd w:val="clear" w:color="auto" w:fill="CCFFCC"/>
          </w:tcPr>
          <w:p>
            <w:pPr>
              <w:spacing w:after="0"/>
              <w:rPr>
                <w:sz w:val="18"/>
                <w:szCs w:val="18"/>
                <w:color w:val="auto"/>
              </w:rPr>
            </w:pP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Granted</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Vested</w:t>
            </w:r>
          </w:p>
        </w:tc>
        <w:tc>
          <w:tcPr>
            <w:tcW w:w="2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18"/>
                <w:szCs w:val="18"/>
                <w:color w:val="auto"/>
              </w:rPr>
            </w:pPr>
          </w:p>
        </w:tc>
        <w:tc>
          <w:tcPr>
            <w:tcW w:w="1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Conversion to restricted common stock</w:t>
            </w:r>
          </w:p>
        </w:tc>
        <w:tc>
          <w:tcPr>
            <w:tcW w:w="2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(129,375)</w:t>
            </w:r>
          </w:p>
        </w:tc>
        <w:tc>
          <w:tcPr>
            <w:tcW w:w="360" w:type="dxa"/>
            <w:vAlign w:val="bottom"/>
            <w:shd w:val="clear" w:color="auto" w:fill="CCFFCC"/>
          </w:tcPr>
          <w:p>
            <w:pPr>
              <w:spacing w:after="0"/>
              <w:rPr>
                <w:sz w:val="18"/>
                <w:szCs w:val="18"/>
                <w:color w:val="auto"/>
              </w:rPr>
            </w:pP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FFCC"/>
          </w:tcPr>
          <w:p>
            <w:pPr>
              <w:spacing w:after="0"/>
              <w:rPr>
                <w:sz w:val="18"/>
                <w:szCs w:val="18"/>
                <w:color w:val="auto"/>
              </w:rPr>
            </w:pPr>
          </w:p>
        </w:tc>
      </w:tr>
      <w:tr>
        <w:trPr>
          <w:trHeight w:val="210"/>
        </w:trPr>
        <w:tc>
          <w:tcPr>
            <w:tcW w:w="4680" w:type="dxa"/>
            <w:vAlign w:val="bottom"/>
          </w:tcPr>
          <w:p>
            <w:pPr>
              <w:spacing w:after="0"/>
              <w:rPr>
                <w:sz w:val="20"/>
                <w:szCs w:val="20"/>
                <w:color w:val="auto"/>
              </w:rPr>
            </w:pPr>
            <w:r>
              <w:rPr>
                <w:rFonts w:ascii="Arial" w:cs="Arial" w:eastAsia="Arial" w:hAnsi="Arial"/>
                <w:sz w:val="18"/>
                <w:szCs w:val="18"/>
                <w:color w:val="auto"/>
              </w:rPr>
              <w:t>Outstanding at December 31, 2012</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Granted</w:t>
            </w:r>
          </w:p>
        </w:tc>
        <w:tc>
          <w:tcPr>
            <w:tcW w:w="2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18"/>
                <w:szCs w:val="18"/>
                <w:color w:val="auto"/>
              </w:rPr>
            </w:pPr>
          </w:p>
        </w:tc>
        <w:tc>
          <w:tcPr>
            <w:tcW w:w="1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Vested</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Forfeited</w:t>
            </w:r>
          </w:p>
        </w:tc>
        <w:tc>
          <w:tcPr>
            <w:tcW w:w="2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18"/>
                <w:szCs w:val="18"/>
                <w:color w:val="auto"/>
              </w:rPr>
            </w:pPr>
          </w:p>
        </w:tc>
        <w:tc>
          <w:tcPr>
            <w:tcW w:w="1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4680" w:type="dxa"/>
            <w:vAlign w:val="bottom"/>
          </w:tcPr>
          <w:p>
            <w:pPr>
              <w:spacing w:after="0"/>
              <w:rPr>
                <w:sz w:val="20"/>
                <w:szCs w:val="20"/>
                <w:color w:val="auto"/>
              </w:rPr>
            </w:pPr>
            <w:r>
              <w:rPr>
                <w:rFonts w:ascii="Arial" w:cs="Arial" w:eastAsia="Arial" w:hAnsi="Arial"/>
                <w:sz w:val="18"/>
                <w:szCs w:val="18"/>
                <w:color w:val="auto"/>
              </w:rPr>
              <w:t>Outstanding at December 31, 2013</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0" w:firstLine="656"/>
        <w:spacing w:after="0" w:line="223" w:lineRule="auto"/>
        <w:tabs>
          <w:tab w:leader="none" w:pos="903" w:val="left"/>
        </w:tabs>
        <w:numPr>
          <w:ilvl w:val="0"/>
          <w:numId w:val="34"/>
        </w:numPr>
        <w:rPr>
          <w:rFonts w:ascii="Arial" w:cs="Arial" w:eastAsia="Arial" w:hAnsi="Arial"/>
          <w:sz w:val="30"/>
          <w:szCs w:val="30"/>
          <w:color w:val="auto"/>
          <w:vertAlign w:val="superscript"/>
        </w:rPr>
      </w:pPr>
      <w:r>
        <w:rPr>
          <w:rFonts w:ascii="Arial" w:cs="Arial" w:eastAsia="Arial" w:hAnsi="Arial"/>
          <w:sz w:val="16"/>
          <w:szCs w:val="16"/>
          <w:color w:val="auto"/>
        </w:rPr>
        <w:t>The restricted preferred stock listed in the table above was granted in connection with the Exchange Transaction to certain executives. Each share of preferred stock was convertible into 8.89 shares of the Company’s Common Stock. In conjunction with the reverse split effected on April 30, 2012 (as discussed in Note 1), all outstanding restricted Preferred Stock automatically converted to 1,150,000 shares of restricted Common Stock as of that 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Common</w:t>
      </w:r>
    </w:p>
    <w:p>
      <w:pPr>
        <w:spacing w:after="0" w:line="229"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Certain employees, directors and consultants have been awarded restricted Company Common Stock. The restricted stock vesting consists of milestone and time-based vesting. The following table summarizes restricted share activity for the years ended December 31, 2013 and 2012: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4680" w:type="dxa"/>
            <w:vAlign w:val="bottom"/>
          </w:tcPr>
          <w:p>
            <w:pPr>
              <w:spacing w:after="0"/>
              <w:rPr>
                <w:sz w:val="20"/>
                <w:szCs w:val="20"/>
                <w:color w:val="auto"/>
              </w:rPr>
            </w:pPr>
          </w:p>
        </w:tc>
        <w:tc>
          <w:tcPr>
            <w:tcW w:w="2140" w:type="dxa"/>
            <w:vAlign w:val="bottom"/>
            <w:gridSpan w:val="2"/>
          </w:tcPr>
          <w:p>
            <w:pPr>
              <w:ind w:left="340"/>
              <w:spacing w:after="0"/>
              <w:rPr>
                <w:sz w:val="20"/>
                <w:szCs w:val="20"/>
                <w:color w:val="auto"/>
              </w:rPr>
            </w:pPr>
            <w:r>
              <w:rPr>
                <w:rFonts w:ascii="Arial" w:cs="Arial" w:eastAsia="Arial" w:hAnsi="Arial"/>
                <w:sz w:val="18"/>
                <w:szCs w:val="18"/>
                <w:b w:val="1"/>
                <w:bCs w:val="1"/>
                <w:color w:val="auto"/>
              </w:rPr>
              <w:t>Number of Shares</w:t>
            </w:r>
          </w:p>
        </w:tc>
        <w:tc>
          <w:tcPr>
            <w:tcW w:w="360" w:type="dxa"/>
            <w:vAlign w:val="bottom"/>
          </w:tcPr>
          <w:p>
            <w:pPr>
              <w:spacing w:after="0"/>
              <w:rPr>
                <w:sz w:val="20"/>
                <w:szCs w:val="20"/>
                <w:color w:val="auto"/>
              </w:rPr>
            </w:pPr>
          </w:p>
        </w:tc>
        <w:tc>
          <w:tcPr>
            <w:tcW w:w="1960" w:type="dxa"/>
            <w:vAlign w:val="bottom"/>
            <w:gridSpan w:val="2"/>
          </w:tcPr>
          <w:p>
            <w:pPr>
              <w:ind w:left="3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6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January 1, 2012</w:t>
            </w:r>
          </w:p>
        </w:tc>
        <w:tc>
          <w:tcPr>
            <w:tcW w:w="2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FFCC"/>
            </w:tcBorders>
            <w:shd w:val="clear" w:color="auto" w:fill="CCFFCC"/>
          </w:tcPr>
          <w:p>
            <w:pPr>
              <w:spacing w:after="0"/>
              <w:rPr>
                <w:sz w:val="18"/>
                <w:szCs w:val="18"/>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Converted preferred stock</w:t>
            </w:r>
          </w:p>
        </w:tc>
        <w:tc>
          <w:tcPr>
            <w:tcW w:w="2060" w:type="dxa"/>
            <w:vAlign w:val="bottom"/>
          </w:tcPr>
          <w:p>
            <w:pPr>
              <w:jc w:val="right"/>
              <w:spacing w:after="0"/>
              <w:rPr>
                <w:sz w:val="20"/>
                <w:szCs w:val="20"/>
                <w:color w:val="auto"/>
              </w:rPr>
            </w:pPr>
            <w:r>
              <w:rPr>
                <w:rFonts w:ascii="Arial" w:cs="Arial" w:eastAsia="Arial" w:hAnsi="Arial"/>
                <w:sz w:val="18"/>
                <w:szCs w:val="18"/>
                <w:color w:val="auto"/>
              </w:rPr>
              <w:t>1,150,000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r>
      <w:tr>
        <w:trPr>
          <w:trHeight w:val="216"/>
        </w:trPr>
        <w:tc>
          <w:tcPr>
            <w:tcW w:w="46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Granted</w:t>
            </w:r>
          </w:p>
        </w:tc>
        <w:tc>
          <w:tcPr>
            <w:tcW w:w="2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5,901,743</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FFCC"/>
          </w:tcPr>
          <w:p>
            <w:pPr>
              <w:spacing w:after="0"/>
              <w:rPr>
                <w:sz w:val="18"/>
                <w:szCs w:val="18"/>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Vested</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(437,500)</w:t>
            </w:r>
          </w:p>
        </w:tc>
        <w:tc>
          <w:tcPr>
            <w:tcW w:w="3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r>
      <w:tr>
        <w:trPr>
          <w:trHeight w:val="216"/>
        </w:trPr>
        <w:tc>
          <w:tcPr>
            <w:tcW w:w="46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Forfeited</w:t>
            </w:r>
          </w:p>
        </w:tc>
        <w:tc>
          <w:tcPr>
            <w:tcW w:w="2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18"/>
                <w:szCs w:val="18"/>
                <w:color w:val="auto"/>
              </w:rPr>
            </w:pPr>
          </w:p>
        </w:tc>
        <w:tc>
          <w:tcPr>
            <w:tcW w:w="1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4680" w:type="dxa"/>
            <w:vAlign w:val="bottom"/>
          </w:tcPr>
          <w:p>
            <w:pPr>
              <w:spacing w:after="0"/>
              <w:rPr>
                <w:sz w:val="20"/>
                <w:szCs w:val="20"/>
                <w:color w:val="auto"/>
              </w:rPr>
            </w:pPr>
            <w:r>
              <w:rPr>
                <w:rFonts w:ascii="Arial" w:cs="Arial" w:eastAsia="Arial" w:hAnsi="Arial"/>
                <w:sz w:val="18"/>
                <w:szCs w:val="18"/>
                <w:color w:val="auto"/>
              </w:rPr>
              <w:t>Outstanding at December 31, 2012</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6,614,243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8"/>
                <w:szCs w:val="18"/>
                <w:color w:val="auto"/>
              </w:rPr>
            </w:pPr>
          </w:p>
        </w:tc>
      </w:tr>
      <w:tr>
        <w:trPr>
          <w:trHeight w:val="216"/>
        </w:trPr>
        <w:tc>
          <w:tcPr>
            <w:tcW w:w="46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Granted</w:t>
            </w:r>
          </w:p>
        </w:tc>
        <w:tc>
          <w:tcPr>
            <w:tcW w:w="2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944,464</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FFCC"/>
          </w:tcPr>
          <w:p>
            <w:pPr>
              <w:spacing w:after="0"/>
              <w:rPr>
                <w:sz w:val="18"/>
                <w:szCs w:val="18"/>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Vested</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(523,750)</w:t>
            </w:r>
          </w:p>
        </w:tc>
        <w:tc>
          <w:tcPr>
            <w:tcW w:w="3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r>
      <w:tr>
        <w:trPr>
          <w:trHeight w:val="216"/>
        </w:trPr>
        <w:tc>
          <w:tcPr>
            <w:tcW w:w="46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Forfeited</w:t>
            </w:r>
          </w:p>
        </w:tc>
        <w:tc>
          <w:tcPr>
            <w:tcW w:w="2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18"/>
                <w:szCs w:val="18"/>
                <w:color w:val="auto"/>
              </w:rPr>
            </w:pPr>
          </w:p>
        </w:tc>
        <w:tc>
          <w:tcPr>
            <w:tcW w:w="1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4680" w:type="dxa"/>
            <w:vAlign w:val="bottom"/>
          </w:tcPr>
          <w:p>
            <w:pPr>
              <w:spacing w:after="0"/>
              <w:rPr>
                <w:sz w:val="20"/>
                <w:szCs w:val="20"/>
                <w:color w:val="auto"/>
              </w:rPr>
            </w:pPr>
            <w:r>
              <w:rPr>
                <w:rFonts w:ascii="Arial" w:cs="Arial" w:eastAsia="Arial" w:hAnsi="Arial"/>
                <w:sz w:val="18"/>
                <w:szCs w:val="18"/>
                <w:color w:val="auto"/>
              </w:rPr>
              <w:t>Outstanding at December 31, 2013</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7,034,957</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Total expense associated with restricted stock grants was $5,146,743 and $3,422,182 during the years ended December 31, 2013 and 2012, respectively. As of December 31, 2013, there was approximately $7,977,072 of total unrecognized compensation cost related to unvested time based restricted stock, which is expected to be recognized over a weighted-average period of 1.9 years. This amount does not include, as of December 31, 2013, 1,800,960 shares of restricted stock outstanding which are milestone-based and vest upon certain corporate milestones; and 2,556,375 shares of restricted stock outstanding issued to non-employees (see Note 10 – Related Party Transactions for additional information). Milestone based non-cash compensation expense will be measured and recorded if and when a milestone occurs.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years ended December 31, 2013 and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w:t>
            </w:r>
          </w:p>
        </w:tc>
        <w:tc>
          <w:tcPr>
            <w:tcW w:w="16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Warrants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 price</w:t>
            </w:r>
          </w:p>
        </w:tc>
        <w:tc>
          <w:tcPr>
            <w:tcW w:w="16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51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January 1, 2012</w:t>
            </w:r>
          </w:p>
        </w:tc>
        <w:tc>
          <w:tcPr>
            <w:tcW w:w="11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1,625,911</w:t>
            </w:r>
          </w:p>
        </w:tc>
        <w:tc>
          <w:tcPr>
            <w:tcW w:w="40" w:type="dxa"/>
            <w:vAlign w:val="bottom"/>
            <w:tcBorders>
              <w:top w:val="single" w:sz="8" w:color="CCFFCC"/>
              <w:bottom w:val="single" w:sz="8" w:color="CCFFCC"/>
            </w:tcBorders>
            <w:shd w:val="clear" w:color="auto" w:fill="CCFFCC"/>
          </w:tcPr>
          <w:p>
            <w:pPr>
              <w:spacing w:after="0"/>
              <w:rPr>
                <w:sz w:val="18"/>
                <w:szCs w:val="18"/>
                <w:color w:val="auto"/>
              </w:rPr>
            </w:pP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CCFFCC"/>
            </w:tcBorders>
            <w:shd w:val="clear" w:color="auto" w:fill="CCFFCC"/>
          </w:tcPr>
          <w:p>
            <w:pPr>
              <w:spacing w:after="0"/>
              <w:rPr>
                <w:sz w:val="18"/>
                <w:szCs w:val="18"/>
                <w:color w:val="auto"/>
              </w:rPr>
            </w:pPr>
          </w:p>
        </w:tc>
        <w:tc>
          <w:tcPr>
            <w:tcW w:w="120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5.27</w:t>
            </w: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140"/>
              <w:spacing w:after="0"/>
              <w:rPr>
                <w:sz w:val="20"/>
                <w:szCs w:val="20"/>
                <w:color w:val="auto"/>
              </w:rPr>
            </w:pPr>
            <w:r>
              <w:rPr>
                <w:rFonts w:ascii="Arial" w:cs="Arial" w:eastAsia="Arial" w:hAnsi="Arial"/>
                <w:sz w:val="18"/>
                <w:szCs w:val="18"/>
                <w:color w:val="auto"/>
              </w:rPr>
              <w:t>Issued</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5,156,599</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Expired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2,739.75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CCFFCC"/>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rPr>
              <w:t>Outstanding at December 31, 2012</w:t>
            </w:r>
          </w:p>
        </w:tc>
        <w:tc>
          <w:tcPr>
            <w:tcW w:w="1140" w:type="dxa"/>
            <w:vAlign w:val="bottom"/>
            <w:tcBorders>
              <w:top w:val="single" w:sz="8" w:color="auto"/>
              <w:bottom w:val="single" w:sz="8" w:color="CCFFCC"/>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6,781,007</w:t>
            </w:r>
          </w:p>
        </w:tc>
        <w:tc>
          <w:tcPr>
            <w:tcW w:w="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200" w:type="dxa"/>
            <w:vAlign w:val="bottom"/>
            <w:tcBorders>
              <w:top w:val="single" w:sz="8" w:color="CCFFCC"/>
              <w:bottom w:val="single" w:sz="8" w:color="CCFFCC"/>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1.58</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CCFFCC"/>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FFCC"/>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14,563,539</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140"/>
              <w:spacing w:after="0"/>
              <w:rPr>
                <w:sz w:val="20"/>
                <w:szCs w:val="20"/>
                <w:color w:val="auto"/>
              </w:rPr>
            </w:pPr>
            <w:r>
              <w:rPr>
                <w:rFonts w:ascii="Arial" w:cs="Arial" w:eastAsia="Arial" w:hAnsi="Arial"/>
                <w:sz w:val="18"/>
                <w:szCs w:val="18"/>
                <w:color w:val="auto"/>
              </w:rPr>
              <w:t>Issued</w:t>
            </w: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(1,018,068)</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Expired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(43,992)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2013</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5,718,947</w:t>
            </w:r>
          </w:p>
        </w:tc>
        <w:tc>
          <w:tcPr>
            <w:tcW w:w="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14,809,030</w:t>
            </w:r>
          </w:p>
        </w:tc>
        <w:tc>
          <w:tcPr>
            <w:tcW w:w="1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FFC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As discussed above, as part of the 2011 Equity PIPE, we issued warrants to purchase up to 2,777,962 shares of our common stock at an exercise price of $2.25 per warrant share, 757,096 of which have been exercised as of December 31, 2013. In addition, we issued to the placement agent in the transaction warrants to purchase up to 1,111,111 shares of our common stock at an exercise price of $2.48 per warrant share, 6,533 of which have been exercised as of December 31, 2013.</w:t>
      </w:r>
    </w:p>
    <w:p>
      <w:pPr>
        <w:spacing w:after="0" w:line="187"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In connection with the Securities Exchange Agreement between the Company and LFB Group as discussed in Note 8 – License Agreements, we issued LFB Group a warrant to purchase an aggregate of 2,500,000 shares of Company Common Stock at a purchase price of $0.001 per share.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 The Company did not grant any stock options during the year-ended December 31, 2013.</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stock-based compensation expense information about stock options and restricted stock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Borders>
              <w:bottom w:val="single" w:sz="8" w:color="CCFFCC"/>
            </w:tcBorders>
          </w:tcPr>
          <w:p>
            <w:pPr>
              <w:spacing w:after="0"/>
              <w:rPr>
                <w:sz w:val="20"/>
                <w:szCs w:val="20"/>
                <w:color w:val="auto"/>
              </w:rPr>
            </w:pPr>
          </w:p>
        </w:tc>
        <w:tc>
          <w:tcPr>
            <w:tcW w:w="178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FFCC"/>
            </w:tcBorders>
          </w:tcPr>
          <w:p>
            <w:pPr>
              <w:spacing w:after="0"/>
              <w:rPr>
                <w:sz w:val="20"/>
                <w:szCs w:val="20"/>
                <w:color w:val="auto"/>
              </w:rPr>
            </w:pPr>
          </w:p>
        </w:tc>
        <w:tc>
          <w:tcPr>
            <w:tcW w:w="1720" w:type="dxa"/>
            <w:vAlign w:val="bottom"/>
          </w:tcPr>
          <w:p>
            <w:pPr>
              <w:spacing w:after="0"/>
              <w:rPr>
                <w:sz w:val="20"/>
                <w:szCs w:val="20"/>
                <w:color w:val="auto"/>
              </w:rPr>
            </w:pPr>
          </w:p>
        </w:tc>
      </w:tr>
      <w:tr>
        <w:trPr>
          <w:trHeight w:val="210"/>
        </w:trPr>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w w:val="95"/>
              </w:rPr>
              <w:t>Stock-based compensation expense associated with restricted stock</w:t>
            </w:r>
          </w:p>
        </w:tc>
        <w:tc>
          <w:tcPr>
            <w:tcW w:w="178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5,146,743</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3,422,182</w:t>
            </w:r>
          </w:p>
        </w:tc>
        <w:tc>
          <w:tcPr>
            <w:tcW w:w="12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w w:val="98"/>
              </w:rPr>
              <w:t>Stock-based compensation expense associated with option grants</w:t>
            </w: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0"/>
        </w:trPr>
        <w:tc>
          <w:tcPr>
            <w:tcW w:w="5200" w:type="dxa"/>
            <w:vAlign w:val="bottom"/>
            <w:tcBorders>
              <w:top w:val="single" w:sz="8" w:color="CCFFCC"/>
              <w:bottom w:val="single" w:sz="8" w:color="CCFFCC"/>
            </w:tcBorders>
            <w:shd w:val="clear" w:color="auto" w:fill="CCFFCC"/>
          </w:tcPr>
          <w:p>
            <w:pPr>
              <w:spacing w:after="0"/>
              <w:rPr>
                <w:sz w:val="18"/>
                <w:szCs w:val="18"/>
                <w:color w:val="auto"/>
              </w:rPr>
            </w:pPr>
          </w:p>
        </w:tc>
        <w:tc>
          <w:tcPr>
            <w:tcW w:w="1780" w:type="dxa"/>
            <w:vAlign w:val="bottom"/>
            <w:tcBorders>
              <w:top w:val="single" w:sz="8" w:color="CCFFCC"/>
              <w:bottom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5,203,148</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3,422,182</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69"/>
        </w:trPr>
        <w:tc>
          <w:tcPr>
            <w:tcW w:w="5200" w:type="dxa"/>
            <w:vAlign w:val="bottom"/>
          </w:tcPr>
          <w:p>
            <w:pPr>
              <w:spacing w:after="0"/>
              <w:rPr>
                <w:sz w:val="24"/>
                <w:szCs w:val="24"/>
                <w:color w:val="auto"/>
              </w:rPr>
            </w:pPr>
          </w:p>
        </w:tc>
        <w:tc>
          <w:tcPr>
            <w:tcW w:w="2040" w:type="dxa"/>
            <w:vAlign w:val="bottom"/>
            <w:gridSpan w:val="2"/>
          </w:tcPr>
          <w:p>
            <w:pPr>
              <w:jc w:val="right"/>
              <w:ind w:right="1265"/>
              <w:spacing w:after="0"/>
              <w:rPr>
                <w:sz w:val="20"/>
                <w:szCs w:val="20"/>
                <w:color w:val="auto"/>
              </w:rPr>
            </w:pPr>
            <w:r>
              <w:rPr>
                <w:rFonts w:ascii="Arial" w:cs="Arial" w:eastAsia="Arial" w:hAnsi="Arial"/>
                <w:sz w:val="18"/>
                <w:szCs w:val="18"/>
                <w:color w:val="auto"/>
              </w:rPr>
              <w:t>F-18</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58"/>
        </w:trPr>
        <w:tc>
          <w:tcPr>
            <w:tcW w:w="5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November 9, 2012, LFB Group exercised their right to exchange their TG Bio common stock for Company Common Stock. The Company and LFB Group entered into a Securities Exchange Agreement pursuant to which, LFB Group agreed to exchange its 7,500,000 shares of the common stock of TG Bio, for 5,000,000 shares of Company Common Stock, and a warrant to purchase an aggregate of 2,500,000 shares of Company Common Stock at a purchase price of $0.001 per share. Refer to Note 8 – License Agreements for further information.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Accordingly, in connection with the aforementioned Securities Exchange Agreement, TG Bio became a wholly owned subsidiary of the Company. Prior to the execution of the Securities Exchange Agreement LFB Group owned approximately 42.9% of TG Bio. The non-controlling interest in subsidiary balance was approximately $8,479,000 immediately prior to LFB Group exercising their option, which was transferred to equity in connection with the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notes payable: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 2013</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2012</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3"/>
              </w:rPr>
              <w:t>Non-current</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3"/>
              </w:rPr>
              <w:t>Non-current</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Current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portion,</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Current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portion,</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portion, net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net</w:t>
            </w: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portion, net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net</w:t>
            </w: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32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Convertible 5% Notes Payable</w:t>
            </w: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64,529</w:t>
            </w: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64,529</w:t>
            </w: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2,479,098</w:t>
            </w: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2,479,098</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32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ICON Convertible Note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677,778</w:t>
            </w:r>
          </w:p>
        </w:tc>
        <w:tc>
          <w:tcPr>
            <w:tcW w:w="120" w:type="dxa"/>
            <w:vAlign w:val="bottom"/>
            <w:tcBorders>
              <w:bottom w:val="single" w:sz="8" w:color="CCFFC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677,778</w:t>
            </w:r>
          </w:p>
        </w:tc>
        <w:tc>
          <w:tcPr>
            <w:tcW w:w="100" w:type="dxa"/>
            <w:vAlign w:val="bottom"/>
            <w:tcBorders>
              <w:bottom w:val="single" w:sz="8" w:color="CCFFC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677,778</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677,778</w:t>
            </w:r>
          </w:p>
        </w:tc>
        <w:tc>
          <w:tcPr>
            <w:tcW w:w="100" w:type="dxa"/>
            <w:vAlign w:val="bottom"/>
            <w:tcBorders>
              <w:bottom w:val="single" w:sz="8" w:color="CCFFCC"/>
            </w:tcBorders>
          </w:tcPr>
          <w:p>
            <w:pPr>
              <w:spacing w:after="0"/>
              <w:rPr>
                <w:sz w:val="18"/>
                <w:szCs w:val="18"/>
                <w:color w:val="auto"/>
              </w:rPr>
            </w:pPr>
          </w:p>
        </w:tc>
      </w:tr>
      <w:tr>
        <w:trPr>
          <w:trHeight w:val="210"/>
        </w:trPr>
        <w:tc>
          <w:tcPr>
            <w:tcW w:w="32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Totals</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677,778</w:t>
            </w:r>
          </w:p>
        </w:tc>
        <w:tc>
          <w:tcPr>
            <w:tcW w:w="1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64,529</w:t>
            </w:r>
          </w:p>
        </w:tc>
        <w:tc>
          <w:tcPr>
            <w:tcW w:w="12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742,307</w:t>
            </w:r>
          </w:p>
        </w:tc>
        <w:tc>
          <w:tcPr>
            <w:tcW w:w="10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677,778</w:t>
            </w: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2,479,098</w:t>
            </w:r>
          </w:p>
        </w:tc>
        <w:tc>
          <w:tcPr>
            <w:tcW w:w="10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3,156,876</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0"/>
        </w:trPr>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We assumed the preceding notes payable as the result of the Exchange Transaction between the Company and TG Therapeutics, Inc. Accordingly, a valuation using the guidance in the accounting literature for business combinations (ASC 805) was performed and these notes have been presented at their fair value on the date of the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right="60" w:firstLine="720"/>
        <w:spacing w:after="0" w:line="259" w:lineRule="auto"/>
        <w:rPr>
          <w:sz w:val="20"/>
          <w:szCs w:val="20"/>
          <w:color w:val="auto"/>
        </w:rPr>
      </w:pPr>
      <w:r>
        <w:rPr>
          <w:rFonts w:ascii="Arial" w:cs="Arial" w:eastAsia="Arial" w:hAnsi="Arial"/>
          <w:sz w:val="18"/>
          <w:szCs w:val="18"/>
          <w:color w:val="auto"/>
        </w:rPr>
        <w:t>On March 8, 2010, Manhattan entered into an Agreement and Plan of Merger (the "Merger Agreement") by and among the Company, Ariston and Ariston Merger Corp., a Delaware corporation and wholly-owned subsidiary of the Company (the "Merger Sub"). Pursuant to the terms and conditions set forth in the Merger Agreement, on March 8, 2010, the Merger Sub merged with and into Ariston (the "Merger"), with Ariston being the surviving corporation of the Merger. As a result of the Merger, Ariston became a wholly-owned subsidiary of Manhattan.</w:t>
      </w:r>
    </w:p>
    <w:p>
      <w:pPr>
        <w:spacing w:after="0" w:line="187" w:lineRule="exact"/>
        <w:rPr>
          <w:sz w:val="20"/>
          <w:szCs w:val="20"/>
          <w:color w:val="auto"/>
        </w:rPr>
      </w:pPr>
    </w:p>
    <w:p>
      <w:pPr>
        <w:ind w:right="220" w:firstLine="720"/>
        <w:spacing w:after="0" w:line="297" w:lineRule="auto"/>
        <w:rPr>
          <w:sz w:val="20"/>
          <w:szCs w:val="20"/>
          <w:color w:val="auto"/>
        </w:rPr>
      </w:pPr>
      <w:r>
        <w:rPr>
          <w:rFonts w:ascii="Arial" w:cs="Arial" w:eastAsia="Arial" w:hAnsi="Arial"/>
          <w:sz w:val="16"/>
          <w:szCs w:val="16"/>
          <w:color w:val="auto"/>
        </w:rPr>
        <w:t>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The Company has no obligations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is March 8, 2015.</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Exchange Transaction in December 2011, the Company performed a valuation of the assets and liabilities of Manhattan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immediately prior to the transaction. The cumulative liability including accrued and unpaid interest of these notes was approximately $16,876,000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immediately prior to the Exchange Transaction, and $18,614,000 and $17,727,000 at December 31, 2013 and 2012, respectively. As these notes payable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tied directly to net product cash flows derived from the preexisting products of the Company, this note and accrued interest was recorded at fair value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$3,287,700 as of the date of the Exchange Transaction. No payments have been made on these notes as of December 31, 2013. See Note 4 for further details.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ICON Convertible Note Payable</w:t>
      </w:r>
    </w:p>
    <w:p>
      <w:pPr>
        <w:spacing w:after="0" w:line="225" w:lineRule="exact"/>
        <w:rPr>
          <w:sz w:val="20"/>
          <w:szCs w:val="20"/>
          <w:color w:val="auto"/>
        </w:rPr>
      </w:pPr>
    </w:p>
    <w:p>
      <w:pPr>
        <w:ind w:right="20" w:firstLine="720"/>
        <w:spacing w:after="0" w:line="268" w:lineRule="auto"/>
        <w:rPr>
          <w:sz w:val="20"/>
          <w:szCs w:val="20"/>
          <w:color w:val="auto"/>
        </w:rPr>
      </w:pPr>
      <w:r>
        <w:rPr>
          <w:rFonts w:ascii="Arial" w:cs="Arial" w:eastAsia="Arial" w:hAnsi="Arial"/>
          <w:sz w:val="17"/>
          <w:szCs w:val="17"/>
          <w:color w:val="auto"/>
        </w:rPr>
        <w:t>In connection with the merger with Ariston as discussed above, Ariston satisfied an account payable of $1,275,188 to ICON Clinical Research Limited (“ICON”) through the payment of $275,188 in cash and the issuance of a three-year 5% note payable (the “ICON Note”). The principal was to be repaid in 36 monthly installments of $27,778 commencing in April 2010. Interest was payable monthly in arrears. On March 1, 2011 Ariston entered into an amended and restated convertible promissory note (the “Amended ICON Note”) with ICON. The principal terms of the Amended ICON Note are that monthly payments of principal and interest will be waived for the thirteen month period ended December 31, 2011 (the “Waiver Period”) in exchange for a single payment of $100,000 on March 31, 2011, an increase in the interest on the Amended ICON Note from 5% to 8% per annum during the Waiver Period and a balloon payment on January 31, 2012. The Amended ICON Note is convertible at the option of the holder into the Company’s common stock at the conversion price of $562.50 per share. During the year ended December 31, 2013, the Company recorded $66,506 of interest expense on the Amended ICON Note. As of December 31, 2013 and 2012, the principal amount of the Amended ICON Note was $677,778, of which the entire balance has been classified as current and is reflected as notes payable, current portion, net in the accompanying consolidated balance sheets. Interest payable on the Amended ICON Note was $190,017 and $123,511 as of December 31, 2013 and 2012, respectively, and is reflected as interest payable in the accompanying consolidated balance sheets. As of December 31, 2013, this note was in default as the Company did not make the balloon payment due on January 31, 2012, or any subsequent payments. In January 2014, the Company entered into a settlement and release agreement with ICON related to this note, whereby the Company paid $772,369 in full settlement of the principal and interest due on this note.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account for income taxes under the asset and liability method.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our business. Based upon management's assessment of all available evidence, we believe that it is more-likely-than-not that the deferred tax assets will not be realizable, and therefore, a valuation allowance has been established. The valuation allowance for deferred tax assets was approximately $46,283,000 and $36,271,000 as of December 31, 2013 and 2012, respectively.</w:t>
      </w:r>
    </w:p>
    <w:p>
      <w:pPr>
        <w:spacing w:after="0" w:line="16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As of December 31, 2013, we have U.S. net operating loss carryforwards (“NOLs”) of approximately $84,182,000. For income tax purposes, these NOLs will expire in various amounts through 2033. The Tax Reform Act of 1986 contains provisions which limit the ability to utilize net operating loss carryforwards in the case of certain events including significant changes in ownership interests. The Exchange Transaction with TG Bio may have resulted in a “change in ownership” as defined by IRC Section 382 of the Internal Revenue Code of 1986, as amended. Accordingly, a substantial portion of the Company’s NOLs above may be subject to annual limitations in reducing any future year’s taxable income.</w:t>
      </w:r>
    </w:p>
    <w:p>
      <w:pPr>
        <w:spacing w:after="0" w:line="173" w:lineRule="exact"/>
        <w:rPr>
          <w:sz w:val="20"/>
          <w:szCs w:val="20"/>
          <w:color w:val="auto"/>
        </w:rPr>
      </w:pPr>
    </w:p>
    <w:p>
      <w:pPr>
        <w:ind w:right="280" w:firstLine="648"/>
        <w:spacing w:after="0" w:line="258"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2013 and 2012 are presented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Borders>
              <w:bottom w:val="single" w:sz="8" w:color="CCFFCC"/>
            </w:tcBorders>
          </w:tcPr>
          <w:p>
            <w:pPr>
              <w:spacing w:after="0"/>
              <w:rPr>
                <w:sz w:val="18"/>
                <w:szCs w:val="18"/>
                <w:color w:val="auto"/>
              </w:rPr>
            </w:pPr>
          </w:p>
        </w:tc>
        <w:tc>
          <w:tcPr>
            <w:tcW w:w="412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Deferred tax assets (liabilities):</w:t>
            </w:r>
          </w:p>
        </w:tc>
        <w:tc>
          <w:tcPr>
            <w:tcW w:w="4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4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32,399,879</w:t>
            </w:r>
          </w:p>
        </w:tc>
        <w:tc>
          <w:tcPr>
            <w:tcW w:w="60" w:type="dxa"/>
            <w:vAlign w:val="bottom"/>
          </w:tcPr>
          <w:p>
            <w:pPr>
              <w:spacing w:after="0"/>
              <w:rPr>
                <w:sz w:val="18"/>
                <w:szCs w:val="18"/>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32,190,080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credit</w:t>
            </w:r>
          </w:p>
        </w:tc>
        <w:tc>
          <w:tcPr>
            <w:tcW w:w="4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2,266,167</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1,882,238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Noncash compensation</w:t>
            </w: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10,971,912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3,051,920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Acquired in-process research and development</w:t>
            </w:r>
          </w:p>
        </w:tc>
        <w:tc>
          <w:tcPr>
            <w:tcW w:w="4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Foreign tax credit</w:t>
            </w: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412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644,899</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19,241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tax asset, excluding valuation allowance</w:t>
            </w: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46,282,857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36,270,923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FFCC"/>
          </w:tcPr>
          <w:p>
            <w:pPr>
              <w:spacing w:after="0"/>
              <w:rPr>
                <w:sz w:val="18"/>
                <w:szCs w:val="18"/>
                <w:color w:val="auto"/>
              </w:rPr>
            </w:pPr>
          </w:p>
        </w:tc>
        <w:tc>
          <w:tcPr>
            <w:tcW w:w="4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(46,282,857)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(36,270,923)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deferred tax assets</w:t>
            </w:r>
          </w:p>
        </w:tc>
        <w:tc>
          <w:tcPr>
            <w:tcW w:w="4120" w:type="dxa"/>
            <w:vAlign w:val="bottom"/>
            <w:tcBorders>
              <w:top w:val="single" w:sz="8" w:color="CCFFCC"/>
              <w:bottom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4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320" w:type="dxa"/>
            <w:vAlign w:val="bottom"/>
            <w:gridSpan w:val="2"/>
          </w:tcPr>
          <w:p>
            <w:pPr>
              <w:jc w:val="right"/>
              <w:ind w:right="2925"/>
              <w:spacing w:after="0"/>
              <w:rPr>
                <w:sz w:val="20"/>
                <w:szCs w:val="20"/>
                <w:color w:val="auto"/>
              </w:rPr>
            </w:pPr>
            <w:r>
              <w:rPr>
                <w:rFonts w:ascii="Arial" w:cs="Arial" w:eastAsia="Arial" w:hAnsi="Arial"/>
                <w:sz w:val="18"/>
                <w:szCs w:val="18"/>
                <w:color w:val="auto"/>
              </w:rPr>
              <w:t>F-20</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There was no current or deferred income tax expense for the year ended December 31, 2013. The Company recorded $330,000 in income tax expense for the year ended December 31, 2012, as a result of South Korean taxes withheld associated with the Ildong sublicense agreement (see Note 8). Income tax expense differed from amounts computed by applying the US Federal income tax rate of 34% to pretax loss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2720" w:type="dxa"/>
            <w:vAlign w:val="bottom"/>
            <w:gridSpan w:val="7"/>
          </w:tcPr>
          <w:p>
            <w:pPr>
              <w:ind w:left="40"/>
              <w:spacing w:after="0"/>
              <w:rPr>
                <w:sz w:val="20"/>
                <w:szCs w:val="20"/>
                <w:color w:val="auto"/>
              </w:rPr>
            </w:pPr>
            <w:r>
              <w:rPr>
                <w:rFonts w:ascii="Arial" w:cs="Arial" w:eastAsia="Arial" w:hAnsi="Arial"/>
                <w:sz w:val="18"/>
                <w:szCs w:val="18"/>
                <w:b w:val="1"/>
                <w:bCs w:val="1"/>
                <w:color w:val="auto"/>
                <w:w w:val="93"/>
              </w:rPr>
              <w:t>For the 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Loss before income taxes, as reported in the consolidated statements</w:t>
            </w:r>
          </w:p>
        </w:tc>
        <w:tc>
          <w:tcPr>
            <w:tcW w:w="200" w:type="dxa"/>
            <w:vAlign w:val="bottom"/>
            <w:vMerge w:val="restart"/>
            <w:shd w:val="clear" w:color="auto" w:fill="CCFFCC"/>
          </w:tcPr>
          <w:p>
            <w:pPr>
              <w:jc w:val="right"/>
              <w:ind w:right="41"/>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8"/>
                <w:szCs w:val="18"/>
                <w:color w:val="auto"/>
              </w:rPr>
              <w:t>(20,478,210)</w:t>
            </w:r>
          </w:p>
        </w:tc>
        <w:tc>
          <w:tcPr>
            <w:tcW w:w="220" w:type="dxa"/>
            <w:vAlign w:val="bottom"/>
            <w:gridSpan w:val="2"/>
            <w:vMerge w:val="restart"/>
            <w:shd w:val="clear" w:color="auto" w:fill="CCFFCC"/>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8"/>
                <w:szCs w:val="18"/>
                <w:color w:val="auto"/>
                <w:w w:val="99"/>
              </w:rPr>
              <w:t>(25,852,952)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FFCC"/>
          </w:tcPr>
          <w:p>
            <w:pPr>
              <w:ind w:left="120"/>
              <w:spacing w:after="0"/>
              <w:rPr>
                <w:sz w:val="20"/>
                <w:szCs w:val="20"/>
                <w:color w:val="auto"/>
              </w:rPr>
            </w:pPr>
            <w:r>
              <w:rPr>
                <w:rFonts w:ascii="Arial" w:cs="Arial" w:eastAsia="Arial" w:hAnsi="Arial"/>
                <w:sz w:val="18"/>
                <w:szCs w:val="18"/>
                <w:color w:val="auto"/>
              </w:rPr>
              <w:t>of operations</w:t>
            </w:r>
          </w:p>
        </w:tc>
        <w:tc>
          <w:tcPr>
            <w:tcW w:w="200" w:type="dxa"/>
            <w:vAlign w:val="bottom"/>
            <w:vMerge w:val="continue"/>
            <w:shd w:val="clear" w:color="auto" w:fill="CCFFCC"/>
          </w:tcPr>
          <w:p>
            <w:pPr>
              <w:spacing w:after="0"/>
              <w:rPr>
                <w:sz w:val="18"/>
                <w:szCs w:val="18"/>
                <w:color w:val="auto"/>
              </w:rPr>
            </w:pPr>
          </w:p>
        </w:tc>
        <w:tc>
          <w:tcPr>
            <w:tcW w:w="1160" w:type="dxa"/>
            <w:vAlign w:val="bottom"/>
            <w:gridSpan w:val="2"/>
            <w:vMerge w:val="continue"/>
            <w:shd w:val="clear" w:color="auto" w:fill="CCFFCC"/>
          </w:tcPr>
          <w:p>
            <w:pPr>
              <w:spacing w:after="0"/>
              <w:rPr>
                <w:sz w:val="18"/>
                <w:szCs w:val="18"/>
                <w:color w:val="auto"/>
              </w:rPr>
            </w:pPr>
          </w:p>
        </w:tc>
        <w:tc>
          <w:tcPr>
            <w:tcW w:w="220" w:type="dxa"/>
            <w:vAlign w:val="bottom"/>
            <w:gridSpan w:val="2"/>
            <w:vMerge w:val="continue"/>
            <w:shd w:val="clear" w:color="auto" w:fill="CCFFCC"/>
          </w:tcPr>
          <w:p>
            <w:pPr>
              <w:spacing w:after="0"/>
              <w:rPr>
                <w:sz w:val="18"/>
                <w:szCs w:val="18"/>
                <w:color w:val="auto"/>
              </w:rPr>
            </w:pPr>
          </w:p>
        </w:tc>
        <w:tc>
          <w:tcPr>
            <w:tcW w:w="1140" w:type="dxa"/>
            <w:vAlign w:val="bottom"/>
            <w:gridSpan w:val="2"/>
            <w:vMerge w:val="continue"/>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Computed “expected” tax benefit</w:t>
            </w:r>
          </w:p>
        </w:tc>
        <w:tc>
          <w:tcPr>
            <w:tcW w:w="200" w:type="dxa"/>
            <w:vAlign w:val="bottom"/>
            <w:shd w:val="clear" w:color="auto" w:fill="CCFFCC"/>
          </w:tcPr>
          <w:p>
            <w:pPr>
              <w:jc w:val="right"/>
              <w:ind w:right="4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(6,962,592)</w:t>
            </w:r>
          </w:p>
        </w:tc>
        <w:tc>
          <w:tcPr>
            <w:tcW w:w="22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(8,790,003)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income taxes resulting from:</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Expected benefit from state and local taxes</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(917,810)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(1,758,001)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Research and development credits</w:t>
            </w: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(250,000)</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43,026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Permanent difference related to contingent note payable</w:t>
            </w: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(1,924,558)</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Foreign tax withholding</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rPr>
              <w:t>Change in the balance of the valuation allowance for deferred tax</w:t>
            </w:r>
          </w:p>
        </w:tc>
        <w:tc>
          <w:tcPr>
            <w:tcW w:w="2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FFCC"/>
          </w:tcPr>
          <w:p>
            <w:pPr>
              <w:ind w:left="30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10,011,934</w:t>
            </w: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10,392,361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file income tax returns in the U.S Federal and various state and local jurisdictions. With certain exceptions, the Company is no longer subject to U.S. Federal and state income tax examinations by tax authorities for years prior to 2010. However, NOLs and tax credits generated from those prior years could still be adjusted upon audit.</w:t>
      </w:r>
    </w:p>
    <w:p>
      <w:pPr>
        <w:spacing w:after="0" w:line="18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 Company recognizes interest and penalties to uncertain tax position in income tax expense in the statement of operations. There was no accrual for interest and penalties related to uncertain tax positions for 2013. We do not believe that there will be a material change in our unrecognized tax positions over the next twelve months. All of the unrecognized tax benefits, if recognized, would be offset by the valuation allowance.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30, 2012, TG Bio entered into an exclusive license agreement with LFB Biotechnologies, GTC Biotherapeutics and LFB/GTC LLC, all wholly-owned subsidiaries of LFB Group, relating to the development of TG-1101 (the “License Agreement”). Under the License Agreement, we acquired the exclusive worldwide rights (exclusive of France/Belgium) for the development and commercialization of TG-1101 (ublituximab). To date, we have made no payments to LFB Group, who is eligible to receive payments of up to an aggregate of approximately $31.0 million upon our successful achievement of certain clinical development, regulatory and sales milestones, in addition to royalty payments on net sales of TG-1101. The license will terminate on a country by country basis upon the expiration of the last licensed patent right or 15 years after the first commercial sale of a product in such country, unless the agreement is earlier terminated.</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connection with the License Agreement, our subsidiary TG Bio issued 7,368,000 shares of its common stock to LFB Group, and the Company agreed to contribute $15 million, less applicable fees and expenses associated with the financing, to TG Bio to fund the development of TG-1101 under the License Agreement in exchange for 7,500,000 shares of TG Bio common stock. The Company recognized $16,578,000 of noncash research and development expense during the year ended December 31, 2012 in connection with the issuance of these shares. In addition, in connection with this share issuance, the Company and TG Bio provided LFB Group the option to, in its sole discretion, elect to convert its shares of TG Bio common stock into 7,500,000 shares of the Company’s Common Stock. Furthermore, should LFB Group choose to exercise the option for Company Common Stock, the Board of Directors of the Company shall appoint an individual designated by LFB Group to serve as a director of the Company until the next annual meeting of the stockholders and until his or her successor has been duly elected. Thereafter the Board of Directors of the Company shall nominate a designee named by LFB Group for election at each annual meeting of the stockholders until such time as LFB Group owns less than 10% of the outstanding Company Common Stock.</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9, 2012, LFB Group exercised their right to exchange their TG Bio common stock for Company Common Stock. The Company and LFB Group entered into a Securities Exchange Agreement pursuant to which, LFB Group agreed to exchange its 7,500,000 shares of the common stock of TG Bio, for 5,000,000 shares of Company Common Stock, and a warrant to purchase an aggregate of 2,500,000 shares of Company Common Stock at a purchase price of $0.001 per share. In addition, upon the occurrence of certain financing conditions, the Securities Exchange Agreement requires LFB Group to purchase at least $750,000 in additional shares of Company Common Stock at a purchase price per share equal to the then current Market Price (as defined therein). In addition on November 9, 2012, in connection with the Securities Exchange Agreement, the Board of Directors (the “Board”) of the Company appointed Dr. Yann Echelard to the Board as LFB Group’s nominee. Effective November 9, 2012, in connection with the aforementioned Securities Exchange Agreement, TG Bio became a wholly owned subsidiary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 Ildong Sublicense</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 upfront payment of $2,000,000, which was received in December 2012, net of $330,000 of income tax withheld, is being recognized as license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revenue on a straight-line basis over the life of the agreement, which is through the expiration of the last licensed patent right or 15 years after the first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commercial sale of a product in such country, unless the agreement is earlier terminated, and represents the estimated period over which the Company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certain ongoing responsibilities under the sublicense agreement. The Company recorded license revenue of approximately $152,000 and $19,000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years ended December 31, 2013 and 2012, respectively, and, at December 31, 2013 and 2012, has deferred revenue of approximately $1,829,000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$1,981,000, respectively, associated with this $2,000,000 payment (approximately $152,000 of which has been classified as a current liability at December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 2013).</w:t>
      </w:r>
    </w:p>
    <w:p>
      <w:pPr>
        <w:spacing w:after="0" w:line="211"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The Company may receive up to an additional $5.0 million in payments upon the achievement of pre-specified milestones. In addition, upon commercialization, Ildong will make royalty payments to the Company on net sales of TG-1101 in the sublicense territory.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ind w:right="60" w:firstLine="720"/>
        <w:spacing w:after="0" w:line="276" w:lineRule="auto"/>
        <w:rPr>
          <w:sz w:val="20"/>
          <w:szCs w:val="20"/>
          <w:color w:val="auto"/>
        </w:rPr>
      </w:pPr>
      <w:r>
        <w:rPr>
          <w:rFonts w:ascii="Arial" w:cs="Arial" w:eastAsia="Arial" w:hAnsi="Arial"/>
          <w:sz w:val="17"/>
          <w:szCs w:val="17"/>
          <w:color w:val="auto"/>
        </w:rPr>
        <w:t>On August 15, 2012, the Company and Rhizen Pharmaceuticals S A (“Rhizen”) entered into an exclusive global agreement to collaborate on the development and commercialization of Rhizen’s lead product candidate (the “Collaboration Agreement”), a novel P13K delta inhibitor, (“TGR-1202”) (previously referred to as RP5264). The companies will jointly develop the product on a worldwide basis, excluding India, initially focusing on indications in the area of hematologic malignancies and autoimmune disease. Beyond TGR-1202, Rhizen would contribute backup molecules providing multiple opportunities for TG to develop differentiated therapies against hematologic cancers and autoimmune diseases.</w:t>
      </w:r>
    </w:p>
    <w:p>
      <w:pPr>
        <w:spacing w:after="0" w:line="173" w:lineRule="exact"/>
        <w:rPr>
          <w:sz w:val="20"/>
          <w:szCs w:val="20"/>
          <w:color w:val="auto"/>
        </w:rPr>
      </w:pPr>
    </w:p>
    <w:p>
      <w:pPr>
        <w:ind w:firstLine="720"/>
        <w:spacing w:after="0" w:line="293" w:lineRule="auto"/>
        <w:rPr>
          <w:sz w:val="20"/>
          <w:szCs w:val="20"/>
          <w:color w:val="auto"/>
        </w:rPr>
      </w:pPr>
      <w:r>
        <w:rPr>
          <w:rFonts w:ascii="Arial" w:cs="Arial" w:eastAsia="Arial" w:hAnsi="Arial"/>
          <w:sz w:val="16"/>
          <w:szCs w:val="16"/>
          <w:color w:val="auto"/>
        </w:rPr>
        <w:t>The Company will make up-front licensing payments and milestones based on early clinical development, and will be responsible for the costs of clinical development of the product through Phase II, after which the Company and Rhizen will be jointly responsible for all development costs of the product. The Company and Rhizen will each maintain an exclusive option, exercisable at specific times during development, for the Company to license the rights to TGR-1202, in which case Rhizen would be eligible to receive upfront, development, and commercialization milestone payments in addition to milestone payments and royalties tied to net sales of the product, the aggregate of which could exceed $182.5million. Rhizen shall maintain rights to manufacture and supply the product to the Company, and the Company will be responsible for all clinical and regulatory development for TGR-1202 globally.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connection with the Collaboration Agreement, the Company incurred upfront milestone payments of $1,000,000 during the year ended December 31, 2012. During the year ended December 31, 2013, the Company recognized a $2,000,000 milestone payment to Rhizen related to the development of TGR-1202. All milestone payments related to this agreement have been included in other research and development expenses in the accompanying consolidated financial statements. Pursuant to the terms of the Collaboration Agreement, should either of the exclusive license options be exercised, Rhizen would be eligible to receive up to an aggregate of $182.5 million upon the successful achievement of certain clinical development, regulatory, and sales based milestones in addition to royalties on net sales of TGR-1202.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JOINT VENTURE</w:t>
      </w:r>
    </w:p>
    <w:p>
      <w:pPr>
        <w:spacing w:after="0" w:line="229"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On April 19, 2011, H Pharmaceuticals K/S (the “Hedrin JV”), of which the Company was a 15% limited partner at the time, filed a demand for arbitration against Thornton &amp; Ross, LTD. (“T&amp;R”) with respect to alleged breaches by T&amp;R of an Exclusive License Agreement (the “Hedrin License”) dated June 28, 2007, which was originally entered into between the Company and T&amp;R, and which the Company assigned in 2008 to the Hedrin JV, with T&amp;R’s consent. The Hedrin JV is seeking damages from T&amp;R in the amount of approximately $7,000,000. The Company was not a party to the initial arbitration demand.</w:t>
      </w:r>
    </w:p>
    <w:p>
      <w:pPr>
        <w:spacing w:after="0" w:line="188"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On May 20, 2011, T&amp;R filed an answer to the arbitration demand in which T&amp;R asserted counterclaims against the Hedrin JV for alleged breaches by the Hedrin JV of the Hedrin License and for declaratory relief that the Hedrin License was properly terminated by T&amp;R. In addition, T&amp;R impleaded an individual (who is not associated with the Company), Nordic Biotech Venture Fund II K/S (an investment fund) and the Company, demanding arbitration against them based on alleged breaches of the Hedrin License and other related claims. In December 2011, the Company was removed by the arbitrator as a party to the arbitration. T&amp;R is seeking damages of approximately $20,000,000.</w:t>
      </w:r>
    </w:p>
    <w:p>
      <w:pPr>
        <w:spacing w:after="0" w:line="1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Hedrin JV and T&amp;R held a mediation session in order to avoid the arbitration process. The mediation process did not produce a result. During 2011, Nordic made an additional capital contribution to the Hedrin JV in order to fund the arbitration. As a result of that capital contribution, as of December 31, 2011, the Company owned a 13% interest in the Hedrin JV, and no further information has been available since that date. The arbitration process is ongoing.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30, 2011, OPN Capital Markets (“OPNCM”) and its affiliated broker-dealer, National Securities Corporation (“NSC” and collectively with OPNCM, “National”), both affiliates of National Holdings Corporation (“National Holdings”), entered into a Placement Agency Agreement (the “PAA”) with the Company in connection with the initial closing of the 2011 Equity PIPE. Pursuant to the PAA, National acted as the Company’s placement agent for 2011 Equity PIPE.</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Until April 2012, Michael S. Weiss was a director and Non-Executive Chairman of the Board of Directors of National Holdings. He is also a stockholder of National Holdings and, when combined with his ownership indirectly through Opus and its affiliates, beneficially owns approximately 5% of National Holdings, the parent company of NSC. Mr. Weiss disclaims such beneficial ownership other than to the extent of his pecuniary interest. In addition, at the time, Opus and NSC were parties to a 50/50 joint venture that shared profits from OPNCM, the investment banking division of NSC that was responsible for managing the Offering. This joint venture was dissolved in April 2012.</w:t>
      </w:r>
    </w:p>
    <w:p>
      <w:pPr>
        <w:spacing w:after="0" w:line="188"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As placement agent, National received cash commissions equal to 10% of the gross proceeds of the 2011 Equity PIPE, five-year warrants to purchase shares of Company Preferred Stock equal to 10% of shares sold in the 2011 Equity PIPE, and a non-accountable expense allowance equal to two percent of the gross proceeds of the 2011 Equity PIPE for National’s expenses (not including up to $80,000 of National’s legal expenses and any blue sky fees, both of which the Company also reimbursed). In connection with the dissolution of the joint venture in January 2013, National waived all rights to and surrendered to Opus the warrants discussed above. In addition to acting as placement agent, National provided advisory services in connection with the Exchange Transaction and received an advisory fee of $150,000 for such services.</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Under the terms of the Company’s License Agreement with LFB Group, the Company utilizes LFB Group for certain development and manufacturing services. The Company incurred approximately $6,267,000 and $1,447,000 in such expenses during the years ended December 31, 2013 and 2012, respectively, which have been included in other research and development expenses in the accompanying consolidated statements of operations. As of December 31, 2013 and 2012, respectively, the Company has approximately $1,745,000 and $56,000 recorded in accounts payable related to the aforementioned agreements with LFB Group. In conjunction with the development and manufacturing services discussed above, certain agreements between the Company and LFB Group require payments in advance of services performed or goods delivered. Accordingly, as of December 31, 2013 and 2012, respectively, the Company recorded $1,629,340 and $1,719,828 in prepaid research and development for such advance payments.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Collaboration Agreement with Rhizen in August 2012, the Company issued Opus 2,000,000 shares of Company common stock subject to certain vesting provisions based on the progress of the joint venture and future success of the products governed by the Collaboration Agreement. The issuance of the Company Common Stock was exempt from registration under the Securities Act of 1933 pursuant to Regulation D and Rule 506 promulgated thereunder. Accordingly, the securities have not been registered under the Securities Act, and until so registered, these securities may not be offered or sold in the United States absent registration or availability of an applicable exemption from registration. The Company recognized approximately $437,000 and $134,000 of noncash compensation (research and development) expense during the year ended December 31, 2013 and 2012, respectively, in connection with the issuance of these shares.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SIGNATURES</w:t>
      </w:r>
    </w:p>
    <w:p>
      <w:pPr>
        <w:spacing w:after="0" w:line="30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2014</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TG THERAPEUTICS, INC.</w:t>
      </w:r>
    </w:p>
    <w:p>
      <w:pPr>
        <w:spacing w:after="0" w:line="229"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By:</w:t>
        <w:tab/>
        <w:t>/s/ Michael S. Weiss</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Executive Chairman, Interim Chief Executive Officer and President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each of Michael S. Weiss and Sean A. Power, his true and lawful attorney-in-fact and agent, with full power of substitution and resubstitution, for him and his name, place and stead, in any and all capacities, to sign any or all amendments to this annual report on Form 10-K, and to file the same, with all exhibits thereto and other documents in connection therewith, with the SEC,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any of his substitutes, may lawfully do or cause to be done by virtue hereof.</w:t>
      </w:r>
    </w:p>
    <w:p>
      <w:pPr>
        <w:spacing w:after="0" w:line="16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Form 10-K has been signed by the following persons on behalf of the Registrant on March 7, 2014, and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Signatures</w:t>
            </w:r>
          </w:p>
        </w:tc>
        <w:tc>
          <w:tcPr>
            <w:tcW w:w="380" w:type="dxa"/>
            <w:vAlign w:val="bottom"/>
          </w:tcPr>
          <w:p>
            <w:pPr>
              <w:spacing w:after="0"/>
              <w:rPr>
                <w:sz w:val="20"/>
                <w:szCs w:val="20"/>
                <w:color w:val="auto"/>
              </w:rPr>
            </w:pPr>
          </w:p>
        </w:tc>
        <w:tc>
          <w:tcPr>
            <w:tcW w:w="7060" w:type="dxa"/>
            <w:vAlign w:val="bottom"/>
            <w:tcBorders>
              <w:bottom w:val="single" w:sz="8" w:color="auto"/>
            </w:tcBorders>
          </w:tcPr>
          <w:p>
            <w:pPr>
              <w:ind w:left="3360"/>
              <w:spacing w:after="0"/>
              <w:rPr>
                <w:sz w:val="20"/>
                <w:szCs w:val="20"/>
                <w:color w:val="auto"/>
              </w:rPr>
            </w:pPr>
            <w:r>
              <w:rPr>
                <w:rFonts w:ascii="Arial" w:cs="Arial" w:eastAsia="Arial" w:hAnsi="Arial"/>
                <w:sz w:val="18"/>
                <w:szCs w:val="18"/>
                <w:b w:val="1"/>
                <w:bCs w:val="1"/>
                <w:color w:val="auto"/>
              </w:rPr>
              <w:t>Title</w:t>
            </w:r>
          </w:p>
        </w:tc>
      </w:tr>
      <w:tr>
        <w:trPr>
          <w:trHeight w:val="426"/>
        </w:trPr>
        <w:tc>
          <w:tcPr>
            <w:tcW w:w="39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0"/>
              </w:rPr>
              <w:t>/s/ Michael S. Weiss</w:t>
            </w:r>
          </w:p>
        </w:tc>
        <w:tc>
          <w:tcPr>
            <w:tcW w:w="38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24"/>
        </w:trPr>
        <w:tc>
          <w:tcPr>
            <w:tcW w:w="3980" w:type="dxa"/>
            <w:vAlign w:val="bottom"/>
          </w:tcPr>
          <w:p>
            <w:pPr>
              <w:jc w:val="center"/>
              <w:ind w:right="230"/>
              <w:spacing w:after="0"/>
              <w:rPr>
                <w:sz w:val="20"/>
                <w:szCs w:val="20"/>
                <w:color w:val="auto"/>
              </w:rPr>
            </w:pPr>
            <w:r>
              <w:rPr>
                <w:rFonts w:ascii="Arial" w:cs="Arial" w:eastAsia="Arial" w:hAnsi="Arial"/>
                <w:sz w:val="18"/>
                <w:szCs w:val="18"/>
                <w:color w:val="auto"/>
                <w:w w:val="91"/>
              </w:rPr>
              <w:t>Michael S. Weiss</w:t>
            </w:r>
          </w:p>
        </w:tc>
        <w:tc>
          <w:tcPr>
            <w:tcW w:w="38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18"/>
        </w:trPr>
        <w:tc>
          <w:tcPr>
            <w:tcW w:w="39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0"/>
              </w:rPr>
              <w:t>/s/ Sean A. Power</w:t>
            </w:r>
          </w:p>
        </w:tc>
        <w:tc>
          <w:tcPr>
            <w:tcW w:w="38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4"/>
        </w:trPr>
        <w:tc>
          <w:tcPr>
            <w:tcW w:w="3980" w:type="dxa"/>
            <w:vAlign w:val="bottom"/>
          </w:tcPr>
          <w:p>
            <w:pPr>
              <w:jc w:val="center"/>
              <w:ind w:right="210"/>
              <w:spacing w:after="0"/>
              <w:rPr>
                <w:sz w:val="20"/>
                <w:szCs w:val="20"/>
                <w:color w:val="auto"/>
              </w:rPr>
            </w:pPr>
            <w:r>
              <w:rPr>
                <w:rFonts w:ascii="Arial" w:cs="Arial" w:eastAsia="Arial" w:hAnsi="Arial"/>
                <w:sz w:val="18"/>
                <w:szCs w:val="18"/>
                <w:color w:val="auto"/>
                <w:w w:val="89"/>
              </w:rPr>
              <w:t>Sean A. Power</w:t>
            </w:r>
          </w:p>
        </w:tc>
        <w:tc>
          <w:tcPr>
            <w:tcW w:w="38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418"/>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Laurence N. Charney</w:t>
            </w:r>
          </w:p>
        </w:tc>
        <w:tc>
          <w:tcPr>
            <w:tcW w:w="38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89"/>
              </w:rPr>
              <w:t>Laurence N. Charney</w:t>
            </w:r>
          </w:p>
        </w:tc>
        <w:tc>
          <w:tcPr>
            <w:tcW w:w="380" w:type="dxa"/>
            <w:vAlign w:val="bottom"/>
          </w:tcPr>
          <w:p>
            <w:pPr>
              <w:spacing w:after="0"/>
              <w:rPr>
                <w:sz w:val="19"/>
                <w:szCs w:val="19"/>
                <w:color w:val="auto"/>
              </w:rPr>
            </w:pPr>
          </w:p>
        </w:tc>
        <w:tc>
          <w:tcPr>
            <w:tcW w:w="706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Yann Echelard</w:t>
            </w:r>
          </w:p>
        </w:tc>
        <w:tc>
          <w:tcPr>
            <w:tcW w:w="38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89"/>
              </w:rPr>
              <w:t>Yann Echelard</w:t>
            </w:r>
          </w:p>
        </w:tc>
        <w:tc>
          <w:tcPr>
            <w:tcW w:w="380" w:type="dxa"/>
            <w:vAlign w:val="bottom"/>
          </w:tcPr>
          <w:p>
            <w:pPr>
              <w:spacing w:after="0"/>
              <w:rPr>
                <w:sz w:val="19"/>
                <w:szCs w:val="19"/>
                <w:color w:val="auto"/>
              </w:rPr>
            </w:pPr>
          </w:p>
        </w:tc>
        <w:tc>
          <w:tcPr>
            <w:tcW w:w="706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Neil Herskowitz</w:t>
            </w:r>
          </w:p>
        </w:tc>
        <w:tc>
          <w:tcPr>
            <w:tcW w:w="38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5"/>
              </w:rPr>
              <w:t>Neil Herskowitz</w:t>
            </w:r>
          </w:p>
        </w:tc>
        <w:tc>
          <w:tcPr>
            <w:tcW w:w="380" w:type="dxa"/>
            <w:vAlign w:val="bottom"/>
          </w:tcPr>
          <w:p>
            <w:pPr>
              <w:spacing w:after="0"/>
              <w:rPr>
                <w:sz w:val="19"/>
                <w:szCs w:val="19"/>
                <w:color w:val="auto"/>
              </w:rPr>
            </w:pPr>
          </w:p>
        </w:tc>
        <w:tc>
          <w:tcPr>
            <w:tcW w:w="706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William J. Kennedy</w:t>
            </w:r>
          </w:p>
        </w:tc>
        <w:tc>
          <w:tcPr>
            <w:tcW w:w="38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4"/>
              </w:rPr>
              <w:t>William J. Kennedy</w:t>
            </w:r>
          </w:p>
        </w:tc>
        <w:tc>
          <w:tcPr>
            <w:tcW w:w="380" w:type="dxa"/>
            <w:vAlign w:val="bottom"/>
          </w:tcPr>
          <w:p>
            <w:pPr>
              <w:spacing w:after="0"/>
              <w:rPr>
                <w:sz w:val="19"/>
                <w:szCs w:val="19"/>
                <w:color w:val="auto"/>
              </w:rPr>
            </w:pPr>
          </w:p>
        </w:tc>
        <w:tc>
          <w:tcPr>
            <w:tcW w:w="706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Mark Schoenebaum, M.D.</w:t>
            </w:r>
          </w:p>
        </w:tc>
        <w:tc>
          <w:tcPr>
            <w:tcW w:w="38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1"/>
              </w:rPr>
              <w:t>Mark Schoenebaum, M.D.</w:t>
            </w:r>
          </w:p>
        </w:tc>
        <w:tc>
          <w:tcPr>
            <w:tcW w:w="380" w:type="dxa"/>
            <w:vAlign w:val="bottom"/>
          </w:tcPr>
          <w:p>
            <w:pPr>
              <w:spacing w:after="0"/>
              <w:rPr>
                <w:sz w:val="19"/>
                <w:szCs w:val="19"/>
                <w:color w:val="auto"/>
              </w:rPr>
            </w:pPr>
          </w:p>
        </w:tc>
        <w:tc>
          <w:tcPr>
            <w:tcW w:w="7060" w:type="dxa"/>
            <w:vAlign w:val="bottom"/>
          </w:tcPr>
          <w:p>
            <w:pPr>
              <w:spacing w:after="0"/>
              <w:rPr>
                <w:sz w:val="19"/>
                <w:szCs w:val="19"/>
                <w:color w:val="auto"/>
              </w:rPr>
            </w:pPr>
          </w:p>
        </w:tc>
      </w:tr>
      <w:tr>
        <w:trPr>
          <w:trHeight w:val="674"/>
        </w:trPr>
        <w:tc>
          <w:tcPr>
            <w:tcW w:w="3980" w:type="dxa"/>
            <w:vAlign w:val="bottom"/>
          </w:tcPr>
          <w:p>
            <w:pPr>
              <w:spacing w:after="0"/>
              <w:rPr>
                <w:sz w:val="24"/>
                <w:szCs w:val="24"/>
                <w:color w:val="auto"/>
              </w:rPr>
            </w:pPr>
          </w:p>
        </w:tc>
        <w:tc>
          <w:tcPr>
            <w:tcW w:w="7440" w:type="dxa"/>
            <w:vAlign w:val="bottom"/>
            <w:gridSpan w:val="2"/>
          </w:tcPr>
          <w:p>
            <w:pPr>
              <w:jc w:val="right"/>
              <w:ind w:right="5510"/>
              <w:spacing w:after="0"/>
              <w:rPr>
                <w:sz w:val="20"/>
                <w:szCs w:val="20"/>
                <w:color w:val="auto"/>
              </w:rPr>
            </w:pPr>
            <w:r>
              <w:rPr>
                <w:rFonts w:ascii="Arial" w:cs="Arial" w:eastAsia="Arial" w:hAnsi="Arial"/>
                <w:sz w:val="18"/>
                <w:szCs w:val="18"/>
                <w:color w:val="auto"/>
              </w:rPr>
              <w:t>46</w:t>
            </w:r>
          </w:p>
        </w:tc>
      </w:tr>
      <w:tr>
        <w:trPr>
          <w:trHeight w:val="358"/>
        </w:trPr>
        <w:tc>
          <w:tcPr>
            <w:tcW w:w="3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36"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400" w:type="dxa"/>
            <w:vAlign w:val="bottom"/>
          </w:tcPr>
          <w:p>
            <w:pPr>
              <w:ind w:left="400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0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40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400" w:type="dxa"/>
            <w:vAlign w:val="bottom"/>
          </w:tcPr>
          <w:p>
            <w:pPr>
              <w:ind w:left="360"/>
              <w:spacing w:after="0"/>
              <w:rPr>
                <w:sz w:val="20"/>
                <w:szCs w:val="20"/>
                <w:color w:val="auto"/>
              </w:rPr>
            </w:pPr>
            <w:r>
              <w:rPr>
                <w:rFonts w:ascii="Arial" w:cs="Arial" w:eastAsia="Arial" w:hAnsi="Arial"/>
                <w:sz w:val="18"/>
                <w:szCs w:val="18"/>
                <w:b w:val="1"/>
                <w:bCs w:val="1"/>
                <w:color w:val="auto"/>
              </w:rPr>
              <w:t>Exhibit Description</w:t>
            </w:r>
          </w:p>
        </w:tc>
      </w:tr>
      <w:tr>
        <w:trPr>
          <w:trHeight w:val="432"/>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23.1</w:t>
            </w:r>
          </w:p>
        </w:tc>
        <w:tc>
          <w:tcPr>
            <w:tcW w:w="10400" w:type="dxa"/>
            <w:vAlign w:val="bottom"/>
          </w:tcPr>
          <w:p>
            <w:pPr>
              <w:ind w:left="3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31.1</w:t>
            </w:r>
          </w:p>
        </w:tc>
        <w:tc>
          <w:tcPr>
            <w:tcW w:w="10400" w:type="dxa"/>
            <w:vAlign w:val="bottom"/>
          </w:tcPr>
          <w:p>
            <w:pPr>
              <w:ind w:left="360"/>
              <w:spacing w:after="0"/>
              <w:rPr>
                <w:sz w:val="20"/>
                <w:szCs w:val="20"/>
                <w:color w:val="auto"/>
              </w:rPr>
            </w:pPr>
            <w:r>
              <w:rPr>
                <w:rFonts w:ascii="Arial" w:cs="Arial" w:eastAsia="Arial" w:hAnsi="Arial"/>
                <w:sz w:val="18"/>
                <w:szCs w:val="18"/>
                <w:color w:val="auto"/>
              </w:rPr>
              <w:t>Certification of Principal Executive Officer</w:t>
            </w:r>
          </w:p>
        </w:tc>
      </w:tr>
      <w:tr>
        <w:trPr>
          <w:trHeight w:val="432"/>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31.2</w:t>
            </w:r>
          </w:p>
        </w:tc>
        <w:tc>
          <w:tcPr>
            <w:tcW w:w="10400" w:type="dxa"/>
            <w:vAlign w:val="bottom"/>
          </w:tcPr>
          <w:p>
            <w:pPr>
              <w:ind w:left="360"/>
              <w:spacing w:after="0"/>
              <w:rPr>
                <w:sz w:val="20"/>
                <w:szCs w:val="20"/>
                <w:color w:val="auto"/>
              </w:rPr>
            </w:pPr>
            <w:r>
              <w:rPr>
                <w:rFonts w:ascii="Arial" w:cs="Arial" w:eastAsia="Arial" w:hAnsi="Arial"/>
                <w:sz w:val="18"/>
                <w:szCs w:val="18"/>
                <w:color w:val="auto"/>
              </w:rPr>
              <w:t>Certification of Principal Financial Officer</w:t>
            </w:r>
          </w:p>
        </w:tc>
      </w:tr>
      <w:tr>
        <w:trPr>
          <w:trHeight w:val="432"/>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32.1</w:t>
            </w:r>
          </w:p>
        </w:tc>
        <w:tc>
          <w:tcPr>
            <w:tcW w:w="1040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32.2</w:t>
            </w:r>
          </w:p>
        </w:tc>
        <w:tc>
          <w:tcPr>
            <w:tcW w:w="1040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53"/>
        </w:trPr>
        <w:tc>
          <w:tcPr>
            <w:tcW w:w="102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We consent to the incorporation by reference in registration statement Nos. 333-48531, 333-15807, 333-112889, 333-143838 and 333-181439 on Form S-8 and registration statement No. 333-189015 on Form S-3 of our report dated March 7, 2014 on our audits of the consolidated financial statements of TG Therapeutics, Inc. and Subsidiaries as of December 31, 2013 and 2012, and for the years then ended, and the cumulative period ended December 31, 2013, included in this Annual Report on Form 10-K of TG Therapeutics, Inc. and Subsidiaries for the year ended December 31,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TG Therapeutics, Inc.;</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260" w:hanging="572"/>
        <w:spacing w:after="0" w:line="342"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580" w:right="360" w:hanging="572"/>
        <w:spacing w:after="0" w:line="264"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60" w:right="60" w:hanging="571"/>
        <w:spacing w:after="0" w:line="264" w:lineRule="auto"/>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40" w:hanging="571"/>
        <w:spacing w:after="0" w:line="342" w:lineRule="auto"/>
        <w:tabs>
          <w:tab w:leader="none" w:pos="11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1"/>
        <w:spacing w:after="0" w:line="264" w:lineRule="auto"/>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580" w:right="240" w:hanging="572"/>
        <w:spacing w:after="0" w:line="308" w:lineRule="auto"/>
        <w:tabs>
          <w:tab w:leader="none" w:pos="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780" w:hanging="571"/>
        <w:spacing w:after="0" w:line="342" w:lineRule="auto"/>
        <w:tabs>
          <w:tab w:leader="none" w:pos="11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March 7, 2014</w:t>
            </w:r>
          </w:p>
        </w:tc>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S. Weiss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53"/>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PURSUANT TO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158"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TG Therapeutics, Inc.;</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260" w:hanging="572"/>
        <w:spacing w:after="0" w:line="342"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580" w:right="360" w:hanging="572"/>
        <w:spacing w:after="0" w:line="264"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1160" w:right="60" w:hanging="571"/>
        <w:spacing w:after="0" w:line="264"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40" w:hanging="571"/>
        <w:spacing w:after="0" w:line="342" w:lineRule="auto"/>
        <w:tabs>
          <w:tab w:leader="none" w:pos="11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1"/>
        <w:spacing w:after="0" w:line="264"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580" w:right="240" w:hanging="572"/>
        <w:spacing w:after="0" w:line="308" w:lineRule="auto"/>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780" w:hanging="571"/>
        <w:spacing w:after="0" w:line="342" w:lineRule="auto"/>
        <w:tabs>
          <w:tab w:leader="none" w:pos="11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2014</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Sean A. Power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360"/>
        <w:spacing w:after="0" w:line="312" w:lineRule="auto"/>
        <w:rPr>
          <w:sz w:val="20"/>
          <w:szCs w:val="20"/>
          <w:color w:val="auto"/>
        </w:rPr>
      </w:pPr>
      <w:r>
        <w:rPr>
          <w:rFonts w:ascii="Arial" w:cs="Arial" w:eastAsia="Arial" w:hAnsi="Arial"/>
          <w:sz w:val="16"/>
          <w:szCs w:val="16"/>
          <w:color w:val="auto"/>
        </w:rPr>
        <w:t>In connection with the annual report of TG Therapeutics, Inc. (the “Company”) on Form 10-K for the year ended December 31, 2013 as filed with the Securities and Exchange Commission (the “Report”), I, Michael S. Weiss, Executive Chairman, Interim Chief Executive Officer and President of the Company, certify, pursuant to 18 U.S.C. §1350, as adopted pursuant to §906 of the Sarbanes-Oxley Act of 2002, that, based on my knowledge:</w:t>
      </w:r>
    </w:p>
    <w:p>
      <w:pPr>
        <w:spacing w:after="0" w:line="14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  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March 7,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53"/>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In connection with the annual report of TG Therapeutics, Inc. (the “Company”) on Form 10-K for the year ended December 31, 2013 as filed with the Securities and Exchange Commission (the “Report”), I, Sean A. Power, Chief Financial Officer of the Company, certify, pursuant to 18 U.S.C. §1350, as adopted pursuant to §906 of the Sarbanes-Oxley Act of 2002, that, based on my knowledge:</w:t>
      </w:r>
    </w:p>
    <w:p>
      <w:pPr>
        <w:spacing w:after="0" w:line="181" w:lineRule="exact"/>
        <w:rPr>
          <w:sz w:val="20"/>
          <w:szCs w:val="20"/>
          <w:color w:val="auto"/>
        </w:rPr>
      </w:pPr>
    </w:p>
    <w:p>
      <w:pPr>
        <w:ind w:left="900" w:hanging="568"/>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900" w:hanging="568"/>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2014</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Sean A. Power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lowerRoman"/>
      <w:start w:val="2"/>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3"/>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decimal"/>
      <w:start w:val="2"/>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2019-12-06T13:57:32Z</dcterms:created>
  <dcterms:modified xsi:type="dcterms:W3CDTF">2019-12-06T13:57:32Z</dcterms:modified>
</cp:coreProperties>
</file>