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7" w:lineRule="exact"/>
        <w:rPr>
          <w:sz w:val="24"/>
          <w:szCs w:val="24"/>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As filed with the Securities and Exchange Commission on February 17, 2004 Registration No. 333-______</w:t>
      </w: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ind w:left="2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MANHATTAN PHARMACEUTICALS,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Delaware</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787 Seventh</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Avenue,</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48th Floor</w:t>
            </w:r>
          </w:p>
        </w:tc>
        <w:tc>
          <w:tcPr>
            <w:tcW w:w="2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36-3898269</w:t>
            </w:r>
          </w:p>
        </w:tc>
      </w:tr>
      <w:tr>
        <w:trPr>
          <w:trHeight w:val="203"/>
        </w:trPr>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(State or other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24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York, NY 10019</w:t>
            </w:r>
          </w:p>
        </w:tc>
        <w:tc>
          <w:tcPr>
            <w:tcW w:w="22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jurisdiction of</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Telephone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(212)</w:t>
            </w:r>
          </w:p>
        </w:tc>
        <w:tc>
          <w:tcPr>
            <w:tcW w:w="15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554-4525</w:t>
            </w:r>
          </w:p>
        </w:tc>
        <w:tc>
          <w:tcPr>
            <w:tcW w:w="2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203"/>
        </w:trPr>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Incorporation or</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Facsimile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(212)</w:t>
            </w:r>
          </w:p>
        </w:tc>
        <w:tc>
          <w:tcPr>
            <w:tcW w:w="15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554-4545</w:t>
            </w:r>
          </w:p>
        </w:tc>
        <w:tc>
          <w:tcPr>
            <w:tcW w:w="2280" w:type="dxa"/>
            <w:vAlign w:val="bottom"/>
          </w:tcPr>
          <w:p>
            <w:pPr>
              <w:spacing w:after="0"/>
              <w:rPr>
                <w:sz w:val="17"/>
                <w:szCs w:val="17"/>
                <w:color w:val="auto"/>
              </w:rPr>
            </w:pPr>
          </w:p>
        </w:tc>
      </w:tr>
      <w:tr>
        <w:trPr>
          <w:trHeight w:val="296"/>
        </w:trPr>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organization) (Address of</w:t>
            </w:r>
          </w:p>
        </w:tc>
        <w:tc>
          <w:tcPr>
            <w:tcW w:w="10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principal</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executive offices)</w:t>
            </w:r>
          </w:p>
        </w:tc>
      </w:tr>
    </w:tbl>
    <w:p>
      <w:pPr>
        <w:spacing w:after="0" w:line="10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Common Stock</w:t>
            </w:r>
          </w:p>
        </w:tc>
        <w:tc>
          <w:tcPr>
            <w:tcW w:w="3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Options Issued Outside of Any</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Plan</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260" w:type="dxa"/>
            <w:vAlign w:val="bottom"/>
            <w:gridSpan w:val="5"/>
          </w:tcPr>
          <w:p>
            <w:pPr>
              <w:ind w:left="680"/>
              <w:spacing w:after="0" w:line="203" w:lineRule="exact"/>
              <w:rPr>
                <w:sz w:val="20"/>
                <w:szCs w:val="20"/>
                <w:color w:val="auto"/>
              </w:rPr>
            </w:pPr>
            <w:r>
              <w:rPr>
                <w:rFonts w:ascii="Courier New" w:cs="Courier New" w:eastAsia="Courier New" w:hAnsi="Courier New"/>
                <w:sz w:val="18"/>
                <w:szCs w:val="18"/>
                <w:color w:val="auto"/>
              </w:rPr>
              <w:t>between April 12, 2000 and February 24, 2003</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43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(Full title of the Plans)</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4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Nicholas J. Rossettos</w:t>
            </w:r>
          </w:p>
        </w:tc>
        <w:tc>
          <w:tcPr>
            <w:tcW w:w="640" w:type="dxa"/>
            <w:vAlign w:val="bottom"/>
          </w:tcPr>
          <w:p>
            <w:pPr>
              <w:spacing w:after="0"/>
              <w:rPr>
                <w:sz w:val="24"/>
                <w:szCs w:val="24"/>
                <w:color w:val="auto"/>
              </w:rPr>
            </w:pPr>
          </w:p>
        </w:tc>
        <w:tc>
          <w:tcPr>
            <w:tcW w:w="2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Copies to:</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Chief</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Financial Officer</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Inc.</w:t>
            </w:r>
          </w:p>
        </w:tc>
        <w:tc>
          <w:tcPr>
            <w:tcW w:w="37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Christopher J. Melsha, Esq.</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Manhattan</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Pharmaceuticals,</w:t>
            </w:r>
          </w:p>
        </w:tc>
        <w:tc>
          <w:tcPr>
            <w:tcW w:w="640" w:type="dxa"/>
            <w:vAlign w:val="bottom"/>
            <w:vMerge w:val="continue"/>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Maslon Edelman Borman</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&amp; Brand, LLP</w:t>
            </w:r>
          </w:p>
        </w:tc>
        <w:tc>
          <w:tcPr>
            <w:tcW w:w="0" w:type="dxa"/>
            <w:vAlign w:val="bottom"/>
          </w:tcPr>
          <w:p>
            <w:pPr>
              <w:spacing w:after="0"/>
              <w:rPr>
                <w:sz w:val="1"/>
                <w:szCs w:val="1"/>
                <w:color w:val="auto"/>
              </w:rPr>
            </w:pPr>
          </w:p>
        </w:tc>
      </w:tr>
      <w:tr>
        <w:trPr>
          <w:trHeight w:val="203"/>
        </w:trPr>
        <w:tc>
          <w:tcPr>
            <w:tcW w:w="3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787 Seventh Avenue, 48th Floor</w:t>
            </w:r>
          </w:p>
        </w:tc>
        <w:tc>
          <w:tcPr>
            <w:tcW w:w="37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9"/>
              </w:rPr>
              <w:t>90 South 7th Street, Suite 3300</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York, NY 10019</w:t>
            </w:r>
          </w:p>
        </w:tc>
        <w:tc>
          <w:tcPr>
            <w:tcW w:w="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Minneapolis,</w:t>
            </w:r>
          </w:p>
        </w:tc>
        <w:tc>
          <w:tcPr>
            <w:tcW w:w="1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Minnesota 55402</w:t>
            </w:r>
          </w:p>
        </w:tc>
        <w:tc>
          <w:tcPr>
            <w:tcW w:w="0" w:type="dxa"/>
            <w:vAlign w:val="bottom"/>
          </w:tcPr>
          <w:p>
            <w:pPr>
              <w:spacing w:after="0"/>
              <w:rPr>
                <w:sz w:val="1"/>
                <w:szCs w:val="1"/>
                <w:color w:val="auto"/>
              </w:rPr>
            </w:pP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Telephone (212) 554-4555</w:t>
            </w:r>
          </w:p>
        </w:tc>
        <w:tc>
          <w:tcPr>
            <w:tcW w:w="6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2"/>
              </w:rPr>
              <w:t>for</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Telephone: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(612)</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672-8200</w:t>
            </w:r>
          </w:p>
        </w:tc>
        <w:tc>
          <w:tcPr>
            <w:tcW w:w="0" w:type="dxa"/>
            <w:vAlign w:val="bottom"/>
          </w:tcPr>
          <w:p>
            <w:pPr>
              <w:spacing w:after="0"/>
              <w:rPr>
                <w:sz w:val="1"/>
                <w:szCs w:val="1"/>
                <w:color w:val="auto"/>
              </w:rPr>
            </w:pPr>
          </w:p>
        </w:tc>
      </w:tr>
      <w:tr>
        <w:trPr>
          <w:trHeight w:val="23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(Name and</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address of agent</w:t>
            </w:r>
          </w:p>
        </w:tc>
        <w:tc>
          <w:tcPr>
            <w:tcW w:w="640" w:type="dxa"/>
            <w:vAlign w:val="bottom"/>
            <w:vMerge w:val="continue"/>
          </w:tcPr>
          <w:p>
            <w:pPr>
              <w:spacing w:after="0"/>
              <w:rPr>
                <w:sz w:val="20"/>
                <w:szCs w:val="20"/>
                <w:color w:val="auto"/>
              </w:rPr>
            </w:pP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Facsimile: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(612)</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642-8343</w:t>
            </w:r>
          </w:p>
        </w:tc>
        <w:tc>
          <w:tcPr>
            <w:tcW w:w="0" w:type="dxa"/>
            <w:vAlign w:val="bottom"/>
          </w:tcPr>
          <w:p>
            <w:pPr>
              <w:spacing w:after="0"/>
              <w:rPr>
                <w:sz w:val="1"/>
                <w:szCs w:val="1"/>
                <w:color w:val="auto"/>
              </w:rPr>
            </w:pPr>
          </w:p>
        </w:tc>
      </w:tr>
    </w:tbl>
    <w:p>
      <w:pPr>
        <w:ind w:left="1380"/>
        <w:spacing w:after="0"/>
        <w:rPr>
          <w:sz w:val="20"/>
          <w:szCs w:val="20"/>
          <w:color w:val="auto"/>
        </w:rPr>
      </w:pPr>
      <w:r>
        <w:rPr>
          <w:rFonts w:ascii="Courier New" w:cs="Courier New" w:eastAsia="Courier New" w:hAnsi="Courier New"/>
          <w:sz w:val="18"/>
          <w:szCs w:val="18"/>
          <w:color w:val="auto"/>
        </w:rPr>
        <w:t>service)</w:t>
      </w:r>
    </w:p>
    <w:p>
      <w:pPr>
        <w:spacing w:after="0" w:line="16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220" w:type="dxa"/>
            <w:vAlign w:val="bottom"/>
          </w:tcPr>
          <w:p>
            <w:pPr>
              <w:ind w:left="160"/>
              <w:spacing w:after="0" w:line="170" w:lineRule="exact"/>
              <w:rPr>
                <w:sz w:val="20"/>
                <w:szCs w:val="20"/>
                <w:color w:val="auto"/>
              </w:rPr>
            </w:pPr>
            <w:r>
              <w:rPr>
                <w:rFonts w:ascii="Courier New" w:cs="Courier New" w:eastAsia="Courier New" w:hAnsi="Courier New"/>
                <w:sz w:val="18"/>
                <w:szCs w:val="18"/>
                <w:color w:val="auto"/>
              </w:rPr>
              <w:t>Proposed</w:t>
            </w:r>
          </w:p>
        </w:tc>
        <w:tc>
          <w:tcPr>
            <w:tcW w:w="1200" w:type="dxa"/>
            <w:vAlign w:val="bottom"/>
          </w:tcPr>
          <w:p>
            <w:pPr>
              <w:ind w:left="200"/>
              <w:spacing w:after="0" w:line="170" w:lineRule="exact"/>
              <w:rPr>
                <w:sz w:val="20"/>
                <w:szCs w:val="20"/>
                <w:color w:val="auto"/>
              </w:rPr>
            </w:pPr>
            <w:r>
              <w:rPr>
                <w:rFonts w:ascii="Courier New" w:cs="Courier New" w:eastAsia="Courier New" w:hAnsi="Courier New"/>
                <w:sz w:val="18"/>
                <w:szCs w:val="18"/>
                <w:color w:val="auto"/>
              </w:rPr>
              <w:t>Proposed</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Title of</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Aggregate</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Amount</w:t>
            </w:r>
          </w:p>
        </w:tc>
        <w:tc>
          <w:tcPr>
            <w:tcW w:w="4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 to</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2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to be Registered</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be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Registration</w:t>
            </w: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Registered</w:t>
            </w:r>
          </w:p>
        </w:tc>
        <w:tc>
          <w:tcPr>
            <w:tcW w:w="1200" w:type="dxa"/>
            <w:vAlign w:val="bottom"/>
          </w:tcPr>
          <w:p>
            <w:pPr>
              <w:jc w:val="center"/>
              <w:spacing w:after="0"/>
              <w:rPr>
                <w:sz w:val="20"/>
                <w:szCs w:val="20"/>
                <w:color w:val="auto"/>
              </w:rPr>
            </w:pPr>
            <w:r>
              <w:rPr>
                <w:rFonts w:ascii="Courier New" w:cs="Courier New" w:eastAsia="Courier New" w:hAnsi="Courier New"/>
                <w:sz w:val="18"/>
                <w:szCs w:val="18"/>
                <w:color w:val="auto"/>
                <w:w w:val="96"/>
              </w:rPr>
              <w:t>Per Share</w:t>
            </w: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Price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540" w:hanging="1266"/>
        <w:spacing w:after="0" w:line="238" w:lineRule="auto"/>
        <w:tabs>
          <w:tab w:leader="none" w:pos="4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876,090</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$0.40</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$350,436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$44.40</w:t>
            </w:r>
          </w:p>
        </w:tc>
      </w:tr>
    </w:tbl>
    <w:p>
      <w:pPr>
        <w:spacing w:after="0" w:line="238" w:lineRule="auto"/>
        <w:rPr>
          <w:sz w:val="20"/>
          <w:szCs w:val="20"/>
          <w:color w:val="auto"/>
        </w:rPr>
      </w:pPr>
      <w:r>
        <w:rPr>
          <w:rFonts w:ascii="Courier New" w:cs="Courier New" w:eastAsia="Courier New" w:hAnsi="Courier New"/>
          <w:sz w:val="18"/>
          <w:szCs w:val="18"/>
          <w:color w:val="auto"/>
        </w:rPr>
        <w:t>$.001 per share</w:t>
      </w:r>
    </w:p>
    <w:p>
      <w:pPr>
        <w:spacing w:after="0"/>
        <w:rPr>
          <w:sz w:val="20"/>
          <w:szCs w:val="20"/>
          <w:color w:val="auto"/>
        </w:rPr>
      </w:pPr>
      <w:r>
        <w:rPr>
          <w:rFonts w:ascii="Courier New" w:cs="Courier New" w:eastAsia="Courier New" w:hAnsi="Courier New"/>
          <w:sz w:val="18"/>
          <w:szCs w:val="18"/>
          <w:color w:val="auto"/>
        </w:rPr>
        <w:t>- ----------------------------------------------------------------------------</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4.38</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$21,900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$2.77</w:t>
            </w:r>
          </w:p>
        </w:tc>
      </w:tr>
      <w:tr>
        <w:trPr>
          <w:trHeight w:val="235"/>
        </w:trPr>
        <w:tc>
          <w:tcPr>
            <w:tcW w:w="2960" w:type="dxa"/>
            <w:vAlign w:val="bottom"/>
          </w:tcPr>
          <w:p>
            <w:pPr>
              <w:spacing w:after="0"/>
              <w:rPr>
                <w:sz w:val="20"/>
                <w:szCs w:val="20"/>
                <w:color w:val="auto"/>
              </w:rPr>
            </w:pPr>
            <w:r>
              <w:rPr>
                <w:rFonts w:ascii="Courier New" w:cs="Courier New" w:eastAsia="Courier New" w:hAnsi="Courier New"/>
                <w:sz w:val="18"/>
                <w:szCs w:val="18"/>
                <w:color w:val="auto"/>
              </w:rPr>
              <w:t>$.001 per share</w:t>
            </w: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8"/>
          <w:szCs w:val="18"/>
          <w:color w:val="auto"/>
        </w:rPr>
        <w:t>- ----------------------------------------------------------------------------</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20.94</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$104,700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$13.27</w:t>
            </w:r>
          </w:p>
        </w:tc>
      </w:tr>
      <w:tr>
        <w:trPr>
          <w:trHeight w:val="235"/>
        </w:trPr>
        <w:tc>
          <w:tcPr>
            <w:tcW w:w="2960" w:type="dxa"/>
            <w:vAlign w:val="bottom"/>
          </w:tcPr>
          <w:p>
            <w:pPr>
              <w:spacing w:after="0"/>
              <w:rPr>
                <w:sz w:val="20"/>
                <w:szCs w:val="20"/>
                <w:color w:val="auto"/>
              </w:rPr>
            </w:pPr>
            <w:r>
              <w:rPr>
                <w:rFonts w:ascii="Courier New" w:cs="Courier New" w:eastAsia="Courier New" w:hAnsi="Courier New"/>
                <w:sz w:val="18"/>
                <w:szCs w:val="18"/>
                <w:color w:val="auto"/>
              </w:rPr>
              <w:t>$.001 per share</w:t>
            </w: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8"/>
          <w:szCs w:val="18"/>
          <w:color w:val="auto"/>
        </w:rPr>
        <w:t>- ----------------------------------------------------------------------------</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189,000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1.25</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$236,250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$29.93</w:t>
            </w:r>
          </w:p>
        </w:tc>
      </w:tr>
      <w:tr>
        <w:trPr>
          <w:trHeight w:val="0"/>
        </w:trPr>
        <w:tc>
          <w:tcPr>
            <w:tcW w:w="2860" w:type="dxa"/>
            <w:vAlign w:val="bottom"/>
          </w:tcPr>
          <w:p>
            <w:pPr>
              <w:spacing w:after="0" w:line="170" w:lineRule="exact"/>
              <w:rPr>
                <w:sz w:val="20"/>
                <w:szCs w:val="20"/>
                <w:color w:val="auto"/>
              </w:rPr>
            </w:pPr>
            <w:r>
              <w:rPr>
                <w:rFonts w:ascii="Courier New" w:cs="Courier New" w:eastAsia="Courier New" w:hAnsi="Courier New"/>
                <w:sz w:val="18"/>
                <w:szCs w:val="18"/>
                <w:color w:val="auto"/>
              </w:rPr>
              <w:t>$.001 per share</w:t>
            </w: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spacing w:after="0"/>
        <w:tabs>
          <w:tab w:leader="none" w:pos="1560" w:val="left"/>
          <w:tab w:leader="none" w:pos="2100" w:val="left"/>
          <w:tab w:leader="none" w:pos="3040" w:val="left"/>
          <w:tab w:leader="none" w:pos="4620" w:val="left"/>
          <w:tab w:leader="none" w:pos="5460" w:val="left"/>
          <w:tab w:leader="none" w:pos="7040" w:val="left"/>
        </w:tabs>
        <w:rPr>
          <w:sz w:val="20"/>
          <w:szCs w:val="20"/>
          <w:color w:val="auto"/>
        </w:rPr>
      </w:pPr>
      <w:r>
        <w:rPr>
          <w:rFonts w:ascii="Courier New" w:cs="Courier New" w:eastAsia="Courier New" w:hAnsi="Courier New"/>
          <w:sz w:val="18"/>
          <w:szCs w:val="18"/>
          <w:color w:val="auto"/>
        </w:rPr>
        <w:t>Common Stock,</w:t>
        <w:tab/>
        <w:t>par</w:t>
        <w:tab/>
        <w:t>value</w:t>
      </w:r>
      <w:r>
        <w:rPr>
          <w:sz w:val="20"/>
          <w:szCs w:val="20"/>
          <w:color w:val="auto"/>
        </w:rPr>
        <w:tab/>
      </w:r>
      <w:r>
        <w:rPr>
          <w:rFonts w:ascii="Courier New" w:cs="Courier New" w:eastAsia="Courier New" w:hAnsi="Courier New"/>
          <w:sz w:val="18"/>
          <w:szCs w:val="18"/>
          <w:color w:val="auto"/>
        </w:rPr>
        <w:t>115,000</w:t>
      </w:r>
      <w:r>
        <w:rPr>
          <w:sz w:val="20"/>
          <w:szCs w:val="20"/>
          <w:color w:val="auto"/>
        </w:rPr>
        <w:tab/>
      </w:r>
      <w:r>
        <w:rPr>
          <w:rFonts w:ascii="Courier New" w:cs="Courier New" w:eastAsia="Courier New" w:hAnsi="Courier New"/>
          <w:sz w:val="18"/>
          <w:szCs w:val="18"/>
          <w:color w:val="auto"/>
        </w:rPr>
        <w:t>1.00</w:t>
      </w:r>
      <w:r>
        <w:rPr>
          <w:sz w:val="20"/>
          <w:szCs w:val="20"/>
          <w:color w:val="auto"/>
        </w:rPr>
        <w:tab/>
      </w:r>
      <w:r>
        <w:rPr>
          <w:rFonts w:ascii="Courier New" w:cs="Courier New" w:eastAsia="Courier New" w:hAnsi="Courier New"/>
          <w:sz w:val="18"/>
          <w:szCs w:val="18"/>
          <w:color w:val="auto"/>
        </w:rPr>
        <w:t>$115,000</w:t>
      </w:r>
      <w:r>
        <w:rPr>
          <w:sz w:val="20"/>
          <w:szCs w:val="20"/>
          <w:color w:val="auto"/>
        </w:rPr>
        <w:tab/>
      </w:r>
      <w:r>
        <w:rPr>
          <w:rFonts w:ascii="Courier New" w:cs="Courier New" w:eastAsia="Courier New" w:hAnsi="Courier New"/>
          <w:sz w:val="16"/>
          <w:szCs w:val="16"/>
          <w:color w:val="auto"/>
        </w:rPr>
        <w:t>$14.57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 per share</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spacing w:after="0"/>
        <w:tabs>
          <w:tab w:leader="none" w:pos="2940" w:val="left"/>
          <w:tab w:leader="none" w:pos="5460" w:val="left"/>
          <w:tab w:leader="none" w:pos="694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1,190,090</w:t>
      </w:r>
      <w:r>
        <w:rPr>
          <w:sz w:val="20"/>
          <w:szCs w:val="20"/>
          <w:color w:val="auto"/>
        </w:rPr>
        <w:tab/>
      </w:r>
      <w:r>
        <w:rPr>
          <w:rFonts w:ascii="Courier New" w:cs="Courier New" w:eastAsia="Courier New" w:hAnsi="Courier New"/>
          <w:sz w:val="18"/>
          <w:szCs w:val="18"/>
          <w:color w:val="auto"/>
        </w:rPr>
        <w:t>$828,286</w:t>
      </w:r>
      <w:r>
        <w:rPr>
          <w:sz w:val="20"/>
          <w:szCs w:val="20"/>
          <w:color w:val="auto"/>
        </w:rPr>
        <w:tab/>
      </w:r>
      <w:r>
        <w:rPr>
          <w:rFonts w:ascii="Courier New" w:cs="Courier New" w:eastAsia="Courier New" w:hAnsi="Courier New"/>
          <w:sz w:val="16"/>
          <w:szCs w:val="16"/>
          <w:color w:val="auto"/>
        </w:rPr>
        <w:t>$104.94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640" w:right="3479" w:hanging="632"/>
        <w:spacing w:after="0" w:line="278"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also being registered hereunder an indeterminate number of shares of common stock as shall be issuable as a result of a stock split, stock dividend, combination or other change in the outstanding shares of common stock.</w:t>
      </w:r>
    </w:p>
    <w:p>
      <w:pPr>
        <w:spacing w:after="0" w:line="2" w:lineRule="exact"/>
        <w:rPr>
          <w:rFonts w:ascii="Courier New" w:cs="Courier New" w:eastAsia="Courier New" w:hAnsi="Courier New"/>
          <w:sz w:val="16"/>
          <w:szCs w:val="16"/>
          <w:color w:val="auto"/>
        </w:rPr>
      </w:pPr>
    </w:p>
    <w:p>
      <w:pPr>
        <w:ind w:left="640" w:right="3159" w:hanging="632"/>
        <w:spacing w:after="0" w:line="378"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Offering Price per Share in based upon the exercise price of each of the options, in accordance with Rule 457(g).</w:t>
      </w:r>
    </w:p>
    <w:p>
      <w:pPr>
        <w:sectPr>
          <w:pgSz w:w="11900" w:h="17025"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As permitted by the rules of the Securities and Exchange Commission, this registration statement omits the information specified in Part I of Form S-8. The documents containing the information specified in Part I of this registration statement will be sent or given to eligible employees as specified in Rule 428(b) promulgated under the Securities Act of 1933, as amended (the "Securities Act"). Such documents are not being filed with the Commission either as part of this registration statement or as prospectuses or prospectus supplements pursuant to Rule 424 promulgated under the Securities Act.</w:t>
      </w:r>
    </w:p>
    <w:p>
      <w:pPr>
        <w:sectPr>
          <w:pgSz w:w="11900" w:h="16838" w:orient="portrait"/>
          <w:cols w:equalWidth="0" w:num="1">
            <w:col w:w="10219"/>
          </w:cols>
          <w:pgMar w:left="240" w:top="312" w:right="1440" w:bottom="1440" w:gutter="0" w:footer="0" w:header="0"/>
        </w:sectPr>
      </w:pPr>
    </w:p>
    <w:bookmarkStart w:id="2" w:name="page3"/>
    <w:bookmarkEnd w:id="2"/>
    <w:p>
      <w:pPr>
        <w:spacing w:after="0" w:line="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540"/>
        <w:spacing w:after="0"/>
        <w:tabs>
          <w:tab w:leader="none" w:pos="2100" w:val="left"/>
          <w:tab w:leader="none" w:pos="3260" w:val="left"/>
          <w:tab w:leader="none" w:pos="4720" w:val="left"/>
          <w:tab w:leader="none" w:pos="6000" w:val="left"/>
        </w:tabs>
        <w:rPr>
          <w:sz w:val="20"/>
          <w:szCs w:val="20"/>
          <w:color w:val="auto"/>
        </w:rPr>
      </w:pPr>
      <w:r>
        <w:rPr>
          <w:rFonts w:ascii="Courier New" w:cs="Courier New" w:eastAsia="Courier New" w:hAnsi="Courier New"/>
          <w:sz w:val="18"/>
          <w:szCs w:val="18"/>
          <w:color w:val="auto"/>
        </w:rPr>
        <w:t>The following</w:t>
        <w:tab/>
        <w:t>documents</w:t>
        <w:tab/>
        <w:t>filed by the</w:t>
        <w:tab/>
        <w:t>Registrant</w:t>
      </w:r>
      <w:r>
        <w:rPr>
          <w:sz w:val="20"/>
          <w:szCs w:val="20"/>
          <w:color w:val="auto"/>
        </w:rPr>
        <w:tab/>
      </w:r>
      <w:r>
        <w:rPr>
          <w:rFonts w:ascii="Courier New" w:cs="Courier New" w:eastAsia="Courier New" w:hAnsi="Courier New"/>
          <w:sz w:val="16"/>
          <w:szCs w:val="16"/>
          <w:color w:val="auto"/>
        </w:rPr>
        <w:t>with the Securities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Commission are hereby incorporated by reference herein:</w:t>
      </w:r>
    </w:p>
    <w:p>
      <w:pPr>
        <w:spacing w:after="0" w:line="169" w:lineRule="exact"/>
        <w:rPr>
          <w:sz w:val="20"/>
          <w:szCs w:val="20"/>
          <w:color w:val="auto"/>
        </w:rPr>
      </w:pPr>
    </w:p>
    <w:p>
      <w:pPr>
        <w:ind w:left="860" w:right="1779" w:hanging="431"/>
        <w:spacing w:after="0" w:line="34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10-KSB for the fiscal year ended December 31, 2002 (filed on April 14, 2003);</w:t>
      </w:r>
    </w:p>
    <w:p>
      <w:pPr>
        <w:spacing w:after="0" w:line="18" w:lineRule="exact"/>
        <w:rPr>
          <w:rFonts w:ascii="Courier New" w:cs="Courier New" w:eastAsia="Courier New" w:hAnsi="Courier New"/>
          <w:sz w:val="18"/>
          <w:szCs w:val="18"/>
          <w:color w:val="auto"/>
        </w:rPr>
      </w:pPr>
    </w:p>
    <w:p>
      <w:pPr>
        <w:jc w:val="both"/>
        <w:ind w:left="860" w:right="1999" w:hanging="431"/>
        <w:spacing w:after="0" w:line="292"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10-QSB for the quarters ended March 31, 2003 (including amendment thereto filed on August 11, 2003), June 30, 2003, and September 30, 2003;</w:t>
      </w:r>
    </w:p>
    <w:p>
      <w:pPr>
        <w:spacing w:after="0" w:line="66" w:lineRule="exact"/>
        <w:rPr>
          <w:rFonts w:ascii="Courier New" w:cs="Courier New" w:eastAsia="Courier New" w:hAnsi="Courier New"/>
          <w:sz w:val="18"/>
          <w:szCs w:val="18"/>
          <w:color w:val="auto"/>
        </w:rPr>
      </w:pPr>
    </w:p>
    <w:p>
      <w:pPr>
        <w:ind w:left="860" w:right="1999" w:hanging="431"/>
        <w:spacing w:after="0" w:line="292"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filed March 10, 2003, August 15, 2003, September 23, 2003, and November 11, 2003, and on Form 8-K/A filed May 9, 2003; and</w:t>
      </w:r>
    </w:p>
    <w:p>
      <w:pPr>
        <w:spacing w:after="0" w:line="66" w:lineRule="exact"/>
        <w:rPr>
          <w:rFonts w:ascii="Courier New" w:cs="Courier New" w:eastAsia="Courier New" w:hAnsi="Courier New"/>
          <w:sz w:val="18"/>
          <w:szCs w:val="18"/>
          <w:color w:val="auto"/>
        </w:rPr>
      </w:pPr>
    </w:p>
    <w:p>
      <w:pPr>
        <w:ind w:left="860" w:right="2419" w:hanging="431"/>
        <w:spacing w:after="0" w:line="34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capital stock as set forth on Form 8-A filed on November 28, 1995 (No. 00-27282).</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3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As a condition to consenting to allow the Registrant to incorporate by reference into this registration statement its audit report, KPMG LLP ("KPMG") has required the Registrant, and the Registrant has agreed, to indemnify and hold KPMG harmless against and from any and all legal costs and expenses incurred by KPMG in successful defense of any legal action or proceeding that arises as a result of KPMG's consent to the incorporation by reference of its audit report on the Registrant's past financial statements incorporated by reference in this registration statement.</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Under provisions of the certificate of incorporation and bylaws of the Registrant, directors and officers will be indemnified for any and all judgments, fines, amounts paid in settlement and reasonable expenses, including attorneys fees, in connection with threatened, pending or completed actions, suits or proceedings, whether civil, or criminal, administrative or investigative (other than an action arising by or in the right of the Registrant), if such director or officer has been wholly successful on the merits or otherwise, or is found to have acted in good faith and in a manner he or she reasonably believes to be in or not opposed to the best interests of the Registrant, and, with respect to any criminal action or proceeding, had no reasonable cause to believe his or her conduct was unlawful. In addition, directors and officers will be indemnified for reasonable expenses in connection with threatened, pending or completed actions or suits by or in the right of Registrant if such director or officer has been wholly successful on the merits or otherwise, or is found to have acted in good faith and in a manner he or she reasonably believed to be in or not opposed to the best interests of the Registrant, except in the case of certain findings by a court that such person is liable for negligence or misconduct in his or her duty to the Registrant unless such court or the Delaware Court of Chancery also finds that such person is nevertheless fairly and reasonably entitled to indemnity. The Registrant's Certificate of Incorporation also eliminates the liability of directors of the Registrant for monetary damages to the fullest extent permissible under Delaware law.</w:t>
      </w:r>
    </w:p>
    <w:p>
      <w:pPr>
        <w:spacing w:after="0" w:line="11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145 of the Delaware General Corporation Law states:</w:t>
      </w:r>
    </w:p>
    <w:p>
      <w:pPr>
        <w:spacing w:after="0" w:line="201" w:lineRule="exact"/>
        <w:rPr>
          <w:sz w:val="20"/>
          <w:szCs w:val="20"/>
          <w:color w:val="auto"/>
        </w:rPr>
      </w:pPr>
    </w:p>
    <w:p>
      <w:pPr>
        <w:ind w:right="1779" w:firstLine="1053"/>
        <w:spacing w:after="0" w:line="420" w:lineRule="auto"/>
        <w:rPr>
          <w:sz w:val="20"/>
          <w:szCs w:val="20"/>
          <w:color w:val="auto"/>
        </w:rPr>
      </w:pPr>
      <w:r>
        <w:rPr>
          <w:rFonts w:ascii="Courier New" w:cs="Courier New" w:eastAsia="Courier New" w:hAnsi="Courier New"/>
          <w:sz w:val="16"/>
          <w:szCs w:val="16"/>
          <w:color w:val="auto"/>
        </w:rPr>
        <w:t>"(a) A corporation shall have the power to indemnify any person who was or is a party or is threatened to be made a party to any threatened, pending</w:t>
      </w:r>
    </w:p>
    <w:p>
      <w:pPr>
        <w:sectPr>
          <w:pgSz w:w="11900" w:h="16921" w:orient="portrait"/>
          <w:cols w:equalWidth="0" w:num="1">
            <w:col w:w="10219"/>
          </w:cols>
          <w:pgMar w:left="240" w:top="893" w:right="1440" w:bottom="0" w:gutter="0" w:footer="0" w:header="0"/>
        </w:sectPr>
      </w:pPr>
    </w:p>
    <w:bookmarkStart w:id="3" w:name="page4"/>
    <w:bookmarkEnd w:id="3"/>
    <w:p>
      <w:pPr>
        <w:ind w:right="1779"/>
        <w:spacing w:after="0" w:line="244" w:lineRule="auto"/>
        <w:rPr>
          <w:sz w:val="20"/>
          <w:szCs w:val="20"/>
          <w:color w:val="auto"/>
        </w:rPr>
      </w:pPr>
      <w:r>
        <w:rPr>
          <w:rFonts w:ascii="Courier New" w:cs="Courier New" w:eastAsia="Courier New" w:hAnsi="Courier New"/>
          <w:sz w:val="18"/>
          <w:szCs w:val="18"/>
          <w:color w:val="auto"/>
        </w:rPr>
        <w:t>or completed action, suit or proceeding, whether civil, criminal, administrative or investigative (other than an action arising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17" w:lineRule="exact"/>
        <w:rPr>
          <w:sz w:val="20"/>
          <w:szCs w:val="20"/>
          <w:color w:val="auto"/>
        </w:rPr>
      </w:pPr>
    </w:p>
    <w:p>
      <w:pPr>
        <w:ind w:right="1779" w:firstLine="1061"/>
        <w:spacing w:after="0" w:line="244"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 which the Court of Chancery or such other court shall deem proper."</w:t>
      </w:r>
    </w:p>
    <w:p>
      <w:pPr>
        <w:spacing w:after="0" w:line="11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3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3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r>
        <w:rPr>
          <w:rFonts w:ascii="Courier New" w:cs="Courier New" w:eastAsia="Courier New" w:hAnsi="Courier New"/>
          <w:sz w:val="16"/>
          <w:szCs w:val="16"/>
          <w:color w:val="auto"/>
        </w:rPr>
        <w:t>Description</w:t>
      </w:r>
    </w:p>
    <w:p>
      <w:pPr>
        <w:spacing w:after="0" w:line="30"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1480" w:right="1879" w:hanging="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4.1Registrant's 1995 Stock Option Plan (incorporated by reference to Exhibit 10.18 to the Registrant's Form 10-QSB for the quarter ended September 30, 1996).</w:t>
      </w:r>
    </w:p>
    <w:p>
      <w:pPr>
        <w:spacing w:after="0" w:line="1" w:lineRule="exact"/>
        <w:rPr>
          <w:rFonts w:ascii="Courier New" w:cs="Courier New" w:eastAsia="Courier New" w:hAnsi="Courier New"/>
          <w:sz w:val="18"/>
          <w:szCs w:val="18"/>
          <w:color w:val="auto"/>
        </w:rPr>
      </w:pPr>
    </w:p>
    <w:p>
      <w:pPr>
        <w:ind w:left="1480" w:right="1879" w:hanging="1053"/>
        <w:spacing w:after="0" w:line="26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w:t>
      </w:r>
      <w:r>
        <w:rPr>
          <w:rFonts w:ascii="Courier New" w:cs="Courier New" w:eastAsia="Courier New" w:hAnsi="Courier New"/>
          <w:sz w:val="16"/>
          <w:szCs w:val="16"/>
          <w:color w:val="auto"/>
        </w:rPr>
        <w:t>Form of Notice of Stock Option Grant issued to employees of the Registrant from April 12, 2000 to February 21, 2003 (incorporated by reference to Exhibit 99.2 to the Registrant's Registration Statement on Form S-8 filed March 24, 1998 (File No. 333-48531)).</w:t>
      </w:r>
    </w:p>
    <w:p>
      <w:pPr>
        <w:ind w:left="1480" w:right="1999" w:hanging="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4.3Schedule of Notices of Stock Option Grants, the form of which is attached as Exhibit 4.2.</w:t>
      </w:r>
    </w:p>
    <w:p>
      <w:pPr>
        <w:ind w:left="1480" w:right="1879" w:hanging="1053"/>
        <w:spacing w:after="0" w:line="26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w:t>
      </w:r>
      <w:r>
        <w:rPr>
          <w:rFonts w:ascii="Courier New" w:cs="Courier New" w:eastAsia="Courier New" w:hAnsi="Courier New"/>
          <w:sz w:val="16"/>
          <w:szCs w:val="16"/>
          <w:color w:val="auto"/>
        </w:rPr>
        <w:t>Form of Stock Option Agreement issued to employees of the Registrant from April 12, 2000 to February 21, 2003 (incorporated by reference to Exhibit 99.3 to the Registrant's Registration Statement on Form S-8 filed March 24, 1998 (File No. 333-48531)).</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w:t>
      </w:r>
      <w:r>
        <w:rPr>
          <w:rFonts w:ascii="Courier New" w:cs="Courier New" w:eastAsia="Courier New" w:hAnsi="Courier New"/>
          <w:sz w:val="16"/>
          <w:szCs w:val="16"/>
          <w:color w:val="auto"/>
        </w:rPr>
        <w:t>Opinion of Maslon Edelman Borman &amp; Brand, LLP.</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r>
        <w:rPr>
          <w:rFonts w:ascii="Courier New" w:cs="Courier New" w:eastAsia="Courier New" w:hAnsi="Courier New"/>
          <w:sz w:val="16"/>
          <w:szCs w:val="16"/>
          <w:color w:val="auto"/>
        </w:rPr>
        <w:t>Consent of J.H. Cohn LLP.</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23.2</w:t>
      </w:r>
      <w:r>
        <w:rPr>
          <w:rFonts w:ascii="Courier New" w:cs="Courier New" w:eastAsia="Courier New" w:hAnsi="Courier New"/>
          <w:sz w:val="16"/>
          <w:szCs w:val="16"/>
          <w:color w:val="auto"/>
        </w:rPr>
        <w:t>Consent of Weinberg &amp; Company, P.A.</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23.3</w:t>
      </w:r>
      <w:r>
        <w:rPr>
          <w:rFonts w:ascii="Courier New" w:cs="Courier New" w:eastAsia="Courier New" w:hAnsi="Courier New"/>
          <w:sz w:val="16"/>
          <w:szCs w:val="16"/>
          <w:color w:val="auto"/>
        </w:rPr>
        <w:t>Consent of KPMG LLP.</w:t>
      </w:r>
    </w:p>
    <w:p>
      <w:pPr>
        <w:ind w:left="1480" w:right="2619" w:hanging="1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23.4Consent of Maslon Edelman Borman &amp; Brand, LLP (included in Exhibit 5.1).</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24.1</w:t>
      </w:r>
      <w:r>
        <w:rPr>
          <w:rFonts w:ascii="Courier New" w:cs="Courier New" w:eastAsia="Courier New" w:hAnsi="Courier New"/>
          <w:sz w:val="16"/>
          <w:szCs w:val="16"/>
          <w:color w:val="auto"/>
        </w:rPr>
        <w:t>Power of Attorney (included on signature page hereof).</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540" w:right="2319" w:firstLine="521"/>
        <w:spacing w:after="0" w:line="347" w:lineRule="auto"/>
        <w:tabs>
          <w:tab w:leader="none" w:pos="1488"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w:t>
      </w:r>
    </w:p>
    <w:p>
      <w:pPr>
        <w:sectPr>
          <w:pgSz w:w="11900" w:h="16838" w:orient="portrait"/>
          <w:cols w:equalWidth="0" w:num="1">
            <w:col w:w="10219"/>
          </w:cols>
          <w:pgMar w:left="240" w:top="110" w:right="1440" w:bottom="0" w:gutter="0" w:footer="0" w:header="0"/>
        </w:sectPr>
      </w:pPr>
    </w:p>
    <w:bookmarkStart w:id="4" w:name="page5"/>
    <w:bookmarkEnd w:id="4"/>
    <w:p>
      <w:pPr>
        <w:ind w:left="540" w:right="1879"/>
        <w:spacing w:after="0" w:line="274" w:lineRule="auto"/>
        <w:rPr>
          <w:sz w:val="20"/>
          <w:szCs w:val="20"/>
          <w:color w:val="auto"/>
        </w:rPr>
      </w:pPr>
      <w:r>
        <w:rPr>
          <w:rFonts w:ascii="Courier New" w:cs="Courier New" w:eastAsia="Courier New" w:hAnsi="Courier New"/>
          <w:sz w:val="18"/>
          <w:szCs w:val="18"/>
          <w:color w:val="auto"/>
        </w:rPr>
        <w:t>the effective date of the registration statement (or the most recent post-effective amendment thereof) which, individually or in the aggregate, represent a fundamental change in the information set forth in the registration statement;</w:t>
      </w:r>
    </w:p>
    <w:p>
      <w:pPr>
        <w:spacing w:after="0" w:line="82" w:lineRule="exact"/>
        <w:rPr>
          <w:sz w:val="20"/>
          <w:szCs w:val="20"/>
          <w:color w:val="auto"/>
        </w:rPr>
      </w:pPr>
    </w:p>
    <w:p>
      <w:pPr>
        <w:jc w:val="both"/>
        <w:ind w:left="540" w:right="1879" w:firstLine="521"/>
        <w:spacing w:after="0" w:line="344" w:lineRule="auto"/>
        <w:tabs>
          <w:tab w:leader="none" w:pos="169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31" w:lineRule="exact"/>
        <w:rPr>
          <w:sz w:val="20"/>
          <w:szCs w:val="20"/>
          <w:color w:val="auto"/>
        </w:rPr>
      </w:pPr>
    </w:p>
    <w:p>
      <w:pPr>
        <w:ind w:right="3359" w:firstLine="527"/>
        <w:spacing w:after="0" w:line="293" w:lineRule="auto"/>
        <w:rPr>
          <w:sz w:val="20"/>
          <w:szCs w:val="20"/>
          <w:color w:val="auto"/>
        </w:rPr>
      </w:pPr>
      <w:r>
        <w:rPr>
          <w:rFonts w:ascii="Courier New" w:cs="Courier New" w:eastAsia="Courier New" w:hAnsi="Courier New"/>
          <w:sz w:val="16"/>
          <w:szCs w:val="16"/>
          <w:color w:val="auto"/>
        </w:rPr>
        <w:t>Provided, however, that paragraphs (a)(1)(i) and (a)(1)(ii) do not apply if the registration statement is on Form S-3, Form S-8 or Form F-3,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72" w:lineRule="exact"/>
        <w:rPr>
          <w:sz w:val="20"/>
          <w:szCs w:val="20"/>
          <w:color w:val="auto"/>
        </w:rPr>
      </w:pPr>
    </w:p>
    <w:p>
      <w:pPr>
        <w:ind w:right="1779" w:firstLine="535"/>
        <w:spacing w:after="0" w:line="265" w:lineRule="auto"/>
        <w:tabs>
          <w:tab w:leader="none" w:pos="9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ind w:right="1779" w:firstLine="535"/>
        <w:spacing w:after="0" w:line="292" w:lineRule="auto"/>
        <w:tabs>
          <w:tab w:leader="none" w:pos="9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right="1879" w:firstLine="8"/>
        <w:spacing w:after="0" w:line="288"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85" w:lineRule="exact"/>
        <w:rPr>
          <w:rFonts w:ascii="Courier New" w:cs="Courier New" w:eastAsia="Courier New" w:hAnsi="Courier New"/>
          <w:sz w:val="16"/>
          <w:szCs w:val="16"/>
          <w:color w:val="auto"/>
        </w:rPr>
      </w:pPr>
    </w:p>
    <w:p>
      <w:pPr>
        <w:ind w:right="1779" w:firstLine="8"/>
        <w:spacing w:after="0" w:line="24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connected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110"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and State of New York, on the 11th day of February, 2004.</w:t>
      </w:r>
    </w:p>
    <w:p>
      <w:pPr>
        <w:spacing w:after="0" w:line="9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Manhattan Pharmaceuticals, Inc.</w:t>
      </w:r>
    </w:p>
    <w:p>
      <w:pPr>
        <w:spacing w:after="0" w:line="200" w:lineRule="exact"/>
        <w:rPr>
          <w:sz w:val="20"/>
          <w:szCs w:val="20"/>
          <w:color w:val="auto"/>
        </w:rPr>
      </w:pPr>
    </w:p>
    <w:p>
      <w:pPr>
        <w:spacing w:after="0" w:line="204"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Leonard Firestone</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Leonard Firestone</w:t>
      </w:r>
    </w:p>
    <w:p>
      <w:pPr>
        <w:ind w:left="306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Each person whose signature to this Registration Statement appears below hereby constitutes and appoints Nicholas J. Rossettos as his or her true and lawful attorney-in-fact and agent, with full power of substitution, to sign on his or her behalf individually and in the capacity stated below and to perform any acts necessary to be done in order to file all amendments to this Registration Statement and any and all instruments or documents filed as part of or in connection with this Registration Statement or the amendments thereto and each of the undersigned does hereby ratify and confirm all that said attorney-in-fact and agent, or his substitutes, shall do or cause to be done by virtue hereof. The undersigned also grants to said attorney-in-fact, full power and authority to do and perform any and all acts necessary or incidental to the performance and execution of the powers herein expressly granted. This Power of Attorney shall remain in effect until revoked in writing by the undersigned.</w:t>
      </w:r>
    </w:p>
    <w:p>
      <w:pPr>
        <w:spacing w:after="0" w:line="29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1933, this Registration Statement has been signed as of the 11th day of February, 2004, by the following persons in the capacities indicated.</w:t>
      </w:r>
    </w:p>
    <w:p>
      <w:pPr>
        <w:spacing w:after="0" w:line="65"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960" w:type="dxa"/>
            <w:vAlign w:val="bottom"/>
          </w:tcPr>
          <w:p>
            <w:pPr>
              <w:ind w:left="1160"/>
              <w:spacing w:after="0"/>
              <w:rPr>
                <w:sz w:val="20"/>
                <w:szCs w:val="20"/>
                <w:color w:val="auto"/>
              </w:rPr>
            </w:pPr>
            <w:r>
              <w:rPr>
                <w:rFonts w:ascii="Courier New" w:cs="Courier New" w:eastAsia="Courier New" w:hAnsi="Courier New"/>
                <w:sz w:val="18"/>
                <w:szCs w:val="18"/>
                <w:color w:val="auto"/>
              </w:rPr>
              <w:t>Name</w:t>
            </w:r>
          </w:p>
        </w:tc>
        <w:tc>
          <w:tcPr>
            <w:tcW w:w="3900" w:type="dxa"/>
            <w:vAlign w:val="bottom"/>
          </w:tcPr>
          <w:p>
            <w:pPr>
              <w:ind w:left="1880"/>
              <w:spacing w:after="0"/>
              <w:rPr>
                <w:sz w:val="20"/>
                <w:szCs w:val="20"/>
                <w:color w:val="auto"/>
              </w:rPr>
            </w:pPr>
            <w:r>
              <w:rPr>
                <w:rFonts w:ascii="Courier New" w:cs="Courier New" w:eastAsia="Courier New" w:hAnsi="Courier New"/>
                <w:sz w:val="18"/>
                <w:szCs w:val="18"/>
                <w:color w:val="auto"/>
              </w:rPr>
              <w:t>Title</w:t>
            </w:r>
          </w:p>
        </w:tc>
        <w:tc>
          <w:tcPr>
            <w:tcW w:w="0" w:type="dxa"/>
            <w:vAlign w:val="bottom"/>
          </w:tcPr>
          <w:p>
            <w:pPr>
              <w:spacing w:after="0"/>
              <w:rPr>
                <w:sz w:val="1"/>
                <w:szCs w:val="1"/>
                <w:color w:val="auto"/>
              </w:rPr>
            </w:pPr>
          </w:p>
        </w:tc>
      </w:tr>
      <w:tr>
        <w:trPr>
          <w:trHeight w:val="203"/>
        </w:trPr>
        <w:tc>
          <w:tcPr>
            <w:tcW w:w="29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18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 Leonard Firestone</w:t>
            </w:r>
          </w:p>
        </w:tc>
        <w:tc>
          <w:tcPr>
            <w:tcW w:w="3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and Chief Executive</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Officer (Principal Executive</w:t>
            </w:r>
          </w:p>
        </w:tc>
        <w:tc>
          <w:tcPr>
            <w:tcW w:w="0" w:type="dxa"/>
            <w:vAlign w:val="bottom"/>
          </w:tcPr>
          <w:p>
            <w:pPr>
              <w:spacing w:after="0"/>
              <w:rPr>
                <w:sz w:val="1"/>
                <w:szCs w:val="1"/>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Leonard Firestone</w:t>
            </w:r>
          </w:p>
        </w:tc>
        <w:tc>
          <w:tcPr>
            <w:tcW w:w="3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4"/>
                <w:szCs w:val="24"/>
                <w:color w:val="auto"/>
              </w:rPr>
            </w:pP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Officer)</w:t>
            </w: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Nicholas J. Rossettos</w:t>
            </w: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Chief Operating Officer, Chief</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w w:val="97"/>
              </w:rPr>
              <w:t>Financial Officer, Treasurer and</w:t>
            </w:r>
          </w:p>
        </w:tc>
        <w:tc>
          <w:tcPr>
            <w:tcW w:w="0" w:type="dxa"/>
            <w:vAlign w:val="bottom"/>
          </w:tcPr>
          <w:p>
            <w:pPr>
              <w:spacing w:after="0"/>
              <w:rPr>
                <w:sz w:val="1"/>
                <w:szCs w:val="1"/>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Nicholas J. Rossettos</w:t>
            </w:r>
          </w:p>
        </w:tc>
        <w:tc>
          <w:tcPr>
            <w:tcW w:w="3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Secretary  (Principal Financial</w:t>
            </w: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4"/>
                <w:szCs w:val="24"/>
                <w:color w:val="auto"/>
              </w:rPr>
            </w:pP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and Accounting Officer)</w:t>
            </w: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Joshua Kazam</w:t>
            </w: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Joshua Kazam</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Joan Pons Gimbert</w:t>
            </w: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Joan Pons Gimbert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David M. Tanen</w:t>
            </w: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David M. Tanen</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Michael Weiser</w:t>
            </w:r>
          </w:p>
        </w:tc>
        <w:tc>
          <w:tcPr>
            <w:tcW w:w="39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Michael Weiser</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6" w:name="page7"/>
    <w:bookmarkEnd w:id="6"/>
    <w:p>
      <w:pPr>
        <w:ind w:left="242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1260" w:right="1879" w:hanging="1052"/>
        <w:spacing w:after="0" w:line="238" w:lineRule="auto"/>
        <w:tabs>
          <w:tab w:leader="none" w:pos="12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Registrant's 1995 Stock Option Plan (incorporated by reference to Exhibit 10.18 to the Registrant's Form 10-QSB for the quarter ended September 30, 1996).</w:t>
      </w:r>
    </w:p>
    <w:p>
      <w:pPr>
        <w:spacing w:after="0" w:line="1" w:lineRule="exact"/>
        <w:rPr>
          <w:sz w:val="20"/>
          <w:szCs w:val="20"/>
          <w:color w:val="auto"/>
        </w:rPr>
      </w:pPr>
    </w:p>
    <w:p>
      <w:pPr>
        <w:ind w:left="1260" w:right="2839" w:hanging="1052"/>
        <w:spacing w:after="0" w:line="268" w:lineRule="auto"/>
        <w:tabs>
          <w:tab w:leader="none" w:pos="12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Form of Notice of Stock Option Grant issued to employees of the Registrant from April 12, 2000 to February 21,</w:t>
      </w:r>
    </w:p>
    <w:p>
      <w:pPr>
        <w:ind w:left="1260" w:right="2099"/>
        <w:spacing w:after="0" w:line="238" w:lineRule="auto"/>
        <w:rPr>
          <w:sz w:val="20"/>
          <w:szCs w:val="20"/>
          <w:color w:val="auto"/>
        </w:rPr>
      </w:pPr>
      <w:r>
        <w:rPr>
          <w:rFonts w:ascii="Courier New" w:cs="Courier New" w:eastAsia="Courier New" w:hAnsi="Courier New"/>
          <w:sz w:val="18"/>
          <w:szCs w:val="18"/>
          <w:color w:val="auto"/>
        </w:rPr>
        <w:t>2003 (incorporated by reference to Exhibit 99.2 to the Registrant's Registration Statement on Form S-8 filed March 24, 1998 (File No. 333-48531)).</w:t>
      </w:r>
    </w:p>
    <w:p>
      <w:pPr>
        <w:spacing w:after="0" w:line="1" w:lineRule="exact"/>
        <w:rPr>
          <w:sz w:val="20"/>
          <w:szCs w:val="20"/>
          <w:color w:val="auto"/>
        </w:rPr>
      </w:pPr>
    </w:p>
    <w:p>
      <w:pPr>
        <w:ind w:left="1260" w:right="1999" w:hanging="1052"/>
        <w:spacing w:after="0" w:line="238" w:lineRule="auto"/>
        <w:tabs>
          <w:tab w:leader="none" w:pos="12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Schedule of Notices of Stock Option Grants, the form of which is attached as Exhibit 4.2.</w:t>
      </w:r>
    </w:p>
    <w:p>
      <w:pPr>
        <w:spacing w:after="0" w:line="1" w:lineRule="exact"/>
        <w:rPr>
          <w:sz w:val="20"/>
          <w:szCs w:val="20"/>
          <w:color w:val="auto"/>
        </w:rPr>
      </w:pPr>
    </w:p>
    <w:p>
      <w:pPr>
        <w:ind w:left="1260" w:right="1879" w:hanging="1052"/>
        <w:spacing w:after="0" w:line="268" w:lineRule="auto"/>
        <w:tabs>
          <w:tab w:leader="none" w:pos="12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Form of Stock Option Agreement issued to employees of the Registrant from April 12, 2000 to February 21, 2003 (incorporated by reference to Exhibit 99.3 to the Registrant's Registration Statement on Form S-8 filed March 24, 1998 (File No. 333-48531)).</w:t>
      </w: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Maslon Edelman Borman &amp; Brand, LLP.</w:t>
      </w: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J.H. Cohn LLP.</w:t>
      </w: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Weinberg &amp; Company, P.A.</w:t>
      </w: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KPMG LLP.</w:t>
      </w:r>
    </w:p>
    <w:p>
      <w:pPr>
        <w:ind w:left="1260" w:right="2619" w:hanging="1158"/>
        <w:spacing w:after="0" w:line="238" w:lineRule="auto"/>
        <w:tabs>
          <w:tab w:leader="none" w:pos="124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8"/>
          <w:szCs w:val="18"/>
          <w:color w:val="auto"/>
        </w:rPr>
        <w:t>Consent of Maslon Edelman Borman &amp; Brand, LLP (included in Exhibit 5.1).</w:t>
      </w:r>
    </w:p>
    <w:p>
      <w:pPr>
        <w:spacing w:after="0" w:line="1" w:lineRule="exact"/>
        <w:rPr>
          <w:sz w:val="20"/>
          <w:szCs w:val="20"/>
          <w:color w:val="auto"/>
        </w:rPr>
      </w:pP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 hereof).</w:t>
      </w:r>
    </w:p>
    <w:p>
      <w:pPr>
        <w:sectPr>
          <w:pgSz w:w="11900" w:h="16838" w:orient="portrait"/>
          <w:cols w:equalWidth="0" w:num="1">
            <w:col w:w="9999"/>
          </w:cols>
          <w:pgMar w:left="460" w:top="1096" w:right="1440" w:bottom="1440" w:gutter="0" w:footer="0" w:header="0"/>
        </w:sectPr>
      </w:pPr>
    </w:p>
    <w:bookmarkStart w:id="7" w:name="page8"/>
    <w:bookmarkEnd w:id="7"/>
    <w:p>
      <w:pPr>
        <w:ind w:left="7280"/>
        <w:spacing w:after="0"/>
        <w:rPr>
          <w:sz w:val="20"/>
          <w:szCs w:val="20"/>
          <w:color w:val="auto"/>
        </w:rPr>
      </w:pPr>
      <w:r>
        <w:rPr>
          <w:rFonts w:ascii="Courier New" w:cs="Courier New" w:eastAsia="Courier New" w:hAnsi="Courier New"/>
          <w:sz w:val="16"/>
          <w:szCs w:val="16"/>
          <w:color w:val="auto"/>
        </w:rPr>
        <w:t>EXHIBIT 4.3</w:t>
      </w:r>
    </w:p>
    <w:p>
      <w:pPr>
        <w:spacing w:after="0" w:line="224"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The following schedule identifies the material details of the respective option agreements issued by the Registrant substantially identical to the form of Notice of Option Grant incorporated by reference into the accompany registration statement as Exhibit 4.2. Although not issued pursuant to the Registrant's 1995 Stock Option Plan, each Notice of Option Grant incorporates all of the terms of such plan. A copy of the 1995 Stock Option Plan is incorporated by reference into the accompanying registration statement as Exhibit 4.1.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Option Holder</w:t>
            </w:r>
          </w:p>
        </w:tc>
        <w:tc>
          <w:tcPr>
            <w:tcW w:w="49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Issuance Date No. of Shares Exercise Price ($)</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Termination</w:t>
            </w:r>
          </w:p>
        </w:tc>
        <w:tc>
          <w:tcPr>
            <w:tcW w:w="0" w:type="dxa"/>
            <w:vAlign w:val="bottom"/>
          </w:tcPr>
          <w:p>
            <w:pPr>
              <w:spacing w:after="0"/>
              <w:rPr>
                <w:sz w:val="1"/>
                <w:szCs w:val="1"/>
                <w:color w:val="auto"/>
              </w:rPr>
            </w:pPr>
          </w:p>
        </w:tc>
      </w:tr>
      <w:tr>
        <w:trPr>
          <w:trHeight w:val="203"/>
        </w:trPr>
        <w:tc>
          <w:tcPr>
            <w:tcW w:w="20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4900" w:type="dxa"/>
            <w:vAlign w:val="bottom"/>
            <w:gridSpan w:val="4"/>
            <w:vMerge w:val="restart"/>
          </w:tcPr>
          <w:p>
            <w:pPr>
              <w:jc w:val="right"/>
              <w:spacing w:after="0"/>
              <w:rPr>
                <w:sz w:val="20"/>
                <w:szCs w:val="20"/>
                <w:color w:val="auto"/>
              </w:rPr>
            </w:pPr>
            <w:r>
              <w:rPr>
                <w:rFonts w:ascii="Courier New" w:cs="Courier New" w:eastAsia="Courier New" w:hAnsi="Courier New"/>
                <w:sz w:val="18"/>
                <w:szCs w:val="18"/>
                <w:color w:val="auto"/>
                <w:w w:val="97"/>
              </w:rPr>
              <w:t>------------- ------------- ------------------</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4900" w:type="dxa"/>
            <w:vAlign w:val="bottom"/>
            <w:gridSpan w:val="4"/>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Leonard Firestone.</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2/24/2003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584,060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0.40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2/24/2013</w:t>
            </w: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A. Joseph Rudick..</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4/12/2000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20.94</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4/12/2010</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4.38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2/20/2011</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3/28/2002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25,000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3/28/2012</w:t>
            </w: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Frederic P. Zotos.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25,000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3/28/2002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3/28/2012</w:t>
            </w: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Nicholas J.</w:t>
            </w: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2/19/2002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10,000</w:t>
            </w:r>
          </w:p>
        </w:tc>
        <w:tc>
          <w:tcPr>
            <w:tcW w:w="7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w:t>
            </w:r>
          </w:p>
        </w:tc>
        <w:tc>
          <w:tcPr>
            <w:tcW w:w="1780" w:type="dxa"/>
            <w:vAlign w:val="bottom"/>
            <w:vMerge w:val="restart"/>
          </w:tcPr>
          <w:p>
            <w:pPr>
              <w:jc w:val="right"/>
              <w:ind w:right="792"/>
              <w:spacing w:after="0"/>
              <w:rPr>
                <w:sz w:val="20"/>
                <w:szCs w:val="20"/>
                <w:color w:val="auto"/>
              </w:rPr>
            </w:pPr>
            <w:r>
              <w:rPr>
                <w:rFonts w:ascii="Courier New" w:cs="Courier New" w:eastAsia="Courier New" w:hAnsi="Courier New"/>
                <w:sz w:val="18"/>
                <w:szCs w:val="18"/>
                <w:color w:val="auto"/>
              </w:rPr>
              <w:t>1.25</w:t>
            </w:r>
          </w:p>
        </w:tc>
        <w:tc>
          <w:tcPr>
            <w:tcW w:w="13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Rossettos.........</w:t>
            </w:r>
          </w:p>
        </w:tc>
        <w:tc>
          <w:tcPr>
            <w:tcW w:w="13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3/28/2002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3/28/2012</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2/24/2003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292,030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0.40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2/24/2013</w:t>
            </w: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Michael L. Ferrari</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3/28/2002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3/28/2012</w:t>
            </w: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Sarah E. Laut.....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2/19/2002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7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2/19/2012</w:t>
            </w:r>
          </w:p>
        </w:tc>
        <w:tc>
          <w:tcPr>
            <w:tcW w:w="0" w:type="dxa"/>
            <w:vAlign w:val="bottom"/>
          </w:tcPr>
          <w:p>
            <w:pPr>
              <w:spacing w:after="0"/>
              <w:rPr>
                <w:sz w:val="1"/>
                <w:szCs w:val="1"/>
                <w:color w:val="auto"/>
              </w:rPr>
            </w:pPr>
          </w:p>
        </w:tc>
      </w:tr>
      <w:tr>
        <w:trPr>
          <w:trHeight w:val="296"/>
        </w:trPr>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 -----------------</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3/28/2002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w:t>
            </w:r>
          </w:p>
        </w:tc>
        <w:tc>
          <w:tcPr>
            <w:tcW w:w="17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3/28/2012</w:t>
            </w:r>
          </w:p>
        </w:tc>
        <w:tc>
          <w:tcPr>
            <w:tcW w:w="0" w:type="dxa"/>
            <w:vAlign w:val="bottom"/>
          </w:tcPr>
          <w:p>
            <w:pPr>
              <w:spacing w:after="0"/>
              <w:rPr>
                <w:sz w:val="1"/>
                <w:szCs w:val="1"/>
                <w:color w:val="auto"/>
              </w:rPr>
            </w:pPr>
          </w:p>
        </w:tc>
      </w:tr>
      <w:tr>
        <w:trPr>
          <w:trHeight w:val="141"/>
        </w:trPr>
        <w:tc>
          <w:tcPr>
            <w:tcW w:w="20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20" w:right="2739"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vests 50% on first anniversary of grant date and then 50% on second anniversary.</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vested 25% on issuance and then 25% on each anniversary thereafter.</w:t>
      </w:r>
    </w:p>
    <w:p>
      <w:pPr>
        <w:ind w:left="420" w:right="2199"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vests upon the earlier of FDA approval of Avantix or 5 years from grant date; provided that to the extent optionee ceases to provide services to the Registrant before such vesting date, the option does not vest.</w:t>
      </w:r>
    </w:p>
    <w:p>
      <w:pPr>
        <w:spacing w:after="0" w:line="1" w:lineRule="exact"/>
        <w:rPr>
          <w:rFonts w:ascii="Courier New" w:cs="Courier New" w:eastAsia="Courier New" w:hAnsi="Courier New"/>
          <w:sz w:val="18"/>
          <w:szCs w:val="18"/>
          <w:color w:val="auto"/>
        </w:rPr>
      </w:pPr>
    </w:p>
    <w:p>
      <w:pPr>
        <w:ind w:left="420" w:right="2419"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vested entirely in June 2002 upon the Registrant's license of its former rights to CT-3 to Indevus Pharmaceuticals, Inc. and remains exercisable for entire term of the option regardless of any change in optionee's employment status with the Registant.</w:t>
      </w:r>
    </w:p>
    <w:p>
      <w:pPr>
        <w:spacing w:after="0" w:line="1" w:lineRule="exact"/>
        <w:rPr>
          <w:rFonts w:ascii="Courier New" w:cs="Courier New" w:eastAsia="Courier New" w:hAnsi="Courier New"/>
          <w:sz w:val="18"/>
          <w:szCs w:val="18"/>
          <w:color w:val="auto"/>
        </w:rPr>
      </w:pPr>
    </w:p>
    <w:p>
      <w:pPr>
        <w:ind w:left="420" w:right="2319"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vested upon issuance and remains exercisable for entire term of the option without regard to any change in optionee's employment status with the Registrant.</w:t>
      </w:r>
    </w:p>
    <w:p>
      <w:pPr>
        <w:spacing w:after="0" w:line="1" w:lineRule="exact"/>
        <w:rPr>
          <w:rFonts w:ascii="Courier New" w:cs="Courier New" w:eastAsia="Courier New" w:hAnsi="Courier New"/>
          <w:sz w:val="18"/>
          <w:szCs w:val="18"/>
          <w:color w:val="auto"/>
        </w:rPr>
      </w:pPr>
    </w:p>
    <w:p>
      <w:pPr>
        <w:ind w:left="420" w:right="2739" w:hanging="412"/>
        <w:spacing w:after="0" w:line="273"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one-half of original grant, which one-half was vested at February 21, 2003, the time of optionee's employment termination; remainder of option grant lapsed.</w:t>
      </w:r>
    </w:p>
    <w:p>
      <w:pPr>
        <w:sectPr>
          <w:pgSz w:w="11900" w:h="16838" w:orient="portrait"/>
          <w:cols w:equalWidth="0" w:num="1">
            <w:col w:w="10219"/>
          </w:cols>
          <w:pgMar w:left="240" w:top="110"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February 12,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Manhattan Pharmaceuticals,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787 Seventh Avenue, 48th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632"/>
        <w:spacing w:after="0" w:line="285" w:lineRule="auto"/>
        <w:rPr>
          <w:sz w:val="20"/>
          <w:szCs w:val="20"/>
          <w:color w:val="auto"/>
        </w:rPr>
      </w:pPr>
      <w:r>
        <w:rPr>
          <w:rFonts w:ascii="Courier New" w:cs="Courier New" w:eastAsia="Courier New" w:hAnsi="Courier New"/>
          <w:sz w:val="16"/>
          <w:szCs w:val="16"/>
          <w:color w:val="auto"/>
        </w:rPr>
        <w:t>We have acted on behalf of Manhattan Pharmaceuticals, Inc. (the "Company") in connection with a Registration Statement on Form S-8 (the "Registration Statement") filed by the Company with the Securities and Exchange Commission relating to registration of an aggregate of 1,190,090 shares of Common Stock, $.001 par value, to be issued by the Company (the "Shares"), pursuant to the terms of various option grants made by the Company to certain current and former employees pursuant to option agreements dated from April 12, 2000 to February 24, 2003 outside of any plan (collectively, the "Options"). Upon examination of such corporate documents and records as we have deemed necessary or advisable for the purposes hereof, it is our opinion that:</w:t>
      </w:r>
    </w:p>
    <w:p>
      <w:pPr>
        <w:spacing w:after="0" w:line="76" w:lineRule="exact"/>
        <w:rPr>
          <w:sz w:val="20"/>
          <w:szCs w:val="20"/>
          <w:color w:val="auto"/>
        </w:rPr>
      </w:pPr>
    </w:p>
    <w:p>
      <w:pPr>
        <w:ind w:left="1280" w:right="1779" w:hanging="324"/>
        <w:spacing w:after="0" w:line="347"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validly existing corporation in good standing under the laws of the State of Delaware.</w:t>
      </w:r>
    </w:p>
    <w:p>
      <w:pPr>
        <w:spacing w:after="0" w:line="18" w:lineRule="exact"/>
        <w:rPr>
          <w:rFonts w:ascii="Courier New" w:cs="Courier New" w:eastAsia="Courier New" w:hAnsi="Courier New"/>
          <w:sz w:val="18"/>
          <w:szCs w:val="18"/>
          <w:color w:val="auto"/>
        </w:rPr>
      </w:pPr>
    </w:p>
    <w:p>
      <w:pPr>
        <w:ind w:left="1280" w:right="1779" w:hanging="324"/>
        <w:spacing w:after="0" w:line="250"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when issued and paid for as contemplated by the Options, and when delivered against payment thereof in the manner contemplated by the Options, will be validly issued, fully paid</w:t>
      </w:r>
    </w:p>
    <w:p>
      <w:pPr>
        <w:spacing w:after="0" w:line="2"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 non-assessable.</w:t>
      </w:r>
    </w:p>
    <w:p>
      <w:pPr>
        <w:spacing w:after="0" w:line="169" w:lineRule="exact"/>
        <w:rPr>
          <w:sz w:val="20"/>
          <w:szCs w:val="20"/>
          <w:color w:val="auto"/>
        </w:rPr>
      </w:pPr>
    </w:p>
    <w:p>
      <w:pPr>
        <w:ind w:right="2419" w:firstLine="632"/>
        <w:spacing w:after="0" w:line="347"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Maslon Edelman Borman &amp; Brand, LLP</w:t>
      </w:r>
    </w:p>
    <w:p>
      <w:pPr>
        <w:sectPr>
          <w:pgSz w:w="11900" w:h="16838" w:orient="portrait"/>
          <w:cols w:equalWidth="0" w:num="1">
            <w:col w:w="10219"/>
          </w:cols>
          <w:pgMar w:left="240" w:top="110"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S-8 of our report, which is included in the Company's Form 8-K/A filed with the Securities and Exchange Commission on May 9, 2003 and contains an explanatory paragraph relating to Manhattan Research and Development, Inc.'s (formerly known as Manhattan Pharmaceuticals, Inc.) ability to continue as a going concern, dated February 14, 2003, except for Notes 1, 2, and 10, which are as of February 21, 2003 on the financial statements of Manhattan Research Development, Inc. as of December 31, 2002, and for the year then ended and for the period from August 1, 2001 (date of inception) to December 31, 2002. We also consent to the incorporation by reference in this registration statement on Form S-8 of our report, which is included in the Company's Annual Report on Form</w:t>
      </w:r>
    </w:p>
    <w:p>
      <w:pPr>
        <w:spacing w:after="0" w:line="1"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10-KSB filed with the Securities and Exchange Commission on April 14, 2003 and contains an explanatory paragraph relating to Manhattan Pharmaceuticals, Inc.'s (formerly known as Atlantic Technology Ventures, Inc.) ability to continue as a going concern, dated February 14, 2003, except for Notes 1 and 14 which are as of February 21, 2003 and Note 13 which is as of March 1, 2003 on the consolidated financial statements of Manhattan Pharmaceuticals, Inc. as of December 31, 2002 and for the year then ended and for the period from July 13, 1993 (date of inception) to December 31, 2002.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J.H. COHN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Roseland, New Jersey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2004</w:t>
      </w:r>
    </w:p>
    <w:p>
      <w:pPr>
        <w:sectPr>
          <w:pgSz w:w="11900" w:h="16838" w:orient="portrait"/>
          <w:cols w:equalWidth="0" w:num="1">
            <w:col w:w="10219"/>
          </w:cols>
          <w:pgMar w:left="240" w:top="110"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We hereby consent to the incorporation by reference in the foregoing Registration Statement on Form S-8 of our report dated November 1, 2002, relating to the financial statements of Manhattan Pharmaceuticals, Inc. as of December 31, 2001 and for the period from August 6, 2001 (inception) to December 31, 2001, which appears in the Registrant's Form 8-K, filed with the Securities and Exchange Commission on May 9, 2003.</w:t>
      </w:r>
    </w:p>
    <w:p>
      <w:pPr>
        <w:spacing w:after="0" w:line="200" w:lineRule="exact"/>
        <w:rPr>
          <w:sz w:val="20"/>
          <w:szCs w:val="20"/>
          <w:color w:val="auto"/>
        </w:rPr>
      </w:pPr>
    </w:p>
    <w:p>
      <w:pPr>
        <w:spacing w:after="0" w:line="29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Weinberg &amp; Company, P.A.</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Weinberg &amp; Company, P.A.</w:t>
      </w:r>
    </w:p>
    <w:p>
      <w:pPr>
        <w:ind w:left="5060"/>
        <w:spacing w:after="0"/>
        <w:rPr>
          <w:sz w:val="20"/>
          <w:szCs w:val="20"/>
          <w:color w:val="auto"/>
        </w:rPr>
      </w:pPr>
      <w:r>
        <w:rPr>
          <w:rFonts w:ascii="Courier New" w:cs="Courier New" w:eastAsia="Courier New" w:hAnsi="Courier New"/>
          <w:sz w:val="18"/>
          <w:szCs w:val="18"/>
          <w:color w:val="auto"/>
        </w:rPr>
        <w:t>Certified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Boca Raton, Florida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2004</w:t>
      </w:r>
    </w:p>
    <w:p>
      <w:pPr>
        <w:sectPr>
          <w:pgSz w:w="11900" w:h="16838" w:orient="portrait"/>
          <w:cols w:equalWidth="0" w:num="1">
            <w:col w:w="10219"/>
          </w:cols>
          <w:pgMar w:left="240" w:top="110"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Manhattan Pharmaceuticals, Inc.</w:t>
      </w:r>
    </w:p>
    <w:p>
      <w:pPr>
        <w:spacing w:after="0"/>
        <w:rPr>
          <w:sz w:val="20"/>
          <w:szCs w:val="20"/>
          <w:color w:val="auto"/>
        </w:rPr>
      </w:pPr>
      <w:r>
        <w:rPr>
          <w:rFonts w:ascii="Courier New" w:cs="Courier New" w:eastAsia="Courier New" w:hAnsi="Courier New"/>
          <w:sz w:val="18"/>
          <w:szCs w:val="18"/>
          <w:color w:val="auto"/>
        </w:rPr>
        <w:t>(formerly Atlantic Technology Ventures, Inc.):</w:t>
      </w:r>
    </w:p>
    <w:p>
      <w:pPr>
        <w:spacing w:after="0" w:line="16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We consent to the use of our report dated March 22, 2002, with respect to the consolidated balance sheet of Manhattan Pharmaceuticals, Inc. (formerly Atlantic Technology Ventures, Inc. (a development stage company)) as of December 31, 2001, and the related consolidated statements of operations, stockholders' equity (deficiency), and cash flows for the years ended December 31, 2001 and 2000, and for the period from July 13, 1993 (inception) to December 31, 2001, incorporated herein by reference.</w:t>
      </w:r>
    </w:p>
    <w:p>
      <w:pPr>
        <w:spacing w:after="0" w:line="98"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Our report dated March 22, 2002 contains an explanatory paragraph that states that the Company has suffered recurring losses from operations and has limited liquid resources that raise substantial doubt about its ability to continue as a going concern. The consolidated financial statements do not include any adjustments that might result from the outcome of that uncertainty.</w:t>
      </w:r>
    </w:p>
    <w:p>
      <w:pPr>
        <w:spacing w:after="0" w:line="29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Short Hills, New Jersey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2004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1"/>
      <w:numFmt w:val="lowerLetter"/>
      <w:start w:val="1"/>
    </w:lvl>
    <w:lvl w:ilvl="1">
      <w:lvlJc w:val="left"/>
      <w:lvlText w:val="(%2)"/>
      <w:numFmt w:val="decimal"/>
      <w:start w:val="2"/>
    </w:lvl>
  </w:abstractNum>
  <w:abstractNum w:abstractNumId="10">
    <w:nsid w:val="66EF438D"/>
    <w:multiLevelType w:val="hybridMultilevel"/>
    <w:lvl w:ilvl="0">
      <w:lvlJc w:val="left"/>
      <w:lvlText w:val="(%1)"/>
      <w:numFmt w:val="lowerLetter"/>
      <w:start w:val="2"/>
    </w:lvl>
    <w:lvl w:ilvl="1">
      <w:lvlJc w:val="left"/>
      <w:lvlText w:val="%2"/>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2019-12-14T05:59:12Z</dcterms:created>
  <dcterms:modified xsi:type="dcterms:W3CDTF">2019-12-14T05:59:12Z</dcterms:modified>
</cp:coreProperties>
</file>