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14121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241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102235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UNITED STATES</w:t>
      </w:r>
    </w:p>
    <w:p>
      <w:pPr>
        <w:jc w:val="center"/>
        <w:ind w:right="20"/>
        <w:spacing w:after="0" w:line="234" w:lineRule="auto"/>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204" w:lineRule="exact"/>
        <w:rPr>
          <w:sz w:val="24"/>
          <w:szCs w:val="24"/>
          <w:color w:val="auto"/>
        </w:rPr>
      </w:pPr>
    </w:p>
    <w:p>
      <w:pPr>
        <w:jc w:val="center"/>
        <w:ind w:left="4500" w:right="2280" w:hanging="2237"/>
        <w:spacing w:after="0" w:line="247" w:lineRule="auto"/>
        <w:tabs>
          <w:tab w:leader="none" w:pos="2433" w:val="left"/>
        </w:tabs>
        <w:numPr>
          <w:ilvl w:val="1"/>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2024.</w:t>
      </w:r>
    </w:p>
    <w:p>
      <w:pPr>
        <w:ind w:left="5520"/>
        <w:spacing w:after="0"/>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OR</w:t>
      </w:r>
    </w:p>
    <w:p>
      <w:pPr>
        <w:spacing w:after="0" w:line="122" w:lineRule="exact"/>
        <w:rPr>
          <w:rFonts w:ascii="MS PGothic" w:cs="MS PGothic" w:eastAsia="MS PGothic" w:hAnsi="MS PGothic"/>
          <w:sz w:val="13"/>
          <w:szCs w:val="13"/>
          <w:color w:val="auto"/>
          <w:highlight w:val="black"/>
        </w:rPr>
      </w:pPr>
    </w:p>
    <w:p>
      <w:pPr>
        <w:jc w:val="center"/>
        <w:ind w:left="4240" w:right="2140" w:hanging="2115"/>
        <w:spacing w:after="0" w:line="288" w:lineRule="auto"/>
        <w:tabs>
          <w:tab w:leader="none" w:pos="2278"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________ to ________.</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Commission File Number 1-32639</w:t>
      </w:r>
    </w:p>
    <w:p>
      <w:pPr>
        <w:jc w:val="center"/>
        <w:ind w:right="20"/>
        <w:spacing w:after="0" w:line="234" w:lineRule="auto"/>
        <w:rPr>
          <w:sz w:val="20"/>
          <w:szCs w:val="20"/>
          <w:color w:val="auto"/>
        </w:rPr>
      </w:pPr>
      <w:r>
        <w:rPr>
          <w:rFonts w:ascii="Times New Roman" w:cs="Times New Roman" w:eastAsia="Times New Roman" w:hAnsi="Times New Roman"/>
          <w:sz w:val="13"/>
          <w:szCs w:val="13"/>
          <w:b w:val="1"/>
          <w:bCs w:val="1"/>
          <w:color w:val="auto"/>
        </w:rPr>
        <w:t>TG THERAPEUTICS, INC.</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03" w:lineRule="exact"/>
        <w:rPr>
          <w:sz w:val="24"/>
          <w:szCs w:val="24"/>
          <w:color w:val="auto"/>
        </w:rPr>
      </w:pPr>
    </w:p>
    <w:tbl>
      <w:tblPr>
        <w:tblLayout w:type="fixed"/>
        <w:tblInd w:w="1200" w:type="dxa"/>
        <w:tblCellMar>
          <w:top w:w="0" w:type="dxa"/>
          <w:left w:w="0" w:type="dxa"/>
          <w:bottom w:w="0" w:type="dxa"/>
          <w:right w:w="0" w:type="dxa"/>
        </w:tblCellMar>
      </w:tblPr>
      <w:tr>
        <w:trPr>
          <w:trHeight w:val="149"/>
        </w:trPr>
        <w:tc>
          <w:tcPr>
            <w:tcW w:w="4740" w:type="dxa"/>
            <w:vAlign w:val="bottom"/>
          </w:tcPr>
          <w:p>
            <w:pPr>
              <w:jc w:val="center"/>
              <w:ind w:right="145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480" w:type="dxa"/>
            <w:vAlign w:val="bottom"/>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36-3898269</w:t>
            </w:r>
          </w:p>
        </w:tc>
      </w:tr>
      <w:tr>
        <w:trPr>
          <w:trHeight w:val="174"/>
        </w:trPr>
        <w:tc>
          <w:tcPr>
            <w:tcW w:w="4740" w:type="dxa"/>
            <w:vAlign w:val="bottom"/>
          </w:tcPr>
          <w:p>
            <w:pPr>
              <w:jc w:val="center"/>
              <w:ind w:right="1453"/>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480" w:type="dxa"/>
            <w:vAlign w:val="bottom"/>
          </w:tcPr>
          <w:p>
            <w:pPr>
              <w:jc w:val="center"/>
              <w:ind w:left="1453"/>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340"/>
        </w:trPr>
        <w:tc>
          <w:tcPr>
            <w:tcW w:w="4740" w:type="dxa"/>
            <w:vAlign w:val="bottom"/>
          </w:tcPr>
          <w:p>
            <w:pPr>
              <w:jc w:val="center"/>
              <w:ind w:right="1433"/>
              <w:spacing w:after="0"/>
              <w:rPr>
                <w:sz w:val="20"/>
                <w:szCs w:val="20"/>
                <w:color w:val="auto"/>
              </w:rPr>
            </w:pPr>
            <w:r>
              <w:rPr>
                <w:rFonts w:ascii="Times New Roman" w:cs="Times New Roman" w:eastAsia="Times New Roman" w:hAnsi="Times New Roman"/>
                <w:sz w:val="13"/>
                <w:szCs w:val="13"/>
                <w:b w:val="1"/>
                <w:bCs w:val="1"/>
                <w:color w:val="auto"/>
              </w:rPr>
              <w:t>3020 Carrington Mill Blvd, Suite 475</w:t>
            </w:r>
          </w:p>
        </w:tc>
        <w:tc>
          <w:tcPr>
            <w:tcW w:w="3480" w:type="dxa"/>
            <w:vAlign w:val="bottom"/>
          </w:tcPr>
          <w:p>
            <w:pPr>
              <w:spacing w:after="0"/>
              <w:rPr>
                <w:sz w:val="24"/>
                <w:szCs w:val="24"/>
                <w:color w:val="auto"/>
              </w:rPr>
            </w:pPr>
          </w:p>
        </w:tc>
      </w:tr>
      <w:tr>
        <w:trPr>
          <w:trHeight w:val="167"/>
        </w:trPr>
        <w:tc>
          <w:tcPr>
            <w:tcW w:w="4740" w:type="dxa"/>
            <w:vAlign w:val="bottom"/>
          </w:tcPr>
          <w:p>
            <w:pPr>
              <w:jc w:val="center"/>
              <w:ind w:right="1453"/>
              <w:spacing w:after="0"/>
              <w:rPr>
                <w:sz w:val="20"/>
                <w:szCs w:val="20"/>
                <w:color w:val="auto"/>
              </w:rPr>
            </w:pPr>
            <w:r>
              <w:rPr>
                <w:rFonts w:ascii="Times New Roman" w:cs="Times New Roman" w:eastAsia="Times New Roman" w:hAnsi="Times New Roman"/>
                <w:sz w:val="13"/>
                <w:szCs w:val="13"/>
                <w:b w:val="1"/>
                <w:bCs w:val="1"/>
                <w:color w:val="auto"/>
              </w:rPr>
              <w:t>Morrisville, North Carolina</w:t>
            </w:r>
          </w:p>
        </w:tc>
        <w:tc>
          <w:tcPr>
            <w:tcW w:w="348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27560</w:t>
            </w:r>
          </w:p>
        </w:tc>
      </w:tr>
      <w:tr>
        <w:trPr>
          <w:trHeight w:val="161"/>
        </w:trPr>
        <w:tc>
          <w:tcPr>
            <w:tcW w:w="4740" w:type="dxa"/>
            <w:vAlign w:val="bottom"/>
          </w:tcPr>
          <w:p>
            <w:pPr>
              <w:jc w:val="center"/>
              <w:ind w:right="1453"/>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480" w:type="dxa"/>
            <w:vAlign w:val="bottom"/>
          </w:tcPr>
          <w:p>
            <w:pPr>
              <w:jc w:val="center"/>
              <w:ind w:left="1453"/>
              <w:spacing w:after="0"/>
              <w:rPr>
                <w:sz w:val="20"/>
                <w:szCs w:val="20"/>
                <w:color w:val="auto"/>
              </w:rPr>
            </w:pPr>
            <w:r>
              <w:rPr>
                <w:rFonts w:ascii="Times New Roman" w:cs="Times New Roman" w:eastAsia="Times New Roman" w:hAnsi="Times New Roman"/>
                <w:sz w:val="13"/>
                <w:szCs w:val="13"/>
                <w:color w:val="auto"/>
              </w:rPr>
              <w:t>(Zip Code)</w:t>
            </w:r>
          </w:p>
        </w:tc>
      </w:tr>
    </w:tbl>
    <w:p>
      <w:pPr>
        <w:ind w:left="40"/>
        <w:spacing w:after="0" w:line="238" w:lineRule="auto"/>
        <w:rPr>
          <w:sz w:val="20"/>
          <w:szCs w:val="20"/>
          <w:color w:val="auto"/>
        </w:rPr>
      </w:pPr>
      <w:r>
        <w:rPr>
          <w:rFonts w:ascii="Times New Roman" w:cs="Times New Roman" w:eastAsia="Times New Roman" w:hAnsi="Times New Roman"/>
          <w:sz w:val="17"/>
          <w:szCs w:val="17"/>
          <w:color w:val="auto"/>
        </w:rPr>
        <w:t>​</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 telephone number, including area code: (212) 554-4484</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267"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3400" w:type="dxa"/>
            <w:vAlign w:val="bottom"/>
            <w:tcBorders>
              <w:top w:val="single" w:sz="8" w:color="auto"/>
              <w:left w:val="single" w:sz="8" w:color="auto"/>
              <w:bottom w:val="single" w:sz="8" w:color="auto"/>
            </w:tcBorders>
          </w:tcPr>
          <w:p>
            <w:pPr>
              <w:jc w:val="center"/>
              <w:ind w:left="753"/>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680" w:type="dxa"/>
            <w:vAlign w:val="bottom"/>
            <w:tcBorders>
              <w:top w:val="single" w:sz="8" w:color="auto"/>
              <w:bottom w:val="single" w:sz="8" w:color="auto"/>
              <w:right w:val="single" w:sz="8" w:color="auto"/>
            </w:tcBorders>
          </w:tcPr>
          <w:p>
            <w:pPr>
              <w:spacing w:after="0"/>
              <w:rPr>
                <w:sz w:val="14"/>
                <w:szCs w:val="14"/>
                <w:color w:val="auto"/>
              </w:rPr>
            </w:pPr>
          </w:p>
        </w:tc>
        <w:tc>
          <w:tcPr>
            <w:tcW w:w="3040" w:type="dxa"/>
            <w:vAlign w:val="bottom"/>
            <w:tcBorders>
              <w:top w:val="single" w:sz="8" w:color="auto"/>
              <w:bottom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00" w:type="dxa"/>
            <w:vAlign w:val="bottom"/>
            <w:tcBorders>
              <w:top w:val="single" w:sz="8" w:color="auto"/>
              <w:bottom w:val="single" w:sz="8" w:color="auto"/>
              <w:right w:val="single" w:sz="8" w:color="auto"/>
            </w:tcBorders>
          </w:tcPr>
          <w:p>
            <w:pPr>
              <w:spacing w:after="0"/>
              <w:rPr>
                <w:sz w:val="14"/>
                <w:szCs w:val="14"/>
                <w:color w:val="auto"/>
              </w:rPr>
            </w:pPr>
          </w:p>
        </w:tc>
        <w:tc>
          <w:tcPr>
            <w:tcW w:w="4040" w:type="dxa"/>
            <w:vAlign w:val="bottom"/>
            <w:tcBorders>
              <w:top w:val="single" w:sz="8" w:color="auto"/>
              <w:bottom w:val="single" w:sz="8" w:color="auto"/>
              <w:right w:val="single" w:sz="8" w:color="auto"/>
            </w:tcBorders>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Exchange Name</w:t>
            </w:r>
          </w:p>
        </w:tc>
      </w:tr>
      <w:tr>
        <w:trPr>
          <w:trHeight w:val="115"/>
        </w:trPr>
        <w:tc>
          <w:tcPr>
            <w:tcW w:w="3400" w:type="dxa"/>
            <w:vAlign w:val="bottom"/>
            <w:tcBorders>
              <w:left w:val="single" w:sz="8" w:color="auto"/>
              <w:bottom w:val="single" w:sz="8" w:color="auto"/>
            </w:tcBorders>
          </w:tcPr>
          <w:p>
            <w:pPr>
              <w:jc w:val="center"/>
              <w:ind w:left="753"/>
              <w:spacing w:after="0" w:line="115" w:lineRule="exact"/>
              <w:rPr>
                <w:sz w:val="20"/>
                <w:szCs w:val="20"/>
                <w:color w:val="auto"/>
              </w:rPr>
            </w:pPr>
            <w:r>
              <w:rPr>
                <w:rFonts w:ascii="Times New Roman" w:cs="Times New Roman" w:eastAsia="Times New Roman" w:hAnsi="Times New Roman"/>
                <w:sz w:val="13"/>
                <w:szCs w:val="13"/>
                <w:color w:val="auto"/>
              </w:rPr>
              <w:t>Common Stock, par value $0.001</w:t>
            </w:r>
          </w:p>
        </w:tc>
        <w:tc>
          <w:tcPr>
            <w:tcW w:w="680" w:type="dxa"/>
            <w:vAlign w:val="bottom"/>
            <w:tcBorders>
              <w:bottom w:val="single" w:sz="8" w:color="auto"/>
              <w:right w:val="single" w:sz="8" w:color="auto"/>
            </w:tcBorders>
          </w:tcPr>
          <w:p>
            <w:pPr>
              <w:spacing w:after="0"/>
              <w:rPr>
                <w:sz w:val="10"/>
                <w:szCs w:val="10"/>
                <w:color w:val="auto"/>
              </w:rPr>
            </w:pPr>
          </w:p>
        </w:tc>
        <w:tc>
          <w:tcPr>
            <w:tcW w:w="3040" w:type="dxa"/>
            <w:vAlign w:val="bottom"/>
            <w:tcBorders>
              <w:bottom w:val="single" w:sz="8" w:color="auto"/>
            </w:tcBorders>
          </w:tcPr>
          <w:p>
            <w:pPr>
              <w:jc w:val="center"/>
              <w:ind w:left="173"/>
              <w:spacing w:after="0" w:line="115" w:lineRule="exact"/>
              <w:rPr>
                <w:sz w:val="20"/>
                <w:szCs w:val="20"/>
                <w:color w:val="auto"/>
              </w:rPr>
            </w:pPr>
            <w:r>
              <w:rPr>
                <w:rFonts w:ascii="Times New Roman" w:cs="Times New Roman" w:eastAsia="Times New Roman" w:hAnsi="Times New Roman"/>
                <w:sz w:val="13"/>
                <w:szCs w:val="13"/>
                <w:color w:val="auto"/>
              </w:rPr>
              <w:t>TGTX</w:t>
            </w:r>
          </w:p>
        </w:tc>
        <w:tc>
          <w:tcPr>
            <w:tcW w:w="100" w:type="dxa"/>
            <w:vAlign w:val="bottom"/>
            <w:tcBorders>
              <w:bottom w:val="single" w:sz="8" w:color="auto"/>
              <w:right w:val="single" w:sz="8" w:color="auto"/>
            </w:tcBorders>
          </w:tcPr>
          <w:p>
            <w:pPr>
              <w:spacing w:after="0"/>
              <w:rPr>
                <w:sz w:val="10"/>
                <w:szCs w:val="10"/>
                <w:color w:val="auto"/>
              </w:rPr>
            </w:pPr>
          </w:p>
        </w:tc>
        <w:tc>
          <w:tcPr>
            <w:tcW w:w="4040" w:type="dxa"/>
            <w:vAlign w:val="bottom"/>
            <w:tcBorders>
              <w:bottom w:val="single" w:sz="8" w:color="auto"/>
              <w:right w:val="single" w:sz="8" w:color="auto"/>
            </w:tcBorders>
          </w:tcPr>
          <w:p>
            <w:pPr>
              <w:jc w:val="center"/>
              <w:ind w:left="53"/>
              <w:spacing w:after="0" w:line="115" w:lineRule="exact"/>
              <w:rPr>
                <w:sz w:val="20"/>
                <w:szCs w:val="20"/>
                <w:color w:val="auto"/>
              </w:rPr>
            </w:pPr>
            <w:r>
              <w:rPr>
                <w:rFonts w:ascii="Times New Roman" w:cs="Times New Roman" w:eastAsia="Times New Roman" w:hAnsi="Times New Roman"/>
                <w:sz w:val="13"/>
                <w:szCs w:val="13"/>
                <w:color w:val="auto"/>
              </w:rPr>
              <w:t>Nasdaq Capital Market</w:t>
            </w:r>
          </w:p>
        </w:tc>
      </w:tr>
      <w:tr>
        <w:trPr>
          <w:trHeight w:val="348"/>
        </w:trPr>
        <w:tc>
          <w:tcPr>
            <w:tcW w:w="3400" w:type="dxa"/>
            <w:vAlign w:val="bottom"/>
          </w:tcPr>
          <w:p>
            <w:pPr>
              <w:spacing w:after="0"/>
              <w:rPr>
                <w:sz w:val="24"/>
                <w:szCs w:val="24"/>
                <w:color w:val="auto"/>
              </w:rPr>
            </w:pPr>
          </w:p>
        </w:tc>
        <w:tc>
          <w:tcPr>
            <w:tcW w:w="372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None</w:t>
            </w:r>
          </w:p>
        </w:tc>
      </w:tr>
    </w:tbl>
    <w:p>
      <w:pPr>
        <w:spacing w:after="0" w:line="148" w:lineRule="exact"/>
        <w:rPr>
          <w:sz w:val="24"/>
          <w:szCs w:val="24"/>
          <w:color w:val="auto"/>
        </w:rPr>
      </w:pPr>
    </w:p>
    <w:p>
      <w:pPr>
        <w:ind w:right="4100"/>
        <w:spacing w:after="0" w:line="26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5" w:lineRule="exact"/>
        <w:rPr>
          <w:sz w:val="24"/>
          <w:szCs w:val="24"/>
          <w:color w:val="auto"/>
        </w:rPr>
      </w:pPr>
    </w:p>
    <w:p>
      <w:pPr>
        <w:ind w:right="24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5" w:lineRule="exact"/>
        <w:rPr>
          <w:sz w:val="24"/>
          <w:szCs w:val="24"/>
          <w:color w:val="auto"/>
        </w:rPr>
      </w:pPr>
    </w:p>
    <w:p>
      <w:pPr>
        <w:ind w:right="2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5"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451" w:right="319" w:bottom="1440" w:gutter="0" w:footer="0" w:header="0"/>
        </w:sectPr>
      </w:pPr>
    </w:p>
    <w:p>
      <w:pPr>
        <w:spacing w:after="0" w:line="16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ind w:left="56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9" w:lineRule="exact"/>
        <w:rPr>
          <w:sz w:val="24"/>
          <w:szCs w:val="24"/>
          <w:color w:val="auto"/>
        </w:rPr>
      </w:pPr>
    </w:p>
    <w:p>
      <w:pPr>
        <w:sectPr>
          <w:pgSz w:w="11900" w:h="16838" w:orient="portrait"/>
          <w:cols w:equalWidth="0" w:num="2">
            <w:col w:w="8900" w:space="720"/>
            <w:col w:w="1640"/>
          </w:cols>
          <w:pgMar w:left="320" w:top="451"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w:t>
      </w: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5" w:lineRule="exact"/>
        <w:rPr>
          <w:sz w:val="24"/>
          <w:szCs w:val="24"/>
          <w:color w:val="auto"/>
        </w:rPr>
      </w:pPr>
    </w:p>
    <w:p>
      <w:pPr>
        <w:ind w:right="8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95" w:lineRule="exact"/>
        <w:rPr>
          <w:sz w:val="24"/>
          <w:szCs w:val="24"/>
          <w:color w:val="auto"/>
        </w:rPr>
      </w:pPr>
    </w:p>
    <w:p>
      <w:pPr>
        <w:ind w:right="20"/>
        <w:spacing w:after="0" w:line="17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95" w:lineRule="exact"/>
        <w:rPr>
          <w:sz w:val="24"/>
          <w:szCs w:val="24"/>
          <w:color w:val="auto"/>
        </w:rPr>
      </w:pPr>
    </w:p>
    <w:p>
      <w:pPr>
        <w:ind w:right="2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r>
        <w:rPr>
          <w:rFonts w:ascii="MS PGothic" w:cs="MS PGothic" w:eastAsia="MS PGothic" w:hAnsi="MS PGothic"/>
          <w:sz w:val="13"/>
          <w:szCs w:val="13"/>
          <w:color w:val="auto"/>
        </w:rPr>
        <w:t>☐</w:t>
      </w:r>
    </w:p>
    <w:p>
      <w:pPr>
        <w:spacing w:after="0" w:line="7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1" w:lineRule="exact"/>
        <w:rPr>
          <w:sz w:val="24"/>
          <w:szCs w:val="24"/>
          <w:color w:val="auto"/>
        </w:rPr>
      </w:pPr>
    </w:p>
    <w:p>
      <w:pPr>
        <w:ind w:right="620"/>
        <w:spacing w:after="0" w:line="261"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(assuming, for purposes of this calculation, without conceding, that all executive officers and directors are “affiliates”) was approximately $2.5 billion as of June 30, 2024, based on the closing sale price of such stock as reported on the NASDAQ Capital Market.</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There were 157,070,575 shares of the registrant’s common stock, $0.001 par value, outstanding as of February 25, 2025.</w:t>
      </w:r>
    </w:p>
    <w:p>
      <w:pPr>
        <w:spacing w:after="0" w:line="21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3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3"/>
          <w:szCs w:val="13"/>
          <w:color w:val="auto"/>
        </w:rPr>
        <w:t>Portions of the registrant’s Proxy Statement for the 2024 Annual Meeting of Stockholders are incorporated by reference in Part III of this Annual Report on Form 10-K.</w:t>
      </w:r>
    </w:p>
    <w:p>
      <w:pPr>
        <w:ind w:left="40"/>
        <w:spacing w:after="0" w:line="227" w:lineRule="auto"/>
        <w:rPr>
          <w:sz w:val="20"/>
          <w:szCs w:val="20"/>
          <w:color w:val="auto"/>
        </w:rPr>
      </w:pPr>
      <w:r>
        <w:rPr>
          <w:rFonts w:ascii="Times New Roman" w:cs="Times New Roman" w:eastAsia="Times New Roman" w:hAnsi="Times New Roman"/>
          <w:sz w:val="13"/>
          <w:szCs w:val="13"/>
          <w:color w:val="auto"/>
        </w:rPr>
        <w:t>​</w:t>
      </w:r>
    </w:p>
    <w:p>
      <w:pPr>
        <w:ind w:left="600"/>
        <w:spacing w:after="0" w:line="223" w:lineRule="auto"/>
        <w:tabs>
          <w:tab w:leader="none" w:pos="4120" w:val="left"/>
        </w:tabs>
        <w:rPr>
          <w:sz w:val="20"/>
          <w:szCs w:val="20"/>
          <w:color w:val="auto"/>
        </w:rPr>
      </w:pPr>
      <w:r>
        <w:rPr>
          <w:rFonts w:ascii="Times New Roman" w:cs="Times New Roman" w:eastAsia="Times New Roman" w:hAnsi="Times New Roman"/>
          <w:sz w:val="13"/>
          <w:szCs w:val="13"/>
          <w:color w:val="auto"/>
        </w:rPr>
        <w:t>Auditor Name: KPMG LLP  Auditor Location: New York, NY</w:t>
        <w:tab/>
        <w:t>Auditor Firm ID: 185</w:t>
      </w:r>
    </w:p>
    <w:p>
      <w:pPr>
        <w:ind w:left="4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69215</wp:posOffset>
            </wp:positionV>
            <wp:extent cx="714121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241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333375</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20" w:top="451"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36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5"/>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60" w:type="dxa"/>
            <w:vAlign w:val="bottom"/>
            <w:gridSpan w:val="8"/>
          </w:tcPr>
          <w:p>
            <w:pPr>
              <w:jc w:val="center"/>
              <w:ind w:right="3620"/>
              <w:spacing w:after="0"/>
              <w:rPr>
                <w:sz w:val="20"/>
                <w:szCs w:val="20"/>
                <w:color w:val="auto"/>
              </w:rPr>
            </w:pPr>
            <w:r>
              <w:rPr>
                <w:rFonts w:ascii="Times New Roman" w:cs="Times New Roman" w:eastAsia="Times New Roman" w:hAnsi="Times New Roman"/>
                <w:sz w:val="17"/>
                <w:szCs w:val="17"/>
                <w:b w:val="1"/>
                <w:bCs w:val="1"/>
                <w:color w:val="auto"/>
                <w:w w:val="98"/>
              </w:rPr>
              <w:t>TG THERAPEUTICS, INC.</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9"/>
          </w:tcPr>
          <w:p>
            <w:pPr>
              <w:jc w:val="center"/>
              <w:ind w:right="2880"/>
              <w:spacing w:after="0"/>
              <w:rPr>
                <w:sz w:val="20"/>
                <w:szCs w:val="20"/>
                <w:color w:val="auto"/>
              </w:rPr>
            </w:pPr>
            <w:r>
              <w:rPr>
                <w:rFonts w:ascii="Times New Roman" w:cs="Times New Roman" w:eastAsia="Times New Roman" w:hAnsi="Times New Roman"/>
                <w:sz w:val="17"/>
                <w:szCs w:val="17"/>
                <w:b w:val="1"/>
                <w:bCs w:val="1"/>
                <w:color w:val="auto"/>
                <w:w w:val="98"/>
              </w:rPr>
              <w:t>ANNUAL REPORT ON FORM 10-K</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0" w:type="dxa"/>
            <w:vAlign w:val="bottom"/>
            <w:gridSpan w:val="11"/>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w w:val="98"/>
              </w:rPr>
              <w:t>FOR THE FISCAL YEAR ENDED DECEMBER 31, 2024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80" w:type="dxa"/>
            <w:vAlign w:val="bottom"/>
            <w:gridSpan w:val="7"/>
          </w:tcPr>
          <w:p>
            <w:pPr>
              <w:jc w:val="center"/>
              <w:ind w:right="380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8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7"/>
        </w:trPr>
        <w:tc>
          <w:tcPr>
            <w:tcW w:w="6300" w:type="dxa"/>
            <w:vAlign w:val="bottom"/>
            <w:gridSpan w:val="20"/>
            <w:vMerge w:val="restart"/>
          </w:tcPr>
          <w:p>
            <w:pPr>
              <w:spacing w:after="0"/>
              <w:rPr>
                <w:sz w:val="20"/>
                <w:szCs w:val="20"/>
                <w:color w:val="auto"/>
              </w:rPr>
            </w:pPr>
            <w:r>
              <w:rPr>
                <w:rFonts w:ascii="Times New Roman" w:cs="Times New Roman" w:eastAsia="Times New Roman" w:hAnsi="Times New Roman"/>
                <w:sz w:val="17"/>
                <w:szCs w:val="17"/>
                <w:color w:val="0000EE"/>
                <w:w w:val="97"/>
              </w:rPr>
              <w:t>SPECIAL CAUTIONARY NOTICE REGARDING FORWARD-LOOKING STATEMENTS</w:t>
            </w:r>
          </w:p>
        </w:tc>
        <w:tc>
          <w:tcPr>
            <w:tcW w:w="4060" w:type="dxa"/>
            <w:vAlign w:val="bottom"/>
            <w:gridSpan w:val="5"/>
            <w:vMerge w:val="restart"/>
          </w:tcPr>
          <w:p>
            <w:pPr>
              <w:spacing w:after="0"/>
              <w:rPr>
                <w:sz w:val="17"/>
                <w:szCs w:val="17"/>
                <w:color w:val="auto"/>
              </w:rPr>
            </w:pPr>
          </w:p>
        </w:tc>
        <w:tc>
          <w:tcPr>
            <w:tcW w:w="88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300" w:type="dxa"/>
            <w:vAlign w:val="bottom"/>
            <w:gridSpan w:val="20"/>
            <w:vMerge w:val="continue"/>
          </w:tcPr>
          <w:p>
            <w:pPr>
              <w:spacing w:after="0"/>
              <w:rPr>
                <w:sz w:val="13"/>
                <w:szCs w:val="13"/>
                <w:color w:val="auto"/>
              </w:rPr>
            </w:pPr>
          </w:p>
        </w:tc>
        <w:tc>
          <w:tcPr>
            <w:tcW w:w="4060" w:type="dxa"/>
            <w:vAlign w:val="bottom"/>
            <w:gridSpan w:val="5"/>
            <w:vMerge w:val="continue"/>
          </w:tcPr>
          <w:p>
            <w:pPr>
              <w:spacing w:after="0"/>
              <w:rPr>
                <w:sz w:val="13"/>
                <w:szCs w:val="13"/>
                <w:color w:val="auto"/>
              </w:rPr>
            </w:pPr>
          </w:p>
        </w:tc>
        <w:tc>
          <w:tcPr>
            <w:tcW w:w="480" w:type="dxa"/>
            <w:vAlign w:val="bottom"/>
            <w:gridSpan w:val="2"/>
          </w:tcPr>
          <w:p>
            <w:pPr>
              <w:jc w:val="center"/>
              <w:ind w:left="316"/>
              <w:spacing w:after="0" w:line="157" w:lineRule="exact"/>
              <w:rPr>
                <w:sz w:val="20"/>
                <w:szCs w:val="20"/>
                <w:color w:val="auto"/>
              </w:rPr>
            </w:pPr>
            <w:r>
              <w:rPr>
                <w:rFonts w:ascii="Times New Roman" w:cs="Times New Roman" w:eastAsia="Times New Roman" w:hAnsi="Times New Roman"/>
                <w:sz w:val="17"/>
                <w:szCs w:val="17"/>
                <w:color w:val="0000EE"/>
                <w:w w:val="93"/>
              </w:rPr>
              <w:t>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gridSpan w:val="20"/>
          </w:tcPr>
          <w:p>
            <w:pPr>
              <w:spacing w:after="0" w:line="182" w:lineRule="exact"/>
              <w:rPr>
                <w:sz w:val="20"/>
                <w:szCs w:val="20"/>
                <w:color w:val="auto"/>
              </w:rPr>
            </w:pPr>
            <w:r>
              <w:rPr>
                <w:rFonts w:ascii="Times New Roman" w:cs="Times New Roman" w:eastAsia="Times New Roman" w:hAnsi="Times New Roman"/>
                <w:sz w:val="17"/>
                <w:szCs w:val="17"/>
                <w:color w:val="0000EE"/>
              </w:rPr>
              <w:t>SUMMARY RISK FACTORS</w:t>
            </w:r>
          </w:p>
        </w:tc>
        <w:tc>
          <w:tcPr>
            <w:tcW w:w="4060" w:type="dxa"/>
            <w:vAlign w:val="bottom"/>
            <w:gridSpan w:val="5"/>
          </w:tcPr>
          <w:p>
            <w:pPr>
              <w:spacing w:after="0"/>
              <w:rPr>
                <w:sz w:val="15"/>
                <w:szCs w:val="15"/>
                <w:color w:val="auto"/>
              </w:rPr>
            </w:pPr>
          </w:p>
        </w:tc>
        <w:tc>
          <w:tcPr>
            <w:tcW w:w="480" w:type="dxa"/>
            <w:vAlign w:val="bottom"/>
            <w:gridSpan w:val="2"/>
          </w:tcPr>
          <w:p>
            <w:pPr>
              <w:jc w:val="center"/>
              <w:ind w:left="316"/>
              <w:spacing w:after="0" w:line="182" w:lineRule="exact"/>
              <w:rPr>
                <w:sz w:val="20"/>
                <w:szCs w:val="20"/>
                <w:color w:val="auto"/>
              </w:rPr>
            </w:pPr>
            <w:r>
              <w:rPr>
                <w:rFonts w:ascii="Times New Roman" w:cs="Times New Roman" w:eastAsia="Times New Roman" w:hAnsi="Times New Roman"/>
                <w:sz w:val="17"/>
                <w:szCs w:val="17"/>
                <w:color w:val="0000EE"/>
                <w:w w:val="93"/>
              </w:rPr>
              <w:t>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40" w:type="dxa"/>
            <w:vAlign w:val="bottom"/>
          </w:tcPr>
          <w:p>
            <w:pPr>
              <w:spacing w:after="0"/>
              <w:rPr>
                <w:sz w:val="20"/>
                <w:szCs w:val="20"/>
                <w:color w:val="auto"/>
              </w:rPr>
            </w:pPr>
            <w:r>
              <w:rPr>
                <w:rFonts w:ascii="Times New Roman" w:cs="Times New Roman" w:eastAsia="Times New Roman" w:hAnsi="Times New Roman"/>
                <w:sz w:val="17"/>
                <w:szCs w:val="17"/>
                <w:b w:val="1"/>
                <w:bCs w:val="1"/>
                <w:color w:val="0000EE"/>
                <w:w w:val="87"/>
              </w:rPr>
              <w:t>PART I</w:t>
            </w:r>
          </w:p>
        </w:tc>
        <w:tc>
          <w:tcPr>
            <w:tcW w:w="14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gridSpan w:val="2"/>
          </w:tcPr>
          <w:p>
            <w:pPr>
              <w:jc w:val="center"/>
              <w:ind w:left="316"/>
              <w:spacing w:after="0"/>
              <w:rPr>
                <w:sz w:val="20"/>
                <w:szCs w:val="20"/>
                <w:color w:val="auto"/>
              </w:rPr>
            </w:pPr>
            <w:r>
              <w:rPr>
                <w:rFonts w:ascii="Times New Roman" w:cs="Times New Roman" w:eastAsia="Times New Roman" w:hAnsi="Times New Roman"/>
                <w:sz w:val="17"/>
                <w:szCs w:val="17"/>
                <w:color w:val="0000EE"/>
                <w:w w:val="93"/>
              </w:rPr>
              <w:t>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0000EE"/>
                <w:w w:val="91"/>
              </w:rPr>
              <w:t>ITEM 1</w:t>
            </w:r>
          </w:p>
        </w:tc>
        <w:tc>
          <w:tcPr>
            <w:tcW w:w="14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5"/>
              </w:rPr>
              <w:t>Business</w:t>
            </w:r>
          </w:p>
        </w:tc>
        <w:tc>
          <w:tcPr>
            <w:tcW w:w="9080" w:type="dxa"/>
            <w:vAlign w:val="bottom"/>
            <w:gridSpan w:val="20"/>
          </w:tcPr>
          <w:p>
            <w:pPr>
              <w:spacing w:after="0"/>
              <w:rPr>
                <w:sz w:val="24"/>
                <w:szCs w:val="24"/>
                <w:color w:val="auto"/>
              </w:rPr>
            </w:pPr>
          </w:p>
        </w:tc>
        <w:tc>
          <w:tcPr>
            <w:tcW w:w="480" w:type="dxa"/>
            <w:vAlign w:val="bottom"/>
            <w:gridSpan w:val="2"/>
          </w:tcPr>
          <w:p>
            <w:pPr>
              <w:jc w:val="center"/>
              <w:ind w:left="316"/>
              <w:spacing w:after="0"/>
              <w:rPr>
                <w:sz w:val="20"/>
                <w:szCs w:val="20"/>
                <w:color w:val="auto"/>
              </w:rPr>
            </w:pPr>
            <w:r>
              <w:rPr>
                <w:rFonts w:ascii="Times New Roman" w:cs="Times New Roman" w:eastAsia="Times New Roman" w:hAnsi="Times New Roman"/>
                <w:sz w:val="17"/>
                <w:szCs w:val="17"/>
                <w:color w:val="0000EE"/>
                <w:w w:val="93"/>
              </w:rPr>
              <w:t>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360" w:type="dxa"/>
            <w:vAlign w:val="bottom"/>
            <w:gridSpan w:val="25"/>
          </w:tcPr>
          <w:p>
            <w:pPr>
              <w:spacing w:after="0" w:line="182" w:lineRule="exact"/>
              <w:rPr>
                <w:sz w:val="20"/>
                <w:szCs w:val="20"/>
                <w:color w:val="auto"/>
              </w:rPr>
            </w:pPr>
            <w:r>
              <w:rPr>
                <w:rFonts w:ascii="Times New Roman" w:cs="Times New Roman" w:eastAsia="Times New Roman" w:hAnsi="Times New Roman"/>
                <w:sz w:val="17"/>
                <w:szCs w:val="17"/>
                <w:color w:val="0000EE"/>
              </w:rPr>
              <w:t>ITEM 1A Risk Factors</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24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360" w:type="dxa"/>
            <w:vAlign w:val="bottom"/>
            <w:gridSpan w:val="25"/>
          </w:tcPr>
          <w:p>
            <w:pPr>
              <w:spacing w:after="0" w:line="182" w:lineRule="exact"/>
              <w:rPr>
                <w:sz w:val="20"/>
                <w:szCs w:val="20"/>
                <w:color w:val="auto"/>
              </w:rPr>
            </w:pPr>
            <w:r>
              <w:rPr>
                <w:rFonts w:ascii="Times New Roman" w:cs="Times New Roman" w:eastAsia="Times New Roman" w:hAnsi="Times New Roman"/>
                <w:sz w:val="17"/>
                <w:szCs w:val="17"/>
                <w:color w:val="0000EE"/>
              </w:rPr>
              <w:t>ITEM 1B Unresolved Staff Comments</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74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360" w:type="dxa"/>
            <w:vAlign w:val="bottom"/>
            <w:gridSpan w:val="25"/>
          </w:tcPr>
          <w:p>
            <w:pPr>
              <w:spacing w:after="0" w:line="182" w:lineRule="exact"/>
              <w:rPr>
                <w:sz w:val="20"/>
                <w:szCs w:val="20"/>
                <w:color w:val="auto"/>
              </w:rPr>
            </w:pPr>
            <w:r>
              <w:rPr>
                <w:rFonts w:ascii="Times New Roman" w:cs="Times New Roman" w:eastAsia="Times New Roman" w:hAnsi="Times New Roman"/>
                <w:sz w:val="17"/>
                <w:szCs w:val="17"/>
                <w:color w:val="0000EE"/>
              </w:rPr>
              <w:t>ITEM 1C Cybersecurity</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74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91"/>
              </w:rPr>
              <w:t>ITEM 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5"/>
          </w:tcPr>
          <w:p>
            <w:pPr>
              <w:spacing w:after="0" w:line="182" w:lineRule="exact"/>
              <w:rPr>
                <w:sz w:val="20"/>
                <w:szCs w:val="20"/>
                <w:color w:val="auto"/>
              </w:rPr>
            </w:pPr>
            <w:r>
              <w:rPr>
                <w:rFonts w:ascii="Times New Roman" w:cs="Times New Roman" w:eastAsia="Times New Roman" w:hAnsi="Times New Roman"/>
                <w:sz w:val="17"/>
                <w:szCs w:val="17"/>
                <w:color w:val="0000EE"/>
              </w:rPr>
              <w:t>Properties</w:t>
            </w:r>
          </w:p>
        </w:tc>
        <w:tc>
          <w:tcPr>
            <w:tcW w:w="8740" w:type="dxa"/>
            <w:vAlign w:val="bottom"/>
            <w:gridSpan w:val="17"/>
          </w:tcPr>
          <w:p>
            <w:pPr>
              <w:spacing w:after="0"/>
              <w:rPr>
                <w:sz w:val="15"/>
                <w:szCs w:val="15"/>
                <w:color w:val="auto"/>
              </w:rPr>
            </w:pP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75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91"/>
              </w:rPr>
              <w:t>ITEM 3</w:t>
            </w:r>
          </w:p>
        </w:tc>
        <w:tc>
          <w:tcPr>
            <w:tcW w:w="140" w:type="dxa"/>
            <w:vAlign w:val="bottom"/>
            <w:gridSpan w:val="2"/>
          </w:tcPr>
          <w:p>
            <w:pPr>
              <w:spacing w:after="0"/>
              <w:rPr>
                <w:sz w:val="15"/>
                <w:szCs w:val="15"/>
                <w:color w:val="auto"/>
              </w:rPr>
            </w:pPr>
          </w:p>
        </w:tc>
        <w:tc>
          <w:tcPr>
            <w:tcW w:w="9680" w:type="dxa"/>
            <w:vAlign w:val="bottom"/>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Legal Proceedings</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75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91"/>
              </w:rPr>
              <w:t>ITEM 4</w:t>
            </w:r>
          </w:p>
        </w:tc>
        <w:tc>
          <w:tcPr>
            <w:tcW w:w="140" w:type="dxa"/>
            <w:vAlign w:val="bottom"/>
            <w:gridSpan w:val="2"/>
          </w:tcPr>
          <w:p>
            <w:pPr>
              <w:spacing w:after="0"/>
              <w:rPr>
                <w:sz w:val="15"/>
                <w:szCs w:val="15"/>
                <w:color w:val="auto"/>
              </w:rPr>
            </w:pPr>
          </w:p>
        </w:tc>
        <w:tc>
          <w:tcPr>
            <w:tcW w:w="1600" w:type="dxa"/>
            <w:vAlign w:val="bottom"/>
            <w:gridSpan w:val="8"/>
          </w:tcPr>
          <w:p>
            <w:pPr>
              <w:spacing w:after="0" w:line="182" w:lineRule="exact"/>
              <w:rPr>
                <w:sz w:val="20"/>
                <w:szCs w:val="20"/>
                <w:color w:val="auto"/>
              </w:rPr>
            </w:pPr>
            <w:r>
              <w:rPr>
                <w:rFonts w:ascii="Times New Roman" w:cs="Times New Roman" w:eastAsia="Times New Roman" w:hAnsi="Times New Roman"/>
                <w:sz w:val="17"/>
                <w:szCs w:val="17"/>
                <w:color w:val="0000EE"/>
                <w:w w:val="93"/>
              </w:rPr>
              <w:t>Mine Safety Disclosures</w:t>
            </w:r>
          </w:p>
        </w:tc>
        <w:tc>
          <w:tcPr>
            <w:tcW w:w="8080" w:type="dxa"/>
            <w:vAlign w:val="bottom"/>
            <w:gridSpan w:val="14"/>
          </w:tcPr>
          <w:p>
            <w:pPr>
              <w:spacing w:after="0"/>
              <w:rPr>
                <w:sz w:val="15"/>
                <w:szCs w:val="15"/>
                <w:color w:val="auto"/>
              </w:rPr>
            </w:pP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75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w w:val="90"/>
              </w:rPr>
              <w:t>PART II</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gridSpan w:val="2"/>
          </w:tcPr>
          <w:p>
            <w:pPr>
              <w:jc w:val="center"/>
              <w:ind w:left="236"/>
              <w:spacing w:after="0"/>
              <w:rPr>
                <w:sz w:val="20"/>
                <w:szCs w:val="20"/>
                <w:color w:val="auto"/>
              </w:rPr>
            </w:pPr>
            <w:r>
              <w:rPr>
                <w:rFonts w:ascii="Times New Roman" w:cs="Times New Roman" w:eastAsia="Times New Roman" w:hAnsi="Times New Roman"/>
                <w:sz w:val="17"/>
                <w:szCs w:val="17"/>
                <w:color w:val="0000EE"/>
                <w:w w:val="93"/>
              </w:rPr>
              <w:t>76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0000EE"/>
                <w:w w:val="91"/>
              </w:rPr>
              <w:t>ITEM 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 Securities</w:t>
            </w:r>
          </w:p>
        </w:tc>
        <w:tc>
          <w:tcPr>
            <w:tcW w:w="480" w:type="dxa"/>
            <w:vAlign w:val="bottom"/>
            <w:gridSpan w:val="2"/>
          </w:tcPr>
          <w:p>
            <w:pPr>
              <w:jc w:val="center"/>
              <w:ind w:left="236"/>
              <w:spacing w:after="0"/>
              <w:rPr>
                <w:sz w:val="20"/>
                <w:szCs w:val="20"/>
                <w:color w:val="auto"/>
              </w:rPr>
            </w:pPr>
            <w:r>
              <w:rPr>
                <w:rFonts w:ascii="Times New Roman" w:cs="Times New Roman" w:eastAsia="Times New Roman" w:hAnsi="Times New Roman"/>
                <w:sz w:val="17"/>
                <w:szCs w:val="17"/>
                <w:color w:val="0000EE"/>
                <w:w w:val="93"/>
              </w:rPr>
              <w:t>76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91"/>
              </w:rPr>
              <w:t>ITEM 6</w:t>
            </w:r>
          </w:p>
        </w:tc>
        <w:tc>
          <w:tcPr>
            <w:tcW w:w="140" w:type="dxa"/>
            <w:vAlign w:val="bottom"/>
            <w:gridSpan w:val="2"/>
          </w:tcPr>
          <w:p>
            <w:pPr>
              <w:spacing w:after="0"/>
              <w:rPr>
                <w:sz w:val="15"/>
                <w:szCs w:val="15"/>
                <w:color w:val="auto"/>
              </w:rPr>
            </w:pPr>
          </w:p>
        </w:tc>
        <w:tc>
          <w:tcPr>
            <w:tcW w:w="1600" w:type="dxa"/>
            <w:vAlign w:val="bottom"/>
            <w:gridSpan w:val="8"/>
          </w:tcPr>
          <w:p>
            <w:pPr>
              <w:spacing w:after="0" w:line="182" w:lineRule="exact"/>
              <w:rPr>
                <w:sz w:val="20"/>
                <w:szCs w:val="20"/>
                <w:color w:val="auto"/>
              </w:rPr>
            </w:pPr>
            <w:r>
              <w:rPr>
                <w:rFonts w:ascii="Times New Roman" w:cs="Times New Roman" w:eastAsia="Times New Roman" w:hAnsi="Times New Roman"/>
                <w:sz w:val="17"/>
                <w:szCs w:val="17"/>
                <w:color w:val="0000EE"/>
                <w:w w:val="96"/>
              </w:rPr>
              <w:t>Removed and Reserved</w:t>
            </w:r>
          </w:p>
        </w:tc>
        <w:tc>
          <w:tcPr>
            <w:tcW w:w="5940" w:type="dxa"/>
            <w:vAlign w:val="bottom"/>
            <w:gridSpan w:val="13"/>
          </w:tcPr>
          <w:p>
            <w:pPr>
              <w:spacing w:after="0"/>
              <w:rPr>
                <w:sz w:val="15"/>
                <w:szCs w:val="15"/>
                <w:color w:val="auto"/>
              </w:rPr>
            </w:pPr>
          </w:p>
        </w:tc>
        <w:tc>
          <w:tcPr>
            <w:tcW w:w="2140" w:type="dxa"/>
            <w:vAlign w:val="bottom"/>
          </w:tcPr>
          <w:p>
            <w:pPr>
              <w:spacing w:after="0"/>
              <w:rPr>
                <w:sz w:val="15"/>
                <w:szCs w:val="15"/>
                <w:color w:val="auto"/>
              </w:rPr>
            </w:pP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78</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91"/>
              </w:rPr>
              <w:t>ITEM 7</w:t>
            </w:r>
          </w:p>
        </w:tc>
        <w:tc>
          <w:tcPr>
            <w:tcW w:w="140" w:type="dxa"/>
            <w:vAlign w:val="bottom"/>
            <w:gridSpan w:val="2"/>
          </w:tcPr>
          <w:p>
            <w:pPr>
              <w:spacing w:after="0"/>
              <w:rPr>
                <w:sz w:val="15"/>
                <w:szCs w:val="15"/>
                <w:color w:val="auto"/>
              </w:rPr>
            </w:pPr>
          </w:p>
        </w:tc>
        <w:tc>
          <w:tcPr>
            <w:tcW w:w="6040" w:type="dxa"/>
            <w:vAlign w:val="bottom"/>
            <w:gridSpan w:val="18"/>
          </w:tcPr>
          <w:p>
            <w:pPr>
              <w:spacing w:after="0" w:line="182" w:lineRule="exact"/>
              <w:rPr>
                <w:sz w:val="20"/>
                <w:szCs w:val="20"/>
                <w:color w:val="auto"/>
              </w:rPr>
            </w:pPr>
            <w:r>
              <w:rPr>
                <w:rFonts w:ascii="Times New Roman" w:cs="Times New Roman" w:eastAsia="Times New Roman" w:hAnsi="Times New Roman"/>
                <w:sz w:val="17"/>
                <w:szCs w:val="17"/>
                <w:color w:val="0000EE"/>
                <w:w w:val="98"/>
              </w:rPr>
              <w:t>Management’s Discussion and Analysis of Financial Condition and Results of Operations</w:t>
            </w:r>
          </w:p>
        </w:tc>
        <w:tc>
          <w:tcPr>
            <w:tcW w:w="3640" w:type="dxa"/>
            <w:vAlign w:val="bottom"/>
            <w:gridSpan w:val="4"/>
          </w:tcPr>
          <w:p>
            <w:pPr>
              <w:spacing w:after="0"/>
              <w:rPr>
                <w:sz w:val="15"/>
                <w:szCs w:val="15"/>
                <w:color w:val="auto"/>
              </w:rPr>
            </w:pP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79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360" w:type="dxa"/>
            <w:vAlign w:val="bottom"/>
            <w:gridSpan w:val="25"/>
          </w:tcPr>
          <w:p>
            <w:pPr>
              <w:spacing w:after="0" w:line="182" w:lineRule="exact"/>
              <w:rPr>
                <w:sz w:val="20"/>
                <w:szCs w:val="20"/>
                <w:color w:val="auto"/>
              </w:rPr>
            </w:pPr>
            <w:r>
              <w:rPr>
                <w:rFonts w:ascii="Times New Roman" w:cs="Times New Roman" w:eastAsia="Times New Roman" w:hAnsi="Times New Roman"/>
                <w:sz w:val="17"/>
                <w:szCs w:val="17"/>
                <w:color w:val="0000EE"/>
              </w:rPr>
              <w:t>ITEM 7A Quantitative and Qualitative Disclosure About Market Risk</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89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91"/>
              </w:rPr>
              <w:t>ITEM 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0" w:type="dxa"/>
            <w:vAlign w:val="bottom"/>
            <w:gridSpan w:val="15"/>
          </w:tcPr>
          <w:p>
            <w:pPr>
              <w:spacing w:after="0" w:line="182"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5680" w:type="dxa"/>
            <w:vAlign w:val="bottom"/>
            <w:gridSpan w:val="7"/>
          </w:tcPr>
          <w:p>
            <w:pPr>
              <w:spacing w:after="0"/>
              <w:rPr>
                <w:sz w:val="15"/>
                <w:szCs w:val="15"/>
                <w:color w:val="auto"/>
              </w:rPr>
            </w:pP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89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91"/>
              </w:rPr>
              <w:t>ITEM 9</w:t>
            </w:r>
          </w:p>
        </w:tc>
        <w:tc>
          <w:tcPr>
            <w:tcW w:w="140" w:type="dxa"/>
            <w:vAlign w:val="bottom"/>
            <w:gridSpan w:val="2"/>
          </w:tcPr>
          <w:p>
            <w:pPr>
              <w:spacing w:after="0"/>
              <w:rPr>
                <w:sz w:val="15"/>
                <w:szCs w:val="15"/>
                <w:color w:val="auto"/>
              </w:rPr>
            </w:pPr>
          </w:p>
        </w:tc>
        <w:tc>
          <w:tcPr>
            <w:tcW w:w="9680" w:type="dxa"/>
            <w:vAlign w:val="bottom"/>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Disclosures</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89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360" w:type="dxa"/>
            <w:vAlign w:val="bottom"/>
            <w:gridSpan w:val="25"/>
          </w:tcPr>
          <w:p>
            <w:pPr>
              <w:spacing w:after="0" w:line="182" w:lineRule="exact"/>
              <w:rPr>
                <w:sz w:val="20"/>
                <w:szCs w:val="20"/>
                <w:color w:val="auto"/>
              </w:rPr>
            </w:pPr>
            <w:r>
              <w:rPr>
                <w:rFonts w:ascii="Times New Roman" w:cs="Times New Roman" w:eastAsia="Times New Roman" w:hAnsi="Times New Roman"/>
                <w:sz w:val="17"/>
                <w:szCs w:val="17"/>
                <w:color w:val="0000EE"/>
              </w:rPr>
              <w:t>ITEM 9A Controls and Procedures</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90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360" w:type="dxa"/>
            <w:vAlign w:val="bottom"/>
            <w:gridSpan w:val="25"/>
          </w:tcPr>
          <w:p>
            <w:pPr>
              <w:spacing w:after="0" w:line="182" w:lineRule="exact"/>
              <w:rPr>
                <w:sz w:val="20"/>
                <w:szCs w:val="20"/>
                <w:color w:val="auto"/>
              </w:rPr>
            </w:pPr>
            <w:r>
              <w:rPr>
                <w:rFonts w:ascii="Times New Roman" w:cs="Times New Roman" w:eastAsia="Times New Roman" w:hAnsi="Times New Roman"/>
                <w:sz w:val="17"/>
                <w:szCs w:val="17"/>
                <w:color w:val="0000EE"/>
              </w:rPr>
              <w:t>ITEM 9B Other Information</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91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w w:val="93"/>
              </w:rPr>
              <w:t>PART III</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gridSpan w:val="2"/>
          </w:tcPr>
          <w:p>
            <w:pPr>
              <w:jc w:val="center"/>
              <w:ind w:left="236"/>
              <w:spacing w:after="0"/>
              <w:rPr>
                <w:sz w:val="20"/>
                <w:szCs w:val="20"/>
                <w:color w:val="auto"/>
              </w:rPr>
            </w:pPr>
            <w:r>
              <w:rPr>
                <w:rFonts w:ascii="Times New Roman" w:cs="Times New Roman" w:eastAsia="Times New Roman" w:hAnsi="Times New Roman"/>
                <w:sz w:val="17"/>
                <w:szCs w:val="17"/>
                <w:color w:val="0000EE"/>
                <w:w w:val="93"/>
              </w:rPr>
              <w:t>92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8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ITEM 10</w:t>
            </w:r>
          </w:p>
        </w:tc>
        <w:tc>
          <w:tcPr>
            <w:tcW w:w="968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480" w:type="dxa"/>
            <w:vAlign w:val="bottom"/>
            <w:gridSpan w:val="2"/>
          </w:tcPr>
          <w:p>
            <w:pPr>
              <w:jc w:val="center"/>
              <w:ind w:left="236"/>
              <w:spacing w:after="0"/>
              <w:rPr>
                <w:sz w:val="20"/>
                <w:szCs w:val="20"/>
                <w:color w:val="auto"/>
              </w:rPr>
            </w:pPr>
            <w:r>
              <w:rPr>
                <w:rFonts w:ascii="Times New Roman" w:cs="Times New Roman" w:eastAsia="Times New Roman" w:hAnsi="Times New Roman"/>
                <w:sz w:val="17"/>
                <w:szCs w:val="17"/>
                <w:color w:val="0000EE"/>
                <w:w w:val="93"/>
              </w:rPr>
              <w:t>92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2"/>
              </w:rPr>
              <w:t>ITEM 11</w:t>
            </w:r>
          </w:p>
        </w:tc>
        <w:tc>
          <w:tcPr>
            <w:tcW w:w="60" w:type="dxa"/>
            <w:vAlign w:val="bottom"/>
          </w:tcPr>
          <w:p>
            <w:pPr>
              <w:spacing w:after="0"/>
              <w:rPr>
                <w:sz w:val="15"/>
                <w:szCs w:val="15"/>
                <w:color w:val="auto"/>
              </w:rPr>
            </w:pPr>
          </w:p>
        </w:tc>
        <w:tc>
          <w:tcPr>
            <w:tcW w:w="3820" w:type="dxa"/>
            <w:vAlign w:val="bottom"/>
            <w:gridSpan w:val="14"/>
          </w:tcPr>
          <w:p>
            <w:pPr>
              <w:spacing w:after="0" w:line="182" w:lineRule="exact"/>
              <w:rPr>
                <w:sz w:val="20"/>
                <w:szCs w:val="20"/>
                <w:color w:val="auto"/>
              </w:rPr>
            </w:pPr>
            <w:r>
              <w:rPr>
                <w:rFonts w:ascii="Times New Roman" w:cs="Times New Roman" w:eastAsia="Times New Roman" w:hAnsi="Times New Roman"/>
                <w:sz w:val="17"/>
                <w:szCs w:val="17"/>
                <w:color w:val="0000EE"/>
              </w:rPr>
              <w:t>Executive Compensation</w:t>
            </w:r>
          </w:p>
        </w:tc>
        <w:tc>
          <w:tcPr>
            <w:tcW w:w="5860" w:type="dxa"/>
            <w:vAlign w:val="bottom"/>
            <w:gridSpan w:val="8"/>
          </w:tcPr>
          <w:p>
            <w:pPr>
              <w:spacing w:after="0"/>
              <w:rPr>
                <w:sz w:val="15"/>
                <w:szCs w:val="15"/>
                <w:color w:val="auto"/>
              </w:rPr>
            </w:pP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92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8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0000EE"/>
              </w:rPr>
              <w:t>ITEM 12</w:t>
            </w:r>
          </w:p>
        </w:tc>
        <w:tc>
          <w:tcPr>
            <w:tcW w:w="9680" w:type="dxa"/>
            <w:vAlign w:val="bottom"/>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92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11"/>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8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0000EE"/>
              </w:rPr>
              <w:t>ITEM 13</w:t>
            </w:r>
          </w:p>
        </w:tc>
        <w:tc>
          <w:tcPr>
            <w:tcW w:w="9680" w:type="dxa"/>
            <w:vAlign w:val="bottom"/>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92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11"/>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8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0000EE"/>
              </w:rPr>
              <w:t>ITEM 14</w:t>
            </w:r>
          </w:p>
        </w:tc>
        <w:tc>
          <w:tcPr>
            <w:tcW w:w="9680" w:type="dxa"/>
            <w:vAlign w:val="bottom"/>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Principal Accounting Fees and Services</w:t>
            </w:r>
          </w:p>
        </w:tc>
        <w:tc>
          <w:tcPr>
            <w:tcW w:w="480" w:type="dxa"/>
            <w:vAlign w:val="bottom"/>
            <w:gridSpan w:val="2"/>
          </w:tcPr>
          <w:p>
            <w:pPr>
              <w:jc w:val="center"/>
              <w:ind w:left="236"/>
              <w:spacing w:after="0" w:line="182" w:lineRule="exact"/>
              <w:rPr>
                <w:sz w:val="20"/>
                <w:szCs w:val="20"/>
                <w:color w:val="auto"/>
              </w:rPr>
            </w:pPr>
            <w:r>
              <w:rPr>
                <w:rFonts w:ascii="Times New Roman" w:cs="Times New Roman" w:eastAsia="Times New Roman" w:hAnsi="Times New Roman"/>
                <w:sz w:val="17"/>
                <w:szCs w:val="17"/>
                <w:color w:val="0000EE"/>
                <w:w w:val="93"/>
              </w:rPr>
              <w:t>92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w w:val="95"/>
              </w:rPr>
              <w:t>PART IV</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gridSpan w:val="2"/>
          </w:tcPr>
          <w:p>
            <w:pPr>
              <w:jc w:val="center"/>
              <w:ind w:left="236"/>
              <w:spacing w:after="0"/>
              <w:rPr>
                <w:sz w:val="20"/>
                <w:szCs w:val="20"/>
                <w:color w:val="auto"/>
              </w:rPr>
            </w:pPr>
            <w:r>
              <w:rPr>
                <w:rFonts w:ascii="Times New Roman" w:cs="Times New Roman" w:eastAsia="Times New Roman" w:hAnsi="Times New Roman"/>
                <w:sz w:val="17"/>
                <w:szCs w:val="17"/>
                <w:color w:val="0000EE"/>
                <w:w w:val="93"/>
              </w:rPr>
              <w:t>93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6720" w:type="dxa"/>
            <w:vAlign w:val="bottom"/>
            <w:gridSpan w:val="10"/>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2"/>
              </w:rPr>
              <w:t>ITEM 15</w:t>
            </w:r>
          </w:p>
        </w:tc>
        <w:tc>
          <w:tcPr>
            <w:tcW w:w="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Exhibits and Financial Statement Schedules</w:t>
            </w:r>
          </w:p>
        </w:tc>
        <w:tc>
          <w:tcPr>
            <w:tcW w:w="480" w:type="dxa"/>
            <w:vAlign w:val="bottom"/>
            <w:gridSpan w:val="2"/>
          </w:tcPr>
          <w:p>
            <w:pPr>
              <w:jc w:val="center"/>
              <w:ind w:left="236"/>
              <w:spacing w:after="0"/>
              <w:rPr>
                <w:sz w:val="20"/>
                <w:szCs w:val="20"/>
                <w:color w:val="auto"/>
              </w:rPr>
            </w:pPr>
            <w:r>
              <w:rPr>
                <w:rFonts w:ascii="Times New Roman" w:cs="Times New Roman" w:eastAsia="Times New Roman" w:hAnsi="Times New Roman"/>
                <w:sz w:val="17"/>
                <w:szCs w:val="17"/>
                <w:color w:val="0000EE"/>
                <w:w w:val="93"/>
              </w:rPr>
              <w:t>93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tcBorders>
              <w:top w:val="single" w:sz="8" w:color="0000EE"/>
            </w:tcBorders>
            <w:gridSpan w:val="12"/>
          </w:tcPr>
          <w:p>
            <w:pPr>
              <w:spacing w:after="0"/>
              <w:rPr>
                <w:sz w:val="24"/>
                <w:szCs w:val="24"/>
                <w:color w:val="auto"/>
              </w:rPr>
            </w:pPr>
          </w:p>
        </w:tc>
        <w:tc>
          <w:tcPr>
            <w:tcW w:w="2140" w:type="dxa"/>
            <w:vAlign w:val="bottom"/>
            <w:gridSpan w:val="4"/>
          </w:tcPr>
          <w:p>
            <w:pPr>
              <w:jc w:val="center"/>
              <w:ind w:left="1736"/>
              <w:spacing w:after="0"/>
              <w:rPr>
                <w:sz w:val="20"/>
                <w:szCs w:val="20"/>
                <w:color w:val="auto"/>
              </w:rPr>
            </w:pPr>
            <w:r>
              <w:rPr>
                <w:rFonts w:ascii="Times New Roman" w:cs="Times New Roman" w:eastAsia="Times New Roman" w:hAnsi="Times New Roman"/>
                <w:sz w:val="17"/>
                <w:szCs w:val="17"/>
                <w:color w:val="auto"/>
                <w:w w:val="93"/>
              </w:rPr>
              <w:t>1</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CAUTIONARY NOTICE REGARDING FORWARD-LOOKING STATEMENTS</w:t>
      </w:r>
    </w:p>
    <w:p>
      <w:pPr>
        <w:spacing w:after="0" w:line="212" w:lineRule="exact"/>
        <w:rPr>
          <w:sz w:val="20"/>
          <w:szCs w:val="20"/>
          <w:color w:val="auto"/>
        </w:rPr>
      </w:pPr>
    </w:p>
    <w:p>
      <w:pPr>
        <w:ind w:firstLine="757"/>
        <w:spacing w:after="0" w:line="251" w:lineRule="auto"/>
        <w:rPr>
          <w:sz w:val="20"/>
          <w:szCs w:val="20"/>
          <w:color w:val="auto"/>
        </w:rPr>
      </w:pPr>
      <w:r>
        <w:rPr>
          <w:rFonts w:ascii="Times New Roman" w:cs="Times New Roman" w:eastAsia="Times New Roman" w:hAnsi="Times New Roman"/>
          <w:sz w:val="17"/>
          <w:szCs w:val="17"/>
          <w:color w:val="auto"/>
        </w:rPr>
        <w:t>Certain matters discussed in this report, including matters discussed under the captions “Risk Factors” and “Management’s Discussion and Analysis of Financial Condition and Results of Operations,” and statements other than statements of historical facts contained in this Annual Report on Form 10-K may constitute forward-looking statements. We intend such forward-looking statements to be subject to the safe harbor provisions of the Private Securities Litigation Reform Act of 1995, including Section 27A of the Securities Act of 1933, as amended (the “Securities Act”) and Section 21E of the Securities Exchange Act of 1934, as amended (the “Exchange Act”). Forward-looking statements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7" w:lineRule="exact"/>
        <w:rPr>
          <w:sz w:val="20"/>
          <w:szCs w:val="20"/>
          <w:color w:val="auto"/>
        </w:rPr>
      </w:pPr>
    </w:p>
    <w:p>
      <w:pPr>
        <w:ind w:right="260" w:firstLine="757"/>
        <w:spacing w:after="0" w:line="261" w:lineRule="auto"/>
        <w:rPr>
          <w:sz w:val="20"/>
          <w:szCs w:val="20"/>
          <w:color w:val="auto"/>
        </w:rPr>
      </w:pPr>
      <w:r>
        <w:rPr>
          <w:rFonts w:ascii="Times New Roman" w:cs="Times New Roman" w:eastAsia="Times New Roman" w:hAnsi="Times New Roman"/>
          <w:sz w:val="17"/>
          <w:szCs w:val="17"/>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169" w:lineRule="exact"/>
        <w:rPr>
          <w:sz w:val="20"/>
          <w:szCs w:val="20"/>
          <w:color w:val="auto"/>
        </w:rPr>
      </w:pPr>
    </w:p>
    <w:p>
      <w:pPr>
        <w:ind w:left="300" w:right="300" w:hanging="299"/>
        <w:spacing w:after="0" w:line="254"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approvals for our product candidates, including azercabtagene zapreleucel (azer-cel), and our ability to maintain regulatory approval of BRIUMVI® (ublituximab) for the treatment of relapsing forms of multiple sclerosis (RMS) or any other future indication in the United States (U.S.), the European Union (EU) and the United Kingdom (UK);</w:t>
      </w:r>
    </w:p>
    <w:p>
      <w:pPr>
        <w:ind w:left="300" w:right="360" w:hanging="299"/>
        <w:spacing w:after="0" w:line="247"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adapt and expand our commercial infrastructure to successfully, or in the timeframe projected, market and sell BRIUMVI and our other product candidates;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 reliable supply of our products that meets market demand;</w:t>
      </w:r>
    </w:p>
    <w:p>
      <w:pPr>
        <w:spacing w:after="0" w:line="6" w:lineRule="exact"/>
        <w:rPr>
          <w:rFonts w:ascii="Times New Roman" w:cs="Times New Roman" w:eastAsia="Times New Roman" w:hAnsi="Times New Roman"/>
          <w:sz w:val="17"/>
          <w:szCs w:val="17"/>
          <w:color w:val="auto"/>
        </w:rPr>
      </w:pPr>
    </w:p>
    <w:p>
      <w:pPr>
        <w:ind w:left="300" w:right="640" w:hanging="299"/>
        <w:spacing w:after="0" w:line="247"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the ongoing commercialization and availability of BRIUMVI or any future products or combinations of products, including the anticipated rate and degree of market acceptance and pricing and reimbursement;</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progress and results of our preclinical studies and clinical trials;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advance drug candidates into, and successfully complete, clinical trials;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formulate, manufacture and commercialize our product candidates;</w:t>
      </w:r>
    </w:p>
    <w:p>
      <w:pPr>
        <w:spacing w:after="0" w:line="6" w:lineRule="exact"/>
        <w:rPr>
          <w:rFonts w:ascii="Times New Roman" w:cs="Times New Roman" w:eastAsia="Times New Roman" w:hAnsi="Times New Roman"/>
          <w:sz w:val="17"/>
          <w:szCs w:val="17"/>
          <w:color w:val="auto"/>
        </w:rPr>
      </w:pPr>
    </w:p>
    <w:p>
      <w:pPr>
        <w:ind w:left="300" w:right="760" w:hanging="299"/>
        <w:spacing w:after="0" w:line="247"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our business model and strategic plans for our business and drug candidates;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protection we are able to establish and maintain for intellectual property rights covering our product and product candidates;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expenses, future revenues, capital requirements and our needs for additional financing;</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establish collaborations and enter into strategic arrangements, if desired;</w:t>
      </w:r>
    </w:p>
    <w:p>
      <w:pPr>
        <w:spacing w:after="0" w:line="6" w:lineRule="exact"/>
        <w:rPr>
          <w:rFonts w:ascii="Times New Roman" w:cs="Times New Roman" w:eastAsia="Times New Roman" w:hAnsi="Times New Roman"/>
          <w:sz w:val="17"/>
          <w:szCs w:val="17"/>
          <w:color w:val="auto"/>
        </w:rPr>
      </w:pPr>
    </w:p>
    <w:p>
      <w:pPr>
        <w:ind w:left="300" w:right="300" w:hanging="299"/>
        <w:spacing w:after="0" w:line="247"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any of our financial projections or guidance, including without limitation short and long-term revenue and operating expense projections or guidance and changes to the assumptions underlying those projections or guidance;</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sufficient capital to fund our planned operations;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 cash burn management;</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obtain adequate product liability and other insurance coverage;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relating to our competitors and our industry;</w:t>
      </w:r>
    </w:p>
    <w:p>
      <w:pPr>
        <w:spacing w:after="0" w:line="6" w:lineRule="exact"/>
        <w:rPr>
          <w:rFonts w:ascii="Times New Roman" w:cs="Times New Roman" w:eastAsia="Times New Roman" w:hAnsi="Times New Roman"/>
          <w:sz w:val="17"/>
          <w:szCs w:val="17"/>
          <w:color w:val="auto"/>
        </w:rPr>
      </w:pPr>
    </w:p>
    <w:p>
      <w:pPr>
        <w:ind w:left="300" w:right="780" w:hanging="299"/>
        <w:spacing w:after="0" w:line="183" w:lineRule="auto"/>
        <w:tabs>
          <w:tab w:leader="none" w:pos="300" w:val="left"/>
        </w:tabs>
        <w:numPr>
          <w:ilvl w:val="0"/>
          <w:numId w:val="2"/>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the effects on our company of future regulatory developments or legislative actions, including changes in healthcare, environmental and other laws and regulations to which we are subject;</w:t>
      </w: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economic, market and business conditions;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attract and hire key personnel;</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trading price of our common stock;</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cash and other resources; and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implement our strategy.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16" w:lineRule="exact"/>
        <w:rPr>
          <w:sz w:val="20"/>
          <w:szCs w:val="20"/>
          <w:color w:val="auto"/>
        </w:rPr>
      </w:pPr>
    </w:p>
    <w:p>
      <w:pPr>
        <w:jc w:val="both"/>
        <w:ind w:firstLine="605"/>
        <w:spacing w:after="0" w:line="278" w:lineRule="auto"/>
        <w:rPr>
          <w:sz w:val="20"/>
          <w:szCs w:val="20"/>
          <w:color w:val="auto"/>
        </w:rPr>
      </w:pPr>
      <w:r>
        <w:rPr>
          <w:rFonts w:ascii="Times New Roman" w:cs="Times New Roman" w:eastAsia="Times New Roman" w:hAnsi="Times New Roman"/>
          <w:sz w:val="15"/>
          <w:szCs w:val="15"/>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discussed in the section entitled “Risk Factors” in Part I, Item 1A of this Annual Report on Form 10-K, and any other risks described in the other reports and documents that we have filed with the Securities and Exchange Commission (SEC).</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Risks Related to Commercialization</w:t>
      </w:r>
    </w:p>
    <w:p>
      <w:pPr>
        <w:spacing w:after="0" w:line="28" w:lineRule="exact"/>
        <w:rPr>
          <w:sz w:val="20"/>
          <w:szCs w:val="20"/>
          <w:color w:val="auto"/>
        </w:rPr>
      </w:pPr>
    </w:p>
    <w:p>
      <w:pPr>
        <w:ind w:left="580" w:hanging="559"/>
        <w:spacing w:after="0" w:line="263" w:lineRule="auto"/>
        <w:tabs>
          <w:tab w:leader="none" w:pos="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ind w:left="580" w:hanging="559"/>
        <w:spacing w:after="0" w:line="263" w:lineRule="auto"/>
        <w:tabs>
          <w:tab w:leader="none" w:pos="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ind w:left="580" w:hanging="559"/>
        <w:spacing w:after="0" w:line="263" w:lineRule="auto"/>
        <w:tabs>
          <w:tab w:leader="none" w:pos="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BRIUMVI, and any of our product candidates for which we in the future obtain approval, may, after approval, be found to cause undesirable side effects that could result in significant negative consequences following commercialization.</w:t>
      </w:r>
    </w:p>
    <w:p>
      <w:pPr>
        <w:jc w:val="both"/>
        <w:ind w:left="580" w:hanging="559"/>
        <w:spacing w:after="0" w:line="263" w:lineRule="auto"/>
        <w:tabs>
          <w:tab w:leader="none" w:pos="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incidence and prevalence for target patient populations of BRIUMVI and our product candidates, including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ind w:left="580" w:hanging="559"/>
        <w:spacing w:after="0" w:line="263" w:lineRule="auto"/>
        <w:tabs>
          <w:tab w:leader="none" w:pos="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substantial competition, which may result in others commercializing drugs before or more successfully than we do, resulting in the reduction or elimination of our commercial opportunity.</w:t>
      </w:r>
    </w:p>
    <w:p>
      <w:pPr>
        <w:ind w:left="580" w:hanging="559"/>
        <w:spacing w:after="0"/>
        <w:tabs>
          <w:tab w:leader="none" w:pos="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liability lawsuits against us could cause us to incur substantial liabilities and could limit commercialization of any drug candidates that we may develop.</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Risks Related to our Financial Position and Need for Additional Capital</w:t>
      </w:r>
    </w:p>
    <w:p>
      <w:pPr>
        <w:spacing w:after="0" w:line="28" w:lineRule="exact"/>
        <w:rPr>
          <w:sz w:val="20"/>
          <w:szCs w:val="20"/>
          <w:color w:val="auto"/>
        </w:rPr>
      </w:pPr>
    </w:p>
    <w:p>
      <w:pPr>
        <w:ind w:left="580" w:hanging="559"/>
        <w:spacing w:after="0"/>
        <w:tabs>
          <w:tab w:leader="none" w:pos="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While we have recently generated net income, we have incurred significant operating losses since our inception, and we may incur losses in the future.</w:t>
      </w:r>
    </w:p>
    <w:p>
      <w:pPr>
        <w:spacing w:after="0" w:line="16" w:lineRule="exact"/>
        <w:rPr>
          <w:rFonts w:ascii="Times New Roman" w:cs="Times New Roman" w:eastAsia="Times New Roman" w:hAnsi="Times New Roman"/>
          <w:sz w:val="15"/>
          <w:szCs w:val="15"/>
          <w:color w:val="auto"/>
        </w:rPr>
      </w:pPr>
    </w:p>
    <w:p>
      <w:pPr>
        <w:ind w:left="580" w:hanging="559"/>
        <w:spacing w:after="0" w:line="263" w:lineRule="auto"/>
        <w:tabs>
          <w:tab w:leader="none" w:pos="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ind w:left="580" w:hanging="559"/>
        <w:spacing w:after="0"/>
        <w:tabs>
          <w:tab w:leader="none" w:pos="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level of indebtedness and debt service obligations could adversely affect our financial condition and may make it more difficult for us to fund our operations.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Risks Related to Drug Development and Regulatory Approval</w:t>
      </w:r>
    </w:p>
    <w:p>
      <w:pPr>
        <w:spacing w:after="0" w:line="28" w:lineRule="exact"/>
        <w:rPr>
          <w:sz w:val="20"/>
          <w:szCs w:val="20"/>
          <w:color w:val="auto"/>
        </w:rPr>
      </w:pPr>
    </w:p>
    <w:p>
      <w:pPr>
        <w:ind w:left="600" w:hanging="579"/>
        <w:spacing w:after="0" w:line="263" w:lineRule="auto"/>
        <w:tabs>
          <w:tab w:leader="none" w:pos="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maintain or obtain regulatory approval for our product and product candidates and ultimately cannot successfully commercialize our product or product candidates, or experience significant delays in doing so, our business will be materially harmed.</w:t>
      </w:r>
    </w:p>
    <w:p>
      <w:pPr>
        <w:jc w:val="both"/>
        <w:ind w:left="600" w:hanging="579"/>
        <w:spacing w:after="0" w:line="263" w:lineRule="auto"/>
        <w:tabs>
          <w:tab w:leader="none" w:pos="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ind w:left="600" w:hanging="579"/>
        <w:spacing w:after="0" w:line="263" w:lineRule="auto"/>
        <w:tabs>
          <w:tab w:leader="none" w:pos="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or product candidates may cause undesirable side effects that could delay or prevent their regulatory approval or impact their availability and commercial potential after approval.</w:t>
      </w:r>
    </w:p>
    <w:p>
      <w:pPr>
        <w:ind w:left="600" w:hanging="579"/>
        <w:spacing w:after="0" w:line="286" w:lineRule="auto"/>
        <w:tabs>
          <w:tab w:leader="none" w:pos="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Risks Related to Governmental Regulation of the Pharmaceutical Industry and Legal Compliance Matters</w:t>
      </w:r>
    </w:p>
    <w:p>
      <w:pPr>
        <w:spacing w:after="0" w:line="28" w:lineRule="exact"/>
        <w:rPr>
          <w:sz w:val="20"/>
          <w:szCs w:val="20"/>
          <w:color w:val="auto"/>
        </w:rPr>
      </w:pPr>
    </w:p>
    <w:p>
      <w:pPr>
        <w:ind w:left="580" w:hanging="559"/>
        <w:spacing w:after="0" w:line="263"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new legislation, regulatory proposals and third-party payor initiatives that may increase our costs of compliance and adversely affect our ability to market our products, obtain collaborators and raise capital.</w:t>
      </w:r>
    </w:p>
    <w:p>
      <w:pPr>
        <w:ind w:left="580" w:hanging="559"/>
        <w:spacing w:after="0"/>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comply with various healthcare laws and regulations, we may incur losses or be subject to liability.</w:t>
      </w:r>
    </w:p>
    <w:p>
      <w:pPr>
        <w:spacing w:after="0" w:line="16" w:lineRule="exact"/>
        <w:rPr>
          <w:rFonts w:ascii="Times New Roman" w:cs="Times New Roman" w:eastAsia="Times New Roman" w:hAnsi="Times New Roman"/>
          <w:sz w:val="15"/>
          <w:szCs w:val="15"/>
          <w:color w:val="auto"/>
        </w:rPr>
      </w:pPr>
    </w:p>
    <w:p>
      <w:pPr>
        <w:jc w:val="both"/>
        <w:ind w:left="580" w:hanging="559"/>
        <w:spacing w:after="0" w:line="263"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Inadequate funding for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ind w:left="580" w:hanging="559"/>
        <w:spacing w:after="0" w:line="263"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adequately understand and comply with the local laws and customs as we expand into new international markets, these operations may incur losses or otherwise adversely affect our business and results of operations.</w:t>
      </w:r>
    </w:p>
    <w:p>
      <w:pPr>
        <w:ind w:left="580" w:hanging="559"/>
        <w:spacing w:after="0" w:line="263"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ind w:left="580" w:hanging="559"/>
        <w:spacing w:after="0" w:line="286"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 political and economic environment could materially impact our business operations and financial performance, and uncertainty surrounding the potential legal, regulatory and policy changes by a new U.S. presidential administration may directly affect us and the global economy.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Dependence on Third Parties</w:t>
      </w:r>
    </w:p>
    <w:p>
      <w:pPr>
        <w:spacing w:after="0" w:line="28" w:lineRule="exact"/>
        <w:rPr>
          <w:sz w:val="20"/>
          <w:szCs w:val="20"/>
          <w:color w:val="auto"/>
        </w:rPr>
      </w:pPr>
    </w:p>
    <w:p>
      <w:pPr>
        <w:jc w:val="both"/>
        <w:ind w:left="560" w:hanging="559"/>
        <w:spacing w:after="0" w:line="263" w:lineRule="auto"/>
        <w:tabs>
          <w:tab w:leader="none" w:pos="5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jc w:val="both"/>
        <w:ind w:left="560" w:hanging="559"/>
        <w:spacing w:after="0" w:line="263" w:lineRule="auto"/>
        <w:tabs>
          <w:tab w:leader="none" w:pos="5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ind w:left="560" w:hanging="559"/>
        <w:spacing w:after="0" w:line="263" w:lineRule="auto"/>
        <w:tabs>
          <w:tab w:leader="none" w:pos="5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ind w:left="560" w:hanging="559"/>
        <w:spacing w:after="0" w:line="263" w:lineRule="auto"/>
        <w:tabs>
          <w:tab w:leader="none" w:pos="5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jc w:val="both"/>
        <w:ind w:left="560" w:hanging="559"/>
        <w:spacing w:after="0" w:line="270" w:lineRule="auto"/>
        <w:tabs>
          <w:tab w:leader="none" w:pos="5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Intellectual Property</w:t>
      </w:r>
    </w:p>
    <w:p>
      <w:pPr>
        <w:spacing w:after="0" w:line="28" w:lineRule="exact"/>
        <w:rPr>
          <w:sz w:val="20"/>
          <w:szCs w:val="20"/>
          <w:color w:val="auto"/>
        </w:rPr>
      </w:pPr>
    </w:p>
    <w:p>
      <w:pPr>
        <w:jc w:val="both"/>
        <w:ind w:left="560" w:hanging="559"/>
        <w:spacing w:after="0" w:line="274" w:lineRule="auto"/>
        <w:tabs>
          <w:tab w:leader="none" w:pos="5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p>
      <w:pPr>
        <w:spacing w:after="0" w:line="165" w:lineRule="exact"/>
        <w:rPr>
          <w:rFonts w:ascii="Times New Roman" w:cs="Times New Roman" w:eastAsia="Times New Roman" w:hAnsi="Times New Roman"/>
          <w:sz w:val="15"/>
          <w:szCs w:val="15"/>
          <w:color w:val="auto"/>
        </w:rPr>
      </w:pPr>
    </w:p>
    <w:p>
      <w:pPr>
        <w:ind w:left="560" w:hanging="559"/>
        <w:spacing w:after="0" w:line="263" w:lineRule="auto"/>
        <w:tabs>
          <w:tab w:leader="none" w:pos="5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ind w:left="560" w:hanging="559"/>
        <w:spacing w:after="0"/>
        <w:tabs>
          <w:tab w:leader="none" w:pos="5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enforce our intellectual property rights throughout the world.</w:t>
      </w:r>
    </w:p>
    <w:p>
      <w:pPr>
        <w:spacing w:after="0" w:line="16" w:lineRule="exact"/>
        <w:rPr>
          <w:rFonts w:ascii="Times New Roman" w:cs="Times New Roman" w:eastAsia="Times New Roman" w:hAnsi="Times New Roman"/>
          <w:sz w:val="15"/>
          <w:szCs w:val="15"/>
          <w:color w:val="auto"/>
        </w:rPr>
      </w:pPr>
    </w:p>
    <w:p>
      <w:pPr>
        <w:ind w:left="560" w:hanging="559"/>
        <w:spacing w:after="0" w:line="263" w:lineRule="auto"/>
        <w:tabs>
          <w:tab w:leader="none" w:pos="5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or our partners are sued for infringing intellectual property rights of third parties, it will be costly and time consuming, and an unfavorable outcome in that litigation would have a material adverse effect on our business.</w:t>
      </w:r>
    </w:p>
    <w:p>
      <w:pPr>
        <w:ind w:left="560" w:hanging="559"/>
        <w:spacing w:after="0"/>
        <w:tabs>
          <w:tab w:leader="none" w:pos="5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need to license certain intellectual property from third parties, and such licenses may not be available or may not be available on commercially reasonable terms.</w:t>
      </w:r>
    </w:p>
    <w:p>
      <w:pPr>
        <w:spacing w:after="0" w:line="16" w:lineRule="exact"/>
        <w:rPr>
          <w:rFonts w:ascii="Times New Roman" w:cs="Times New Roman" w:eastAsia="Times New Roman" w:hAnsi="Times New Roman"/>
          <w:sz w:val="15"/>
          <w:szCs w:val="15"/>
          <w:color w:val="auto"/>
        </w:rPr>
      </w:pPr>
    </w:p>
    <w:p>
      <w:pPr>
        <w:ind w:left="560" w:hanging="559"/>
        <w:spacing w:after="0"/>
        <w:tabs>
          <w:tab w:leader="none" w:pos="5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protect the confidentiality of our trade secrets, our business and competitive position may be harmed.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Organization and Governance, Strategy, Employees and Growth Management</w:t>
      </w:r>
    </w:p>
    <w:p>
      <w:pPr>
        <w:spacing w:after="0" w:line="28" w:lineRule="exact"/>
        <w:rPr>
          <w:sz w:val="20"/>
          <w:szCs w:val="20"/>
          <w:color w:val="auto"/>
        </w:rPr>
      </w:pPr>
    </w:p>
    <w:p>
      <w:pPr>
        <w:ind w:left="560" w:hanging="559"/>
        <w:spacing w:after="0" w:line="263" w:lineRule="auto"/>
        <w:tabs>
          <w:tab w:leader="none" w:pos="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attract and keep key management, commercial, and clinical development personnel, we may be unable to successfully develop or commercialize our product and product candidates.</w:t>
      </w:r>
    </w:p>
    <w:p>
      <w:pPr>
        <w:ind w:left="560" w:hanging="559"/>
        <w:spacing w:after="0"/>
        <w:tabs>
          <w:tab w:leader="none" w:pos="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need to develop and expand our business, and we may encounter difficulties in managing this development and expansion, which could disrupt our operations.</w:t>
      </w:r>
    </w:p>
    <w:p>
      <w:pPr>
        <w:spacing w:after="0" w:line="16" w:lineRule="exact"/>
        <w:rPr>
          <w:rFonts w:ascii="Times New Roman" w:cs="Times New Roman" w:eastAsia="Times New Roman" w:hAnsi="Times New Roman"/>
          <w:sz w:val="15"/>
          <w:szCs w:val="15"/>
          <w:color w:val="auto"/>
        </w:rPr>
      </w:pPr>
    </w:p>
    <w:p>
      <w:pPr>
        <w:ind w:left="560" w:hanging="559"/>
        <w:spacing w:after="0" w:line="263" w:lineRule="auto"/>
        <w:tabs>
          <w:tab w:leader="none" w:pos="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of our executive officers, directors, principal stockholders and their affiliates maintain the ability to exercise significant influence over our company and all matters submitted to stockholders for approval.</w:t>
      </w:r>
    </w:p>
    <w:p>
      <w:pPr>
        <w:ind w:left="560" w:hanging="559"/>
        <w:spacing w:after="0" w:line="263" w:lineRule="auto"/>
        <w:tabs>
          <w:tab w:leader="none" w:pos="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ind w:left="560" w:hanging="559"/>
        <w:spacing w:after="0"/>
        <w:tabs>
          <w:tab w:leader="none" w:pos="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Unfavorable global economic conditions could adversely affect our business, financial condition or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Common Stock and Being a Publicly Traded Company</w:t>
      </w:r>
    </w:p>
    <w:p>
      <w:pPr>
        <w:spacing w:after="0" w:line="28" w:lineRule="exact"/>
        <w:rPr>
          <w:sz w:val="20"/>
          <w:szCs w:val="20"/>
          <w:color w:val="auto"/>
        </w:rPr>
      </w:pPr>
    </w:p>
    <w:p>
      <w:pPr>
        <w:ind w:left="560" w:hanging="559"/>
        <w:spacing w:after="0"/>
        <w:tabs>
          <w:tab w:leader="none" w:pos="5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stock price is, and we expect it to remain, volatile, which could limit investors’ ability to sell our stock at a profit.</w:t>
      </w:r>
    </w:p>
    <w:p>
      <w:pPr>
        <w:spacing w:after="0" w:line="16" w:lineRule="exact"/>
        <w:rPr>
          <w:rFonts w:ascii="Times New Roman" w:cs="Times New Roman" w:eastAsia="Times New Roman" w:hAnsi="Times New Roman"/>
          <w:sz w:val="15"/>
          <w:szCs w:val="15"/>
          <w:color w:val="auto"/>
        </w:rPr>
      </w:pPr>
    </w:p>
    <w:p>
      <w:pPr>
        <w:ind w:left="560" w:hanging="559"/>
        <w:spacing w:after="0"/>
        <w:tabs>
          <w:tab w:leader="none" w:pos="5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incur significant increased costs as a result of operating as a public company, and our management is required to devote substantial time to compliance initiatives.</w:t>
      </w:r>
    </w:p>
    <w:p>
      <w:pPr>
        <w:spacing w:after="0" w:line="16" w:lineRule="exact"/>
        <w:rPr>
          <w:rFonts w:ascii="Times New Roman" w:cs="Times New Roman" w:eastAsia="Times New Roman" w:hAnsi="Times New Roman"/>
          <w:sz w:val="15"/>
          <w:szCs w:val="15"/>
          <w:color w:val="auto"/>
        </w:rPr>
      </w:pPr>
    </w:p>
    <w:p>
      <w:pPr>
        <w:jc w:val="both"/>
        <w:ind w:left="560" w:hanging="559"/>
        <w:spacing w:after="0" w:line="274" w:lineRule="auto"/>
        <w:tabs>
          <w:tab w:leader="none" w:pos="5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a material weakness in our internal control over financial reporting related to non-routine share-based payment awards, which has been remediated.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58" w:lineRule="exact"/>
        <w:rPr>
          <w:sz w:val="20"/>
          <w:szCs w:val="20"/>
          <w:color w:val="auto"/>
        </w:rPr>
      </w:pPr>
    </w:p>
    <w:p>
      <w:pPr>
        <w:ind w:firstLine="605"/>
        <w:spacing w:after="0" w:line="268" w:lineRule="auto"/>
        <w:rPr>
          <w:sz w:val="20"/>
          <w:szCs w:val="20"/>
          <w:color w:val="auto"/>
        </w:rPr>
      </w:pPr>
      <w:r>
        <w:rPr>
          <w:rFonts w:ascii="Times New Roman" w:cs="Times New Roman" w:eastAsia="Times New Roman" w:hAnsi="Times New Roman"/>
          <w:sz w:val="15"/>
          <w:szCs w:val="15"/>
          <w:color w:val="auto"/>
        </w:rPr>
        <w:t>The foregoing is only a summary of some of our risks. These and other risks are discussed more fully in the section entitled “Risk Factors” in Part I, Item 1A and elsewhere in this Annual Report on Form 10-K (our Risk Factors).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71120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firstLine="605"/>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Unless the context requires otherwise, references in this report to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refer to TG Therapeutics, Inc. and our subsidiaries. Our name, logo and BRIUMVI are trademarks or tradenames of TG Therapeutics, Inc. All other trademarks, service marks or other tradenames appearing in this Annual Report on Form 10-K are the property of their respective owners.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TG Therapeutics is a fully-integrated, commercial stage, biopharmaceutical company focused on the acquisition, development and commercialization of novel treatments for B-cell mediated diseases. TG has received approval from the U.S. Food and Drug Administration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and the Medicines and Healthcare products Regulatory Agency (MHRA) for BRIUMVI to treat adult patients with RMS who have active disease defined by clinical or imaging features in Europe and the United Kingdom (UK), respectively. We also actively evaluate complementary products, technologies and companies for in-licensing, partnership, acquisition and/or investment opportunities.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Highlights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Commercialization of BRIUMVI</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BRIUMVI is an anti-CD20 monoclonal antibody that can be administered to adults with RMS in a one-hour infusion every 24 weeks, following the starting dose. BRIUMVI received approval by the FDA on December 28, 2022 for the treatment of adults with RMS, including clinically isolated syndrome, relapsing-remitting disease, and active secondary progressive disease, based on data from the ULTIMATE I &amp; II Phase 3 trials, which demonstrated superiority over teriflunomide in significantly reducing the annualized relapse rate (ARR, the primary endpoint), the number of T1 Gd-enhancing lesions and the number of new or enlarging T2 lesions. Results from the ULTIMATE I &amp; II trials were published in August 2022 in </w:t>
      </w:r>
      <w:r>
        <w:rPr>
          <w:rFonts w:ascii="Times New Roman" w:cs="Times New Roman" w:eastAsia="Times New Roman" w:hAnsi="Times New Roman"/>
          <w:sz w:val="17"/>
          <w:szCs w:val="17"/>
          <w:i w:val="1"/>
          <w:iCs w:val="1"/>
          <w:color w:val="auto"/>
        </w:rPr>
        <w:t>The New England Journal of Medicine.</w:t>
      </w:r>
      <w:r>
        <w:rPr>
          <w:rFonts w:ascii="Times New Roman" w:cs="Times New Roman" w:eastAsia="Times New Roman" w:hAnsi="Times New Roman"/>
          <w:sz w:val="17"/>
          <w:szCs w:val="17"/>
          <w:color w:val="auto"/>
        </w:rPr>
        <w:t xml:space="preserve"> We commercially launched BRIUMVI in the U.S. on January 26, 2023, making it available to physicians and patients.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August 2023, we entered into a commercialization agreement (the Commercialization Agreement) with Neuraxpharm Pharmaceuticals, S.L. (Neuraxpharm), a leading European specialty pharmaceutical company focused on the treatment of central nervous system (CNS) disorders, for the ex-U.S. commercialization of BRIUMVI. On February 26, 2024, BRIUMVI was first made available in the European market by Neuraxpharm in Germany and is now commercially available in several other countries in the European Union and the United Kingdom.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Pipeline Expansion and Development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9, 2024, we entered into an agreement with Precision BioSciences, Inc. (Precision) to acquire a worldwide license to Precision’s Azercabtagene Zapreleucel (azer-cel), an allogeneic CD19 CAR T cell therapy program for autoimmune diseases and all other non-oncology indications. Azer-cel is an allogeneic (off the shelf) CAR T program. In August 2024, we announced FDA clearance of the Investigational New Drug Application (IND) for azer-cel for the treatment of progressive forms of multiple sclerosis.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August 2024, we announced the initiation of a Phase 1 clinical trial evaluating subcutaneous ublituximab in patients with RMS and in January 2025, at the Annual J.P. Morgan Healthcare Conference we announced our plans to commence a pivotal program in 2025 evaluating a subcutaneous ublituximab with an expected dosing frequency of at least every other month.</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January 2025, we announced the first patients with myasthenia gravis (MG) have been enrolled in a clinical trial evaluating ublituximab.</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were incorporated in Delaware in 1993. Our executive offices are located at 3020 Carrington Mill Blvd, Suite 475, Morrisville, North Carolina, 27560.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telephone number is 1-877-575-TGTX(8489), and our e-mail address is info@tgtxinc.com.</w:t>
      </w:r>
    </w:p>
    <w:p>
      <w:pPr>
        <w:spacing w:after="0" w:line="19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 xml:space="preserve">We maintain a website with the address www.tgtherapeutics.com and maintain various social media accounts, including but not limited to X (formerly Twitter) and LinkedIn. We also maintain websites related to BRIUMVI, including but not limited to www.BRIUMVI.com, and www.BRIUMVIPATIENTSUPPORT.com. 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We are not including the information on our website or our social media accounts as a part of, nor incorporating either by reference into, this report. The SEC maintains a website that contains annual, quarterly, and current reports, proxy statements, and other information that issuers (including us) file electronically with the SEC. The SEC’s website address is </w:t>
      </w:r>
      <w:r>
        <w:rPr>
          <w:rFonts w:ascii="Times New Roman" w:cs="Times New Roman" w:eastAsia="Times New Roman" w:hAnsi="Times New Roman"/>
          <w:sz w:val="17"/>
          <w:szCs w:val="17"/>
          <w:u w:val="single" w:color="auto"/>
          <w:color w:val="auto"/>
        </w:rPr>
        <w:t>http://www.sec.gov</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we intend to use our corporate website, SEC filings, press releases, public conference calls and webcasts as well as social media to communicate with our subscribers and the public. It is possible that the information we post on social media could be deemed to be material information. Therefore, in light of the SEC’s guidance, we encourage investors, the media and others interested in us to also review the information we post on the social media channels listed on our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a fully-integrated, commercial stage biopharmaceutical company focused on the acquisition, development and commercialization of novel treatments for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cell mediated diseases, our key corporate objectives include:</w:t>
      </w:r>
    </w:p>
    <w:p>
      <w:pPr>
        <w:spacing w:after="0" w:line="192" w:lineRule="exact"/>
        <w:rPr>
          <w:sz w:val="20"/>
          <w:szCs w:val="20"/>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commercializing BRIUMVI in the U.S. for RMS;</w:t>
      </w:r>
    </w:p>
    <w:p>
      <w:pPr>
        <w:spacing w:after="0" w:line="3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upon the BRIUMVI approval to evaluate other uses for BRIUMVI in additional MS indications and/or other autoimmune diseases;</w:t>
      </w:r>
    </w:p>
    <w:p>
      <w:pPr>
        <w:spacing w:after="0" w:line="3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expand our pipeline with mechanisms of importance to B-cell mediated diseases;</w:t>
      </w:r>
    </w:p>
    <w:p>
      <w:pPr>
        <w:spacing w:after="0" w:line="3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potential strategic collaborations to maximize the value of our programs and B-cell directed platform; and</w:t>
      </w:r>
    </w:p>
    <w:p>
      <w:pPr>
        <w:spacing w:after="0" w:line="3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our “patient first” culture as we grow our business.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Approach and Platform</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approach to drug development is centered on developing therapies for B-cell mediated diseases. Our process begins by identifying validated targets against B-cell mediated diseases, and then searching for and, ideally, acquiring what we believe to be “best-in-class” compounds with complementary mechanisms against these targets.</w:t>
      </w:r>
    </w:p>
    <w:p>
      <w:pPr>
        <w:spacing w:after="0" w:line="17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preference is to identify targets for which there is human clinical proof of concept that the mechanism is active in B-cell mediated diseases and then to identify drug candidates that effectively modulate the desired molecular target. We identify these drug candidates at academic centers of excellence or in development at biotech companies or pharmaceutical companies globally. Our current drug candidates were acquired through license agreements, collaborations, or joint ventures with biopharmaceutical companies located globally. This approach enables us to minimize target risk while looking for the best available drug candidates around the world. By focusing on B-cell mediated diseases and targets with a known activity profile, we believe that we can quickly identify the patients most likely to respond, resulting in a more efficient development path with the potential for a greater likelihood of success.</w:t>
      </w:r>
    </w:p>
    <w:p>
      <w:pPr>
        <w:spacing w:after="0" w:line="176" w:lineRule="exact"/>
        <w:rPr>
          <w:sz w:val="20"/>
          <w:szCs w:val="20"/>
          <w:color w:val="auto"/>
        </w:rPr>
      </w:pPr>
    </w:p>
    <w:p>
      <w:pPr>
        <w:ind w:firstLine="605"/>
        <w:spacing w:after="0" w:line="268" w:lineRule="auto"/>
        <w:rPr>
          <w:sz w:val="20"/>
          <w:szCs w:val="20"/>
          <w:color w:val="auto"/>
        </w:rPr>
      </w:pPr>
      <w:r>
        <w:rPr>
          <w:rFonts w:ascii="Times New Roman" w:cs="Times New Roman" w:eastAsia="Times New Roman" w:hAnsi="Times New Roman"/>
          <w:sz w:val="17"/>
          <w:szCs w:val="17"/>
          <w:color w:val="auto"/>
        </w:rPr>
        <w:t>Our approach is enabled by our clinical development platform which includes an internal team with a deep understanding of B-cell mediated diseases and significant experience successfully obtaining FDA approval for innovative treatments for these complex diseases.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AUTOIMMUNE DISEASE OVERVIEW</w:t>
      </w:r>
    </w:p>
    <w:p>
      <w:pPr>
        <w:spacing w:after="0" w:line="192" w:lineRule="exact"/>
        <w:rPr>
          <w:sz w:val="20"/>
          <w:szCs w:val="20"/>
          <w:color w:val="auto"/>
        </w:rPr>
      </w:pPr>
    </w:p>
    <w:p>
      <w:pPr>
        <w:jc w:val="both"/>
        <w:ind w:firstLine="454"/>
        <w:spacing w:after="0" w:line="254" w:lineRule="auto"/>
        <w:rPr>
          <w:sz w:val="20"/>
          <w:szCs w:val="20"/>
          <w:color w:val="auto"/>
        </w:rPr>
      </w:pPr>
      <w:r>
        <w:rPr>
          <w:rFonts w:ascii="Times New Roman" w:cs="Times New Roman" w:eastAsia="Times New Roman" w:hAnsi="Times New Roman"/>
          <w:sz w:val="17"/>
          <w:szCs w:val="17"/>
          <w:color w:val="auto"/>
        </w:rPr>
        <w:t>An autoimmune disease occurs when the body’s immune system attacks and destroys healthy body tissue by mistake. There are currently more than 80 types of autoimmune disorders that have been identified. Some of these diseases may result from inappropriate production of antibodies from the B-cells. These antibodies cannot discriminate “self” from “non-self,” and inadvertently mount a disabling immune response against normal organs. Some of these diseases may not be antibody mediated but may still result from aberrant activity of B-cells. Examples of common and very debilitating autoimmune disorders for which abnormally functioning B-cells have been implicated include multiple sclerosis (MS) and rheumatoid arthritis (RA).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Company’s current focus is on MS.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Multiple Sclerosis Overview</w:t>
      </w:r>
    </w:p>
    <w:p>
      <w:pPr>
        <w:spacing w:after="0" w:line="212" w:lineRule="exact"/>
        <w:rPr>
          <w:sz w:val="20"/>
          <w:szCs w:val="20"/>
          <w:color w:val="auto"/>
        </w:rPr>
      </w:pPr>
    </w:p>
    <w:p>
      <w:pPr>
        <w:ind w:right="20" w:firstLine="605"/>
        <w:spacing w:after="0" w:line="255" w:lineRule="auto"/>
        <w:rPr>
          <w:sz w:val="20"/>
          <w:szCs w:val="20"/>
          <w:color w:val="auto"/>
        </w:rPr>
      </w:pPr>
      <w:r>
        <w:rPr>
          <w:rFonts w:ascii="Times New Roman" w:cs="Times New Roman" w:eastAsia="Times New Roman" w:hAnsi="Times New Roman"/>
          <w:sz w:val="17"/>
          <w:szCs w:val="17"/>
          <w:color w:val="auto"/>
        </w:rPr>
        <w:t>RMS is a chronic demyelinating disease of the central nervous system (CNS) and includes people with relapsing-remitting multiple sclerosis (RRMS) and people with secondary progressive multiple sclerosis (SPMS) who continue to experience relapses. RRMS is the most common form of MS and is characterized by episodes of new or worsening signs or symptoms (relapses) followed by periods of recovery. MS is the most prevalent chronic inflammatory disease of the CNS. It is estimated that nearly 1 million people are living with MS in the United States and over 2.3 million people world-wide are living with MS.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92" w:lineRule="exact"/>
        <w:rPr>
          <w:sz w:val="20"/>
          <w:szCs w:val="20"/>
          <w:color w:val="auto"/>
        </w:rPr>
      </w:pPr>
    </w:p>
    <w:p>
      <w:pPr>
        <w:ind w:right="640" w:firstLine="605"/>
        <w:spacing w:after="0" w:line="274" w:lineRule="auto"/>
        <w:rPr>
          <w:sz w:val="20"/>
          <w:szCs w:val="20"/>
          <w:color w:val="auto"/>
        </w:rPr>
      </w:pPr>
      <w:r>
        <w:rPr>
          <w:rFonts w:ascii="Times New Roman" w:cs="Times New Roman" w:eastAsia="Times New Roman" w:hAnsi="Times New Roman"/>
          <w:sz w:val="17"/>
          <w:szCs w:val="17"/>
          <w:color w:val="auto"/>
        </w:rPr>
        <w:t>We currently license worldwide development and commercial rights, subject to certain limited geographical restrictions, for all of our products under development.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the current status for our lead drug candidates as of February 2025.</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92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Clinical Drug Candidate: (molecular target)</w:t>
            </w:r>
          </w:p>
        </w:tc>
        <w:tc>
          <w:tcPr>
            <w:tcW w:w="60" w:type="dxa"/>
            <w:vAlign w:val="bottom"/>
            <w:tcBorders>
              <w:right w:val="single" w:sz="8" w:color="auto"/>
            </w:tcBorders>
          </w:tcPr>
          <w:p>
            <w:pPr>
              <w:spacing w:after="0"/>
              <w:rPr>
                <w:sz w:val="18"/>
                <w:szCs w:val="18"/>
                <w:color w:val="auto"/>
              </w:rPr>
            </w:pP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Initial Target Disease</w:t>
            </w:r>
          </w:p>
        </w:tc>
        <w:tc>
          <w:tcPr>
            <w:tcW w:w="60" w:type="dxa"/>
            <w:vAlign w:val="bottom"/>
            <w:tcBorders>
              <w:right w:val="single" w:sz="8" w:color="auto"/>
            </w:tcBorders>
          </w:tcPr>
          <w:p>
            <w:pPr>
              <w:spacing w:after="0"/>
              <w:rPr>
                <w:sz w:val="18"/>
                <w:szCs w:val="18"/>
                <w:color w:val="auto"/>
              </w:rPr>
            </w:pPr>
          </w:p>
        </w:tc>
        <w:tc>
          <w:tcPr>
            <w:tcW w:w="33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Stage of Development</w:t>
            </w:r>
          </w:p>
        </w:tc>
      </w:tr>
      <w:tr>
        <w:trPr>
          <w:trHeight w:val="194"/>
        </w:trPr>
        <w:tc>
          <w:tcPr>
            <w:tcW w:w="3920" w:type="dxa"/>
            <w:vAlign w:val="bottom"/>
            <w:tcBorders>
              <w:bottom w:val="single" w:sz="8" w:color="auto"/>
              <w:right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Ublituximab IV (anti-CD20 mAb)</w:t>
            </w:r>
          </w:p>
        </w:tc>
        <w:tc>
          <w:tcPr>
            <w:tcW w:w="60" w:type="dxa"/>
            <w:vAlign w:val="bottom"/>
            <w:tcBorders>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RMS</w:t>
            </w:r>
          </w:p>
        </w:tc>
        <w:tc>
          <w:tcPr>
            <w:tcW w:w="60" w:type="dxa"/>
            <w:vAlign w:val="bottom"/>
            <w:tcBorders>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APPROVED</w:t>
            </w:r>
          </w:p>
        </w:tc>
      </w:tr>
      <w:tr>
        <w:trPr>
          <w:trHeight w:val="194"/>
        </w:trPr>
        <w:tc>
          <w:tcPr>
            <w:tcW w:w="3920" w:type="dxa"/>
            <w:vAlign w:val="bottom"/>
            <w:tcBorders>
              <w:left w:val="single" w:sz="8" w:color="auto"/>
              <w:bottom w:val="single" w:sz="8" w:color="auto"/>
              <w:right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Ublituximab Subcutaneous (anti-CD20 mAb)</w:t>
            </w:r>
          </w:p>
        </w:tc>
        <w:tc>
          <w:tcPr>
            <w:tcW w:w="60" w:type="dxa"/>
            <w:vAlign w:val="bottom"/>
            <w:tcBorders>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RMS</w:t>
            </w:r>
          </w:p>
        </w:tc>
        <w:tc>
          <w:tcPr>
            <w:tcW w:w="60" w:type="dxa"/>
            <w:vAlign w:val="bottom"/>
            <w:tcBorders>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Phase 1 trial</w:t>
            </w:r>
          </w:p>
        </w:tc>
      </w:tr>
      <w:tr>
        <w:trPr>
          <w:trHeight w:val="198"/>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Azer-cel</w:t>
            </w:r>
          </w:p>
        </w:tc>
        <w:tc>
          <w:tcPr>
            <w:tcW w:w="314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Auto-immune disorders</w:t>
            </w:r>
          </w:p>
        </w:tc>
        <w:tc>
          <w:tcPr>
            <w:tcW w:w="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Phase 1</w:t>
            </w:r>
          </w:p>
        </w:tc>
      </w:tr>
      <w:tr>
        <w:trPr>
          <w:trHeight w:val="396"/>
        </w:trPr>
        <w:tc>
          <w:tcPr>
            <w:tcW w:w="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8"/>
              </w:rPr>
              <w:t>BRIUMVI​</w:t>
            </w:r>
          </w:p>
        </w:tc>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(ublituximab-xiiy) Overview</w:t>
            </w:r>
          </w:p>
        </w:tc>
        <w:tc>
          <w:tcPr>
            <w:tcW w:w="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-807720</wp:posOffset>
            </wp:positionV>
            <wp:extent cx="31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-671830</wp:posOffset>
            </wp:positionV>
            <wp:extent cx="3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4980305</wp:posOffset>
            </wp:positionH>
            <wp:positionV relativeFrom="paragraph">
              <wp:posOffset>-807720</wp:posOffset>
            </wp:positionV>
            <wp:extent cx="3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4980305</wp:posOffset>
            </wp:positionH>
            <wp:positionV relativeFrom="paragraph">
              <wp:posOffset>-671830</wp:posOffset>
            </wp:positionV>
            <wp:extent cx="3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-535305</wp:posOffset>
            </wp:positionV>
            <wp:extent cx="3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-399415</wp:posOffset>
            </wp:positionV>
            <wp:extent cx="3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4980305</wp:posOffset>
            </wp:positionH>
            <wp:positionV relativeFrom="paragraph">
              <wp:posOffset>-535305</wp:posOffset>
            </wp:positionV>
            <wp:extent cx="3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4980305</wp:posOffset>
            </wp:positionH>
            <wp:positionV relativeFrom="paragraph">
              <wp:posOffset>-399415</wp:posOffset>
            </wp:positionV>
            <wp:extent cx="3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66" w:lineRule="exact"/>
        <w:rPr>
          <w:sz w:val="20"/>
          <w:szCs w:val="20"/>
          <w:color w:val="auto"/>
        </w:rPr>
      </w:pPr>
    </w:p>
    <w:p>
      <w:pPr>
        <w:ind w:right="180" w:firstLine="605"/>
        <w:spacing w:after="0" w:line="261" w:lineRule="auto"/>
        <w:rPr>
          <w:sz w:val="20"/>
          <w:szCs w:val="20"/>
          <w:color w:val="auto"/>
        </w:rPr>
      </w:pPr>
      <w:r>
        <w:rPr>
          <w:rFonts w:ascii="Times New Roman" w:cs="Times New Roman" w:eastAsia="Times New Roman" w:hAnsi="Times New Roman"/>
          <w:sz w:val="17"/>
          <w:szCs w:val="17"/>
          <w:color w:val="auto"/>
        </w:rPr>
        <w:t>BRIUMVI is an anti-CD20 monoclonal antibody that can be administered to adults with RMS in a one-hour infusion every 24 weeks, following the starting dose. BRIUMVI received approval by the FDA on December 28, 2022 for the treatment of adults with RMS, including clinically isolated syndrome, relapsing-remitting disease, and active secondary progressive disease based on results from the ULTIMATE I &amp; II Phase 3 trials.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Late-Stage Clinical Development of Ublituximab-xiiy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ULTIMATE I &amp; II Trials Evaluating Single Agent Ublituximab in RMS</w:t>
      </w:r>
    </w:p>
    <w:p>
      <w:pPr>
        <w:spacing w:after="0" w:line="212" w:lineRule="exact"/>
        <w:rPr>
          <w:sz w:val="20"/>
          <w:szCs w:val="20"/>
          <w:color w:val="auto"/>
        </w:rPr>
      </w:pPr>
    </w:p>
    <w:p>
      <w:pPr>
        <w:jc w:val="both"/>
        <w:ind w:right="20" w:firstLine="605"/>
        <w:spacing w:after="0" w:line="256" w:lineRule="auto"/>
        <w:rPr>
          <w:sz w:val="20"/>
          <w:szCs w:val="20"/>
          <w:color w:val="auto"/>
        </w:rPr>
      </w:pPr>
      <w:r>
        <w:rPr>
          <w:rFonts w:ascii="Times New Roman" w:cs="Times New Roman" w:eastAsia="Times New Roman" w:hAnsi="Times New Roman"/>
          <w:sz w:val="17"/>
          <w:szCs w:val="17"/>
          <w:color w:val="auto"/>
        </w:rPr>
        <w:t>ULTIMATE I and ULTIMATE II are two independent Phase 3 trials. Each trial is a global, randomized, multi-center, double-blinded, double-dummy, active-controlled study evaluating the efficacy and safety/tolerability of ublituximab-xiiy (450mg dose administered by one hour intravenous infusion every six months, following a Day 1 infusion of 150mg over four hours, and a Day 15 infusion of 450mg over one hour) to teriflunomide (14mg oral tablets taken once daily) in subjects with RMS. The primary endpoint for each study was ARR following 96 weeks of treatment.</w:t>
      </w:r>
    </w:p>
    <w:p>
      <w:pPr>
        <w:spacing w:after="0" w:line="175" w:lineRule="exact"/>
        <w:rPr>
          <w:sz w:val="20"/>
          <w:szCs w:val="20"/>
          <w:color w:val="auto"/>
        </w:rPr>
      </w:pPr>
    </w:p>
    <w:p>
      <w:pPr>
        <w:jc w:val="both"/>
        <w:ind w:right="20" w:firstLine="605"/>
        <w:spacing w:after="0" w:line="256" w:lineRule="auto"/>
        <w:rPr>
          <w:sz w:val="20"/>
          <w:szCs w:val="20"/>
          <w:color w:val="auto"/>
        </w:rPr>
      </w:pPr>
      <w:r>
        <w:rPr>
          <w:rFonts w:ascii="Times New Roman" w:cs="Times New Roman" w:eastAsia="Times New Roman" w:hAnsi="Times New Roman"/>
          <w:sz w:val="17"/>
          <w:szCs w:val="17"/>
          <w:color w:val="auto"/>
        </w:rPr>
        <w:t>In December 2020, we announced positive topline results from the ULTIMATE I &amp; II trials. Both studies met their primary endpoint of significantly reducing ARR over a 96-week period (p&lt;0.005 in each study) with ublituximab-xiiy demonstrating an ARR of &lt;0.10 in each of the studies. Relative reductions of approximately 60% and 50% in ARR over teriflunomide were observed in ULTIMATE I &amp; II, respectively. Key secondary magnetic resonance imaging (MRI) endpoints were also met.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August 22, 2022, the full results from the ULTIMATE I &amp; II trials were published in the New England Journal of Medicine.</w:t>
      </w:r>
    </w:p>
    <w:p>
      <w:pPr>
        <w:spacing w:after="0" w:line="208" w:lineRule="exact"/>
        <w:rPr>
          <w:sz w:val="20"/>
          <w:szCs w:val="20"/>
          <w:color w:val="auto"/>
        </w:rPr>
      </w:pPr>
    </w:p>
    <w:p>
      <w:pPr>
        <w:jc w:val="both"/>
        <w:ind w:right="20" w:firstLine="605"/>
        <w:spacing w:after="0" w:line="274" w:lineRule="auto"/>
        <w:rPr>
          <w:sz w:val="20"/>
          <w:szCs w:val="20"/>
          <w:color w:val="auto"/>
        </w:rPr>
      </w:pPr>
      <w:r>
        <w:rPr>
          <w:rFonts w:ascii="Times New Roman" w:cs="Times New Roman" w:eastAsia="Times New Roman" w:hAnsi="Times New Roman"/>
          <w:sz w:val="17"/>
          <w:szCs w:val="17"/>
          <w:color w:val="auto"/>
        </w:rPr>
        <w:t>On February 27, 2024, we announced the issuance of three additional patents by the United States Patent and Trademark Office (USPTO) for BRIUMVI, which extended patent protection through 2042.</w:t>
      </w:r>
    </w:p>
    <w:p>
      <w:pPr>
        <w:spacing w:after="0" w:line="159" w:lineRule="exact"/>
        <w:rPr>
          <w:sz w:val="20"/>
          <w:szCs w:val="20"/>
          <w:color w:val="auto"/>
        </w:rPr>
      </w:pPr>
    </w:p>
    <w:p>
      <w:pPr>
        <w:jc w:val="both"/>
        <w:ind w:right="20" w:firstLine="605"/>
        <w:spacing w:after="0" w:line="254" w:lineRule="auto"/>
        <w:rPr>
          <w:sz w:val="20"/>
          <w:szCs w:val="20"/>
          <w:color w:val="auto"/>
        </w:rPr>
      </w:pPr>
      <w:r>
        <w:rPr>
          <w:rFonts w:ascii="Times New Roman" w:cs="Times New Roman" w:eastAsia="Times New Roman" w:hAnsi="Times New Roman"/>
          <w:sz w:val="17"/>
          <w:szCs w:val="17"/>
          <w:color w:val="auto"/>
        </w:rPr>
        <w:t>In September 2024 we presented new five-year data from the ULTIMATE I &amp; II Phase 3 trials evaluating BRIUMVI® (ublituximab-xiiy) in patients with RMS, at the 2024 European Committee for Treatment and Research in Multiple Sclerosis (ECTRIMS) annual meeting. These data demonstrate that 92% of patients with RMS were free from disability progression after five years of BRIUMVI treatment, the annualized relapse rate during year five of treatment was 0.02 (equivalent to one relapse occurring every fifty years of patient treatment), and the overall safety profile remained consistent over five years of continuous treatment, with no new safety signals emerging with prolonged treatment.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ENHANCE Phase 3b Trial</w:t>
      </w:r>
    </w:p>
    <w:p>
      <w:pPr>
        <w:spacing w:after="0" w:line="212"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The ENHANCE Phase 3b trial is an ongoing, multi-center, open-label study designed to evaluate alternative dosing regimens for BRIUMVI in patients with RMS. The first data from the ENHANCE trial were presented at the 2023 ECTRIMS annual meeting and updated data were also presented at the 2024 ECTRIMS annual meeting and most recently at the Americas Committee for Treatment and Research (ACTRIMS) annual meeting held in February of 2025. These data showed rapid 30-minute infusions of BRIUMVI were well tolerated in patients with RMS and infusion related reactions in these patients were generally mild and resolved completely. The data also demonstrated that RMS patients who are already B-cell depleted were able to switch from a prior anti-CD20 therapy directly to a full 450 mg dose of BRIUMVI administered in 1 hour as an initial infusion, without a 150 mg initial dose.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U.S. Commercialization of BRIUMVI (ublituximab-xiiy)</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left="20" w:firstLine="605"/>
        <w:spacing w:after="0" w:line="251" w:lineRule="auto"/>
        <w:rPr>
          <w:sz w:val="20"/>
          <w:szCs w:val="20"/>
          <w:color w:val="auto"/>
        </w:rPr>
      </w:pPr>
      <w:r>
        <w:rPr>
          <w:rFonts w:ascii="Times New Roman" w:cs="Times New Roman" w:eastAsia="Times New Roman" w:hAnsi="Times New Roman"/>
          <w:sz w:val="17"/>
          <w:szCs w:val="17"/>
          <w:color w:val="auto"/>
        </w:rPr>
        <w:t>On December 28, 2022, BRIUMVI received approval by the FDA for the treatment of adults with RMS, including clinically isolated syndrome, relapsing-remitting disease, and active secondary progressive disease based on results from the ULTIMATE I &amp; II Phase 3 trials. In January 26, 2023, we announced the U.S. commercial launch of BRIUMVI, making it available to physicians and patients.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Ex-U.S. Commercialization of BRIUMVI</w:t>
      </w:r>
    </w:p>
    <w:p>
      <w:pPr>
        <w:spacing w:after="0" w:line="212"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7"/>
          <w:szCs w:val="17"/>
          <w:color w:val="auto"/>
        </w:rPr>
        <w:t>On June 1, 2023, we announced that the EC granted approval of BRIUMVI for the treatment of adult patients with RMS who have active disease defined by clinical or imaging features. With this approval, the centralized marketing authorization is valid in all EU member states, Iceland, Norway and Liechtenstein.</w:t>
      </w:r>
    </w:p>
    <w:p>
      <w:pPr>
        <w:spacing w:after="0" w:line="159" w:lineRule="exact"/>
        <w:rPr>
          <w:sz w:val="20"/>
          <w:szCs w:val="20"/>
          <w:color w:val="auto"/>
        </w:rPr>
      </w:pPr>
    </w:p>
    <w:p>
      <w:pPr>
        <w:jc w:val="both"/>
        <w:ind w:left="20" w:firstLine="605"/>
        <w:spacing w:after="0" w:line="251" w:lineRule="auto"/>
        <w:rPr>
          <w:sz w:val="20"/>
          <w:szCs w:val="20"/>
          <w:color w:val="auto"/>
        </w:rPr>
      </w:pPr>
      <w:r>
        <w:rPr>
          <w:rFonts w:ascii="Times New Roman" w:cs="Times New Roman" w:eastAsia="Times New Roman" w:hAnsi="Times New Roman"/>
          <w:sz w:val="17"/>
          <w:szCs w:val="17"/>
          <w:color w:val="auto"/>
        </w:rPr>
        <w:t>On August 1, 2023, we entered into a Commercialization Agreement with Neuraxpharm, a leading European specialty pharmaceutical company focused on the treatment of CNS disorders, for the ex-US commercialization of BRIUMVI. Under the terms of the commercialization agreement, we received an upfront payment of $140 million and $12.5 million upon launch in the first EU country. We are eligible to receive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certain territories outside the United States, Canada and Mexico, the commercialization rights for which had been previously retained by TG, thus excluding certain Asian countries subject to previously existing partnerships. We retain an option to buy back all rights under the Commercialization Agreement for a period of two years in the event of a change in control of TG.</w:t>
      </w:r>
    </w:p>
    <w:p>
      <w:pPr>
        <w:spacing w:after="0" w:line="180"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7"/>
          <w:szCs w:val="17"/>
          <w:color w:val="auto"/>
        </w:rPr>
        <w:t>On November 1, 2023, we announced that we also received approval by the MHRA for BRIUMVI to treat adult patients with RMS with active disease defined by clinical or imaging features in the UK.</w:t>
      </w:r>
    </w:p>
    <w:p>
      <w:pPr>
        <w:spacing w:after="0" w:line="159"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7"/>
          <w:szCs w:val="17"/>
          <w:color w:val="auto"/>
        </w:rPr>
        <w:t>On February 26, 2024, we announced the commercial launch of BRIUMVI in the European Union (EU). BRIUMVI was first made available in the European market by Neuraxpharm in Germany and is now commercially available in several other countries in the European Union and the United Kingdom.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Subcutaneous Ublituximab Overview</w:t>
      </w:r>
    </w:p>
    <w:p>
      <w:pPr>
        <w:spacing w:after="0" w:line="212"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In August 2024, we announced the initiation of a Phase 1 clinical trial evaluating subcutaneous ublituximab in patients with RMS. In January 2025, at the Annual J.P. Morgan Healthcare Conference we announced our plans to commence a pivotal program in 2025 evaluating subcutaneous ublituximab with an expected dosing frequency of at least every other month.</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TG-1701 (BTK inhibitor) Overview</w:t>
      </w:r>
    </w:p>
    <w:p>
      <w:pPr>
        <w:spacing w:after="0" w:line="212"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7"/>
          <w:szCs w:val="17"/>
          <w:color w:val="auto"/>
        </w:rPr>
        <w:t>TG-1701 is a novel, orally available and covalently-bound Bruton’s tyrosine kinase (BTK) inhibitor that exhibits strong selectivity to BTK in in vitro kinase screening.</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B-cell receptor (BCR) signaling is crucial for normal B-cell development and supports the survival and growth of  B-cells.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 evaluated TG-1701 in a Phase 1, multi-center, dose-escalation clinical trial in patients with B-cell malignancies, which is now closed. Data from this trial were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presented at the 2021 American Society of Hematology (ASH) annual meeting.</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Azercabtagene Zapreleucel (azer-cel)</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Azer-cel is an allogeneic (off-the-shelf) CD19-directed CAR T cell therapy under development by the Company for autoimmune diseases. Made from donor-derived T cells modified using a proprietary ARCUS genome editing technology, azer-cel recognizes the well characterized B-cell surface protein CD19, an important and validated target in several B-cell cancers and autoimmune diseases. Azer-cel is designed to avoid graft-versus-host disease (GvHD), a significant complication associated with other donor-derived, cell-based therapies. In August 2024, we announced FDA clearance of the IND for azer-cel for the treatment of progressive forms of 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AND PATENTS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also depend upon the skills, knowledge and experience of our scientific and technical personnel, as well as that of our advisors, consultants and other contractors. This knowledge, trade secrets, proprietary information and experience we call “know-how.” To help protect our proprietary know-how, which is not patentable, and for inventions for which patents may be difficult to enforce, we rely on trade secret protection and confidentiality agreements to protect our interests. To this end, we seek to protect our proprietary technology and processes, in part, by entering into confidentiality agreements with our collaborators, scientific advisors, employees and consultants, and invention assignment agreements with our employees and consultants. There can be no assurance, however, that we can prevent unauthorized disclosure or use of our trade secrets, know-how and proprietary information despite the existence of confidentiality agreements.</w:t>
      </w:r>
    </w:p>
    <w:p>
      <w:pPr>
        <w:spacing w:after="0" w:line="176" w:lineRule="exact"/>
        <w:rPr>
          <w:sz w:val="20"/>
          <w:szCs w:val="20"/>
          <w:color w:val="auto"/>
        </w:rPr>
      </w:pPr>
    </w:p>
    <w:p>
      <w:pPr>
        <w:jc w:val="both"/>
        <w:ind w:firstLine="649"/>
        <w:spacing w:after="0" w:line="254" w:lineRule="auto"/>
        <w:rPr>
          <w:sz w:val="20"/>
          <w:szCs w:val="20"/>
          <w:color w:val="auto"/>
        </w:rPr>
      </w:pPr>
      <w:r>
        <w:rPr>
          <w:rFonts w:ascii="Times New Roman" w:cs="Times New Roman" w:eastAsia="Times New Roman" w:hAnsi="Times New Roman"/>
          <w:sz w:val="17"/>
          <w:szCs w:val="17"/>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issued patents and pending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Generally, patent applications in the U.S. are maintained in secrecy for a period of 18 months or more. Since publication of discoveries in the scientific or patent literature often lags behind actual discoveries, we are not certain that we were the first to make the inventions covered by each of our issued patents and pending patent applications or that we were the first to file patent applications covering such inventions. The patent positions of biotechnology and pharmaceutical companies are highly uncertain and involve complex legal and factual questions. To date, there has been no consistent policy regarding the breadth of claims allowed in biotechnology patents. Therefore, we cannot predict the breadth of claims that may be ultimately allowed from our pending patent applications, cannot predict whether the claims in our issued patents will be invalidated or modified through the district courts, Patent Trial and Appeal Board (PTAB) proceedings, or reexamination proceedings at the United States Patent and Trademark Office (USPTO), and thus cannot predict the enforceability of the claims in our issued patents or the claims that may ultimately issue from our pending patent applications. Third parties or competitors may challenge or circumvent our patents or patent applications, if issued. If our competitors prepare and file patent applications in the U.S. that claim technology also claimed by us in a pending patent application or issued patent, we may have to participate in interference proceedings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 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37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Patent Term Restoration and Marketing Exclusivity</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firstLine="605"/>
        <w:spacing w:after="0" w:line="248" w:lineRule="auto"/>
        <w:rPr>
          <w:sz w:val="20"/>
          <w:szCs w:val="20"/>
          <w:color w:val="auto"/>
        </w:rPr>
      </w:pPr>
      <w:r>
        <w:rPr>
          <w:rFonts w:ascii="Times New Roman" w:cs="Times New Roman" w:eastAsia="Times New Roman" w:hAnsi="Times New Roman"/>
          <w:sz w:val="17"/>
          <w:szCs w:val="17"/>
          <w:color w:val="auto"/>
        </w:rPr>
        <w:t>Depending upon the timing, duration and specifics of any FDA approval of our drug candidates, some of our U.S. patents may be eligible for limited patent term extension under the Drug Price Competition and Patent Term Restoration Act of 1984, commonly referred to as the Hatch-Waxman Act. The Hatch-Waxman Act permits restoration of the term of certain types of patents for up to five years as compensation for patent term lost during the FDA regulatory review process. However, patent term restoration cannot extend the remaining term of a patent beyond a total of 14 years from the product’s approval date. The patent term restoration period is generally one-half the time between the effective date of an Investigational New Drug (IND) application and the submission date of a New Drug Application (NDA) or BLA plus the time between the submission date of an NDA or BLA and the approval of that application. The calculation is subject to several subtractions for any portion of the regulatory review process that occurred before the date the patent was issued and any portion during which the FDA determined a lack of due diligence. Only one patent applicable to an approved drug is eligible for the extension and the application for the extension must be submitted prior to the expiration of the patent, and within 60 days of a product’s approval. The USPTO, in consultation with the FDA, reviews and approves the application for any patent term extension. Moreover, a patent can only be extended once, and thus, if a single patent is applicable to multiple products, it can only be extended based on one product. Following the approval of BRIUMVI in the U.S., we have applied for patent term extensions for certain of our issued U.S. patents covering our product and/or their methods of use. Similar provisions are available in Europe and certain other foreign jurisdictions to extend the term of a patent that covers an approved drug and have been filed for and granted in certain European Patent (EP) countries.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firstLine="605"/>
        <w:spacing w:after="0" w:line="250" w:lineRule="auto"/>
        <w:rPr>
          <w:sz w:val="20"/>
          <w:szCs w:val="20"/>
          <w:color w:val="auto"/>
        </w:rPr>
      </w:pPr>
      <w:r>
        <w:rPr>
          <w:rFonts w:ascii="Times New Roman" w:cs="Times New Roman" w:eastAsia="Times New Roman" w:hAnsi="Times New Roman"/>
          <w:sz w:val="17"/>
          <w:szCs w:val="17"/>
          <w:color w:val="auto"/>
        </w:rPr>
        <w:t>Also, under the Hatch-Waxman Act, drugs that are new chemical entities (NCEs) are eligible for a five-year period of marketing exclusivity in the United States. During the exclusivity period, the FDA may not accept for review an abbreviated new drug application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Hatch-Waxman Act also provides three years of marketing exclusivity for a drug product that contains an active moiety that has been previously approved,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During this period, FDA will not approve an application filed by a third party for the protected conditions of use that relies on any of the data from the new clinical investigations that was submitted by the innovator company. Five-year and three-year exclusivity will not delay the submission or approval of a full NDA that does not rely on the innovator company’s data. ​</w:t>
      </w:r>
    </w:p>
    <w:p>
      <w:pPr>
        <w:spacing w:after="0" w:line="197" w:lineRule="exact"/>
        <w:rPr>
          <w:sz w:val="20"/>
          <w:szCs w:val="20"/>
          <w:color w:val="auto"/>
        </w:rPr>
      </w:pPr>
    </w:p>
    <w:p>
      <w:pPr>
        <w:ind w:firstLine="605"/>
        <w:spacing w:after="0" w:line="247"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(BPCIA) created an abbreviated pathway for companies to bring biologic drugs to market that are biosimilar to previously approved branded reference products by relying on clinical studies that were performed by the reference product sponsor. The BPCIA also created a 12-year period of data exclusivity for innovator biologics, whereby the FDA cannot approve a biological license application (BLA) for a biosimilar product relying on data for a specific reference product until 12 years after the reference product is first licensed. BLA supplements are not eligible for any additional exclusivity. The objectives of the BPCIA are conceptually similar to those of the Hatch-Waxman Act. The implementation of an abbreviated approval pathway for biosimilar products is under the direction of the FDA. Since the enactment of the BPCIA, the FDA has issued guidance on biosimilars, addressing scientific, quality and procedural issues relevant to an abbreviated application for a biosimilar product. As of December 2024, the FDA had approved 60 biosimilar products. ​</w:t>
      </w:r>
    </w:p>
    <w:p>
      <w:pPr>
        <w:spacing w:after="0" w:line="4"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or those companies from which we have licensed our drug candidates, file patent applications directed to our drug candidates in an effort to establish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intellectual property positions regarding these new chemical entities as well as uses of these new chemical entities in the treatment of diseases. We also file patent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applications directed to novel combinations of our drugs together and with drugs developed by others. The intellectual property portfolios for our most advanced drug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candidates as of February 2025 are summarized below. Each of these portfolios contains one or more pending patent applications covering our products and product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candidates and uses and combinations thereof. For those patents, prosecution is in progress. Prosecution is a lengthy process, during which the scope of the claims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initially submitted for examination by the USPTO is often significantly narrowed by the time they issue, if they issue at all. This may be the case with respect to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pending patent applications referred to below.</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BRIUMVI (ublituximab-xiiy)</w:t>
      </w:r>
    </w:p>
    <w:p>
      <w:pPr>
        <w:spacing w:after="0" w:line="212"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Pursuant to our license for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applications include composition of matter patents relating to the structure and mechanism of action for ublituximab, as well as method of use patents which cover use of ublituximab in combination with various agents and for various therapeutic indications.</w:t>
      </w:r>
    </w:p>
    <w:p>
      <w:pPr>
        <w:spacing w:after="0" w:line="175"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Our earliest in time patent family relates to compositions of matter for ublituximab, which have issued in the U.S., Europe and other jurisdictions, including Australia, Canada, China, Japan, Korea and India. The expected expiration for the composition of matter patent in the U.S. is 2029 and in Europe and other non-U.S. jurisdictions, exclusive of patent term extensions which could result in later expiration dates, is 2025.</w:t>
      </w:r>
    </w:p>
    <w:p>
      <w:pPr>
        <w:spacing w:after="0" w:line="169" w:lineRule="exact"/>
        <w:rPr>
          <w:sz w:val="20"/>
          <w:szCs w:val="20"/>
          <w:color w:val="auto"/>
        </w:rPr>
      </w:pPr>
    </w:p>
    <w:p>
      <w:pPr>
        <w:jc w:val="both"/>
        <w:ind w:left="20" w:firstLine="605"/>
        <w:spacing w:after="0" w:line="254" w:lineRule="auto"/>
        <w:rPr>
          <w:sz w:val="20"/>
          <w:szCs w:val="20"/>
          <w:color w:val="auto"/>
        </w:rPr>
      </w:pPr>
      <w:r>
        <w:rPr>
          <w:rFonts w:ascii="Times New Roman" w:cs="Times New Roman" w:eastAsia="Times New Roman" w:hAnsi="Times New Roman"/>
          <w:sz w:val="17"/>
          <w:szCs w:val="17"/>
          <w:color w:val="auto"/>
        </w:rPr>
        <w:t>Our most recently filed patent family relates to compositions of matter comprising ublituximab, methods of manufacturing those compositions and methods for treating multiple sclerosis using those compositions. This family includes four issued U.S. patents and two pending U.S. applications. We also have patent applications pending in this family in the U.S., Argentina, the EU, Taiwan, United Arab Emirates, Australia, Brazil, Canada, China, Hong Kong, Israel, India, Japan, Korea, Kuwait, Mexico, and Saudi Arabia. Any patents issuing from this family may first begin to expire as early as 2042, not accounting for any patent term adjustment or extensions or terminal disclaimers, and assuming that all applicable annuity and/or maintenance fees are paid timely</w:t>
      </w:r>
      <w:r>
        <w:rPr>
          <w:rFonts w:ascii="Times New Roman" w:cs="Times New Roman" w:eastAsia="Times New Roman" w:hAnsi="Times New Roman"/>
          <w:sz w:val="17"/>
          <w:szCs w:val="17"/>
          <w:u w:val="single" w:color="auto"/>
          <w:color w:val="auto"/>
        </w:rPr>
        <w:t>.</w:t>
      </w:r>
    </w:p>
    <w:p>
      <w:pPr>
        <w:spacing w:after="0" w:line="176" w:lineRule="exact"/>
        <w:rPr>
          <w:sz w:val="20"/>
          <w:szCs w:val="20"/>
          <w:color w:val="auto"/>
        </w:rPr>
      </w:pPr>
    </w:p>
    <w:p>
      <w:pPr>
        <w:ind w:left="160" w:firstLine="454"/>
        <w:spacing w:after="0" w:line="257" w:lineRule="auto"/>
        <w:rPr>
          <w:sz w:val="20"/>
          <w:szCs w:val="20"/>
          <w:color w:val="auto"/>
        </w:rPr>
      </w:pPr>
      <w:r>
        <w:rPr>
          <w:rFonts w:ascii="Times New Roman" w:cs="Times New Roman" w:eastAsia="Times New Roman" w:hAnsi="Times New Roman"/>
          <w:sz w:val="17"/>
          <w:szCs w:val="17"/>
          <w:color w:val="auto"/>
        </w:rPr>
        <w:t>In the U.S., the Biologics Price Competition and Innovation Act provides that BRIUMVI is eligible for 12 years of market exclusivity from the date of BRIUMVI’s U.S. approval. During this 12-year period a biosimilar product that references our BRIUMVI product cannot be approved.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TG-1701 (BTK inhibitor)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left="20" w:firstLine="605"/>
        <w:spacing w:after="0" w:line="250" w:lineRule="auto"/>
        <w:rPr>
          <w:sz w:val="20"/>
          <w:szCs w:val="20"/>
          <w:color w:val="auto"/>
        </w:rPr>
      </w:pPr>
      <w:r>
        <w:rPr>
          <w:rFonts w:ascii="Times New Roman" w:cs="Times New Roman" w:eastAsia="Times New Roman" w:hAnsi="Times New Roman"/>
          <w:sz w:val="17"/>
          <w:szCs w:val="17"/>
          <w:color w:val="auto"/>
        </w:rPr>
        <w:t>Pursuant to our license agreement with Jiangsu Hengrui Medicine Co. (Hengrui), we have the exclusive commercial rights in the treatment of hematologic cancers to a patent family which covers the composition of matter and proposed methods of use for various therapeutic indications in the U.S. and certain other countries. Patents directed to the compound have granted in the U.S., Europe, and other jurisdictions, including Australia, Canada, Japan, China, and Korea and are expected to expire no sooner than October 2034. Applications are pending in other jurisdictions.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TG-1801 (anti-CD47/anti-CD19 bispecific antibody)</w:t>
      </w:r>
    </w:p>
    <w:p>
      <w:pPr>
        <w:spacing w:after="0" w:line="212"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Pursuant to our joint venture and license option agreement with Novimmune SA (Novimmune), we maintain an exclusive option, exercisable at specific times during development, to license the commercial rights to a series of global patent applications and patents, and the non-exclusive right to certain technology patent applications. Patents directed to a bispecific antibody have issued in Australia, China, Europe, Japan, and Russia and are pending in other jurisdictions including the U.S. Any patents maturing from these pending applications are expected to expire no sooner than December 2033.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Azer-Cel (allogeneic CD19 CAR 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Pursuant to our license agreement with Precision, we have an exclusive license to develop and commercialize Precision’s azer-cel for the treatment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autoimmune and other non-oncology diseases and conditions as well as a non-exclusive license to manufacture azer-cel. The license agreement includes non-exclusive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rights to a series of patents and patent applications in the U.S. and in multiple countries around the world, as well as non-exclusive rights to additional background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 rights. These patents and patent applications include composition of matter patents relating to azer-cel, as well as method of use patents which cover use of azer-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Limitations on Patent Rights and Trade Secrets</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patent rights that we own or have licensed relating to our product candidates are limited in ways that may affect our ability to exclude third parties from</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competing against us if we obtain regulatory approval to market these product candidates. See “</w:t>
      </w:r>
      <w:r>
        <w:rPr>
          <w:rFonts w:ascii="Times New Roman" w:cs="Times New Roman" w:eastAsia="Times New Roman" w:hAnsi="Times New Roman"/>
          <w:sz w:val="17"/>
          <w:szCs w:val="17"/>
          <w:i w:val="1"/>
          <w:iCs w:val="1"/>
          <w:color w:val="auto"/>
        </w:rPr>
        <w:t>Item 1A</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Risk Factors - Risks Related to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Intellectual</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Property.</w:t>
      </w:r>
      <w:r>
        <w:rPr>
          <w:rFonts w:ascii="Times New Roman" w:cs="Times New Roman" w:eastAsia="Times New Roman" w:hAnsi="Times New Roman"/>
          <w:sz w:val="17"/>
          <w:szCs w:val="17"/>
          <w:color w:val="auto"/>
        </w:rPr>
        <w:t>” In addition, the limited patent protection may adversely affect the value of our products or product candidates and may inhibit our ability to obtain a</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corporate partner at terms acceptable to us, if at all.</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left="40" w:firstLine="605"/>
        <w:spacing w:after="0" w:line="250" w:lineRule="auto"/>
        <w:rPr>
          <w:sz w:val="20"/>
          <w:szCs w:val="20"/>
          <w:color w:val="auto"/>
        </w:rPr>
      </w:pPr>
      <w:r>
        <w:rPr>
          <w:rFonts w:ascii="Times New Roman" w:cs="Times New Roman" w:eastAsia="Times New Roman" w:hAnsi="Times New Roman"/>
          <w:sz w:val="17"/>
          <w:szCs w:val="17"/>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LICENSING AGREEMENTS AND COLLABORATIONS</w:t>
      </w:r>
    </w:p>
    <w:p>
      <w:pPr>
        <w:spacing w:after="0" w:line="212" w:lineRule="exact"/>
        <w:rPr>
          <w:sz w:val="20"/>
          <w:szCs w:val="20"/>
          <w:color w:val="auto"/>
        </w:rPr>
      </w:pPr>
    </w:p>
    <w:p>
      <w:pPr>
        <w:ind w:left="180" w:firstLine="605"/>
        <w:spacing w:after="0" w:line="257" w:lineRule="auto"/>
        <w:rPr>
          <w:sz w:val="20"/>
          <w:szCs w:val="20"/>
          <w:color w:val="auto"/>
        </w:rPr>
      </w:pPr>
      <w:r>
        <w:rPr>
          <w:rFonts w:ascii="Times New Roman" w:cs="Times New Roman" w:eastAsia="Times New Roman" w:hAnsi="Times New Roman"/>
          <w:sz w:val="17"/>
          <w:szCs w:val="17"/>
          <w:color w:val="auto"/>
        </w:rPr>
        <w:t>We have formed strategic alliances with a number of companies for the manufacture and commercialization of our products. Our current key strategic alliances are discussed below.</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BRIUMVI (ublituximab-xiiy)</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LFB Biotechnologies S.A.S, GTC Biotherapeutics, LFB/GTC LLC.</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left="40" w:firstLine="605"/>
        <w:spacing w:after="0" w:line="248" w:lineRule="auto"/>
        <w:rPr>
          <w:sz w:val="20"/>
          <w:szCs w:val="20"/>
          <w:color w:val="auto"/>
        </w:rPr>
      </w:pPr>
      <w:r>
        <w:rPr>
          <w:rFonts w:ascii="Times New Roman" w:cs="Times New Roman" w:eastAsia="Times New Roman" w:hAnsi="Times New Roman"/>
          <w:sz w:val="17"/>
          <w:szCs w:val="17"/>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As of December 31, 2024, we have incurred expenses of approximately $31.0 million related to milestones in accordance with the terms of the LFB License Agreement. LFB Group is eligible to receive royalty payments on net sales of ublituximab at a royalty rate in the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Ildong Pharmaceutical Co. Ltd.(Ildong)</w:t>
      </w:r>
    </w:p>
    <w:p>
      <w:pPr>
        <w:spacing w:after="0" w:line="212" w:lineRule="exact"/>
        <w:rPr>
          <w:sz w:val="20"/>
          <w:szCs w:val="20"/>
          <w:color w:val="auto"/>
        </w:rPr>
      </w:pPr>
    </w:p>
    <w:p>
      <w:pPr>
        <w:jc w:val="both"/>
        <w:ind w:left="40" w:firstLine="605"/>
        <w:spacing w:after="0" w:line="251" w:lineRule="auto"/>
        <w:rPr>
          <w:sz w:val="20"/>
          <w:szCs w:val="20"/>
          <w:color w:val="auto"/>
        </w:rPr>
      </w:pPr>
      <w:r>
        <w:rPr>
          <w:rFonts w:ascii="Times New Roman" w:cs="Times New Roman" w:eastAsia="Times New Roman" w:hAnsi="Times New Roman"/>
          <w:sz w:val="17"/>
          <w:szCs w:val="17"/>
          <w:color w:val="auto"/>
        </w:rPr>
        <w:t>In November 2012, we entered into an exclusive (within the territory) sublicense agreement with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To date, we have received $2 million in the form of an upfront payment from Ildong and are eligible to receive sales-based milestone payments up to an aggregate of $5 million and royalty payments on net sales of ublituximab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Neuraxpharm</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August 2023, we entered into a Commercialization Agreement with Neuraxpharm, for the ex-U.S. commercialization of BRIUMVI. Under the terms of the Commercialization Agreement, we received an upfront payment of $140 million and an additional $12.5 million upon launch in the first EU country. We are eligible to receive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certain territories outside the United States, Canada and Mexico, the commercialization rights for which had been previously retained by TG, thus excluding certain Asian countries subject to previously existing partnerships. We retain an option to buy back all rights under the Commercialization Agreement for a period of two years in the event of a change in control of TG.</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68580</wp:posOffset>
            </wp:positionV>
            <wp:extent cx="714121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TG-1701 (BTK inhibitor)</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In January 2018, we entered into a global exclusive license agreement with Jiangsu Hengrui, to acquire worldwide intellectual property rights, excluding Asia</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but including Japan, and for the research, development, manufacturing, and commercialization of products containing or comprising of any of Hengrui’s Bruton’s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Tyrosine Kinase inhibitors containing the compounds of either TG 1701 (SHR1459 or EBI1459) or TG1702 (SHR1266 or EBI1266). Hengrui is eligible to receive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milestone payments totaling approximately $350 million upon and subject to the achievement of certain milestones. Various provisions allow for payments in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conjunction with the agreement to be made in cash or our common stock, while others limit the form of payment. In July 2020, we paid Hengrui $2.0 million as part of</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 milestone in accordance with the license agreement. Royalty payments in the low double digits are due on net sales of licensed products and revenue from</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sublicenses.</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left="20" w:firstLine="605"/>
        <w:spacing w:after="0" w:line="251" w:lineRule="auto"/>
        <w:rPr>
          <w:sz w:val="20"/>
          <w:szCs w:val="20"/>
          <w:color w:val="auto"/>
        </w:rPr>
      </w:pPr>
      <w:r>
        <w:rPr>
          <w:rFonts w:ascii="Times New Roman" w:cs="Times New Roman" w:eastAsia="Times New Roman" w:hAnsi="Times New Roman"/>
          <w:sz w:val="17"/>
          <w:szCs w:val="17"/>
          <w:color w:val="auto"/>
        </w:rPr>
        <w:t>The term of the agreement expires after the expiration of the last royalty term to expire with respect to any of the patent rights under the agreement. We or Hengrui may terminate the agreement upon notice to the other upon breach without remedy or upon insolvency. In addition, either party may terminate the agreement upon a material breach, after providing the other party with adequate notice and allowing 45 days to cure.</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TG-1801 (anti-CD47/anti-CD19 bispecific antibody)</w:t>
      </w:r>
    </w:p>
    <w:p>
      <w:pPr>
        <w:spacing w:after="0" w:line="212" w:lineRule="exact"/>
        <w:rPr>
          <w:sz w:val="20"/>
          <w:szCs w:val="20"/>
          <w:color w:val="auto"/>
        </w:rPr>
      </w:pPr>
    </w:p>
    <w:p>
      <w:pPr>
        <w:jc w:val="both"/>
        <w:ind w:left="20" w:firstLine="605"/>
        <w:spacing w:after="0" w:line="251" w:lineRule="auto"/>
        <w:rPr>
          <w:sz w:val="20"/>
          <w:szCs w:val="20"/>
          <w:color w:val="auto"/>
        </w:rPr>
      </w:pPr>
      <w:r>
        <w:rPr>
          <w:rFonts w:ascii="Times New Roman" w:cs="Times New Roman" w:eastAsia="Times New Roman" w:hAnsi="Times New Roman"/>
          <w:sz w:val="17"/>
          <w:szCs w:val="17"/>
          <w:color w:val="auto"/>
        </w:rPr>
        <w:t>In June 2018, we entered into a Joint Venture and License Option Agreement with Novimmune to collaborate on the development and commercialization of Novimmune’s novel first-in-class anti-CD47/anti-CD19 bispecific antibody known as TG 1801 (previously NI 1701). The companies will jointly develop the product on a worldwide basis, focusing on indications in the area of hematologic B-cell malignancies. We serve as the primary responsible party for the development, manufacturing and commercialization of the product.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 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Azer-Cel (allogeneic CD19 CAR T)</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January 2024, we, through our wholly-owned subsidiary, TG Cell Therapy, Inc., entered into a global exclusive license agreement with Precision to develop and commercialize azer-cel for autoimmune diseases and all other non-oncology indications. Pursuant to such license Agreement, the Company made an upfront payment to Precision of $7.5 million, consisting of (i) $5.25 million in cash and (ii) $2.25 million as an equity investment. The Company made an additional payment of $2.5 million as an equity investment to Precision in January 2025. Upon the achievement of certain near-term clinical or time-based milestones, the Company will make a further $7.5 million payment to Precision, a portion of which will also be an equity investment in Precision’s common stock at a pre-specified premium. Precision will be eligible to receive up to $288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or a period of ten years following the first commercial sale of the licensed product in such country. The Company has also agreed to make certain payments to Precision’s licensors during the term of our license agreement with Precision.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UKONIQ (umbralisib)</w:t>
      </w:r>
    </w:p>
    <w:p>
      <w:pPr>
        <w:spacing w:after="0" w:line="212" w:lineRule="exact"/>
        <w:rPr>
          <w:sz w:val="20"/>
          <w:szCs w:val="20"/>
          <w:color w:val="auto"/>
        </w:rPr>
      </w:pPr>
    </w:p>
    <w:p>
      <w:pPr>
        <w:ind w:left="20" w:firstLine="648"/>
        <w:spacing w:after="0" w:line="250" w:lineRule="auto"/>
        <w:rPr>
          <w:sz w:val="20"/>
          <w:szCs w:val="20"/>
          <w:color w:val="auto"/>
        </w:rPr>
      </w:pPr>
      <w:r>
        <w:rPr>
          <w:rFonts w:ascii="Times New Roman" w:cs="Times New Roman" w:eastAsia="Times New Roman" w:hAnsi="Times New Roman"/>
          <w:sz w:val="17"/>
          <w:szCs w:val="17"/>
          <w:color w:val="auto"/>
        </w:rPr>
        <w:t>In September 2014, we exercised our option to license the global rights to umbralisib, thereby entering into an exclusive licensing agreement (the Umbralisib License) with Rhizen Pharmaceuticals, S A (Rhizen) for the development and commercialization of umbralisib. Rhizen is eligible to receive approval and sales-based milestone payments in the aggregate of approximately $175 million. Additionally, Rhizen receives tiered royalties that escalate from high single digits to low double digits on any net sales of umbralisib. The license will terminate on a country-by-country basis upon the expiration of the last licensed patent right or any other exclusivity right in such country, unless the agreement is earlier terminated (i) by us for any reason, or (ii) by either party due to a breach of the agreement. ​</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49" w:lineRule="auto"/>
        <w:rPr>
          <w:sz w:val="20"/>
          <w:szCs w:val="20"/>
          <w:color w:val="auto"/>
        </w:rPr>
      </w:pPr>
      <w:r>
        <w:rPr>
          <w:rFonts w:ascii="Times New Roman" w:cs="Times New Roman" w:eastAsia="Times New Roman" w:hAnsi="Times New Roman"/>
          <w:sz w:val="17"/>
          <w:szCs w:val="17"/>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 ​</w:t>
      </w:r>
    </w:p>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drugs that we are attempting to develop will have to compete with existing therapies. In addition, a large number of companies are pursuing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of pharmaceuticals that target the same diseases and conditions that we are targeting. Some of these potential competing drugs are further advanced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than our drug candidates and may be commercialized earlier. The resulting changes in standard of care can impact the likelihood of regulatory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approval opportunities for our drug candidates.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BRIUMVI, there are a number of established therapies with which we will compete:</w:t>
      </w:r>
    </w:p>
    <w:p>
      <w:pPr>
        <w:spacing w:after="0" w:line="192" w:lineRule="exact"/>
        <w:rPr>
          <w:sz w:val="20"/>
          <w:szCs w:val="20"/>
          <w:color w:val="auto"/>
        </w:rPr>
      </w:pPr>
    </w:p>
    <w:p>
      <w:pPr>
        <w:ind w:left="980" w:right="20" w:hanging="311"/>
        <w:spacing w:after="0" w:line="252"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BRIUMVI will primarily compete against other iv CD20-targeted agents, while the group of CD20-targeted agents will also compete broadly against a number of already approved MS therapies. Currently, there is one other approved intravenously delivered anti-CD20 monoclonal antibody ocrelizumab (Roche Holdings AG). In addition, while we believe not directly competitive, there is also a subcutaneous anti-CD20 monoclonal antibody approved for MS, ofatumumab (Novartis AG).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Azer-cel, if approved will also face competition from drugs on the market and under development in the same therapeutic class as each of those drugs.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Additional information can be found under Item “1A - Risk Factors – Other Risks Related to Our Business” within this report.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AND MANUFACTURING</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limited experience in manufacturing products for clinical or commercial purposes. We currently do not have any manufacturing capabilities of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 We have established a contract manufacturing relationship for the commercial supply of BRIUMVI with Samsung Biologics. As with any supply program,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obtaining materials of sufficient quality and quantity to meet the requirements of the market demand for BRIUMVI and our ublituximab development programs cannot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guaranteed and we cannot ensure that we will be successful in this endeavor.</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49" w:lineRule="auto"/>
        <w:rPr>
          <w:sz w:val="20"/>
          <w:szCs w:val="20"/>
          <w:color w:val="auto"/>
        </w:rPr>
      </w:pPr>
      <w:r>
        <w:rPr>
          <w:rFonts w:ascii="Times New Roman" w:cs="Times New Roman" w:eastAsia="Times New Roman" w:hAnsi="Times New Roman"/>
          <w:sz w:val="17"/>
          <w:szCs w:val="17"/>
          <w:color w:val="auto"/>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 ​</w:t>
      </w:r>
    </w:p>
    <w:p>
      <w:pPr>
        <w:spacing w:after="0" w:line="195" w:lineRule="exact"/>
        <w:rPr>
          <w:sz w:val="20"/>
          <w:szCs w:val="20"/>
          <w:color w:val="auto"/>
        </w:rPr>
      </w:pPr>
    </w:p>
    <w:p>
      <w:pPr>
        <w:ind w:firstLine="605"/>
        <w:spacing w:after="0" w:line="255" w:lineRule="auto"/>
        <w:rPr>
          <w:sz w:val="20"/>
          <w:szCs w:val="20"/>
          <w:color w:val="auto"/>
        </w:rPr>
      </w:pPr>
      <w:r>
        <w:rPr>
          <w:rFonts w:ascii="Times New Roman" w:cs="Times New Roman" w:eastAsia="Times New Roman" w:hAnsi="Times New Roman"/>
          <w:sz w:val="17"/>
          <w:szCs w:val="17"/>
          <w:color w:val="auto"/>
        </w:rPr>
        <w:t>We expect to similarly rely on contract manufacturing relationships for any products that we may in-license or acquire in the future. However, there can be no assurance that we will be able to successfully contract with such manufacturers on terms acceptable to us, or at all. ​</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Contract manufacturers are subject to ongoing periodic and unannounced inspections by the FDA, the Drug Enforcement Administration if applicable,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corresponding state agencies to ensure strict compliance with cGMP and other state and federal regulations. Where manufactured products are globally registered,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regulatory inspection burdens are applicable from each and every marketed territory. If our manufacturing partners are inspected and deemed out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compliance with cGMPs, product recalls could result, inventory could be destroyed, production could be stopped, and supplies could be delayed or otherwise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disrupted.</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50" w:lineRule="auto"/>
        <w:rPr>
          <w:sz w:val="20"/>
          <w:szCs w:val="20"/>
          <w:color w:val="auto"/>
        </w:rPr>
      </w:pPr>
      <w:r>
        <w:rPr>
          <w:rFonts w:ascii="Times New Roman" w:cs="Times New Roman" w:eastAsia="Times New Roman" w:hAnsi="Times New Roman"/>
          <w:sz w:val="17"/>
          <w:szCs w:val="17"/>
          <w:color w:val="auto"/>
        </w:rPr>
        <w:t>If we need to change manufacturers after commercialization, the FDA and corresponding foreign regulatory agencies may need to approve these new manufacturers in advance, which will involve testing, regulatory submissions,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AND INDUSTRY REGULATION</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Numerous governmental authorities, principally the FDA and corresponding state and foreign regulatory agencies, impose substantial regulations upon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clinical development, manufacture and marketing of our product candidates, as well as our ongoing research and development activities. We, along with our third-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contractors, will be required to navigate the various pre- and post-approval requirements of the governing regulatory agencies of the jurisdictions in which we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wish to conduct clinical studies or market our product candidates. None of our product candidates, except BRIUMVI, are approved for sale in any market in which we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marketing rights. Before marketing in the U.S., any drug that we develop must undergo rigorous pre-clinical testing and clinical trials and an extensive regulatory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review and approval process implemented by the FDA under the Federal Food, Drug, and Cosmetic Act (FDCA) and, in the case of biologics, the Public Health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Act. The FDA regulates, among other things, the pre-clinical and clinical testing, safety, efficacy, approval, manufacturing, quality control and assurance,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keeping, pharmacovigilance and adverse event reporting, packaging, labeling, storage, advertising, promotion, import and export, sale and distribution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biopharmaceutical products. The process of obtaining regulatory approvals and the subsequent compliance with applicable federal, state, local and foreign statutes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regulations require the expenditure of substantial time and financial resources.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Development and Applications for Marketing Authorization</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regulatory review and approval process is lengthy, expensive, and uncertain. We are required to submit extensive pre-clinical and clinical data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supporting information to the FDA for each indication or use to establish a drug candidate’s safety and efficacy before we can secure FDA approval to market or sell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in the U.S. The approval process takes many years, requires the expenditure of substantial resources, and may involve ongoing requirements for post-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marketing studies or surveillance. Before commencing clinical trials in humans, we must submit an IND to the FDA containing, among other things, pre-clinical data,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chemistry, manufacturing and control information, and an investigative plan. Our submission of an IND may not result in FDA authorization to commence a clinical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trial.</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For purposes of clinical development and to pursue NDA or BLA approval, clinical trials are typically conducted in the following sequential phases:</w:t>
      </w:r>
    </w:p>
    <w:p>
      <w:pPr>
        <w:spacing w:after="0" w:line="188" w:lineRule="exact"/>
        <w:rPr>
          <w:sz w:val="20"/>
          <w:szCs w:val="20"/>
          <w:color w:val="auto"/>
        </w:rPr>
      </w:pPr>
    </w:p>
    <w:p>
      <w:pPr>
        <w:ind w:left="980" w:right="380" w:hanging="311"/>
        <w:spacing w:after="0" w:line="259"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The drug is administered to a small group of humans, either healthy volunteers or patients, to test for safety, dosage tolerance, absorption,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metabolism, excretion, and clinical pharmacology.</w:t>
      </w:r>
    </w:p>
    <w:p>
      <w:pPr>
        <w:spacing w:after="0" w:line="1" w:lineRule="exact"/>
        <w:rPr>
          <w:rFonts w:ascii="Times New Roman" w:cs="Times New Roman" w:eastAsia="Times New Roman" w:hAnsi="Times New Roman"/>
          <w:sz w:val="17"/>
          <w:szCs w:val="17"/>
          <w:color w:val="auto"/>
        </w:rPr>
      </w:pPr>
    </w:p>
    <w:p>
      <w:pPr>
        <w:ind w:left="980" w:right="260" w:hanging="311"/>
        <w:spacing w:after="0" w:line="247"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Studies are conducted on more patients to assess the product's efficacy, to ascertain dose tolerance and the optimal dose range, and to gather additional data relating to safety and potential adverse events.</w:t>
      </w:r>
    </w:p>
    <w:p>
      <w:pPr>
        <w:spacing w:after="0" w:line="1" w:lineRule="exact"/>
        <w:rPr>
          <w:rFonts w:ascii="Times New Roman" w:cs="Times New Roman" w:eastAsia="Times New Roman" w:hAnsi="Times New Roman"/>
          <w:sz w:val="17"/>
          <w:szCs w:val="17"/>
          <w:color w:val="auto"/>
        </w:rPr>
      </w:pPr>
    </w:p>
    <w:p>
      <w:pPr>
        <w:ind w:left="980" w:hanging="311"/>
        <w:spacing w:after="0"/>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Studies establish safety and efficacy in an expanded patient population.</w:t>
      </w:r>
    </w:p>
    <w:p>
      <w:pPr>
        <w:spacing w:after="0" w:line="6" w:lineRule="exact"/>
        <w:rPr>
          <w:rFonts w:ascii="Times New Roman" w:cs="Times New Roman" w:eastAsia="Times New Roman" w:hAnsi="Times New Roman"/>
          <w:sz w:val="17"/>
          <w:szCs w:val="17"/>
          <w:color w:val="auto"/>
        </w:rPr>
      </w:pPr>
    </w:p>
    <w:p>
      <w:pPr>
        <w:ind w:left="980" w:right="20" w:hanging="311"/>
        <w:spacing w:after="0" w:line="247"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4: </w:t>
      </w:r>
      <w:r>
        <w:rPr>
          <w:rFonts w:ascii="Times New Roman" w:cs="Times New Roman" w:eastAsia="Times New Roman" w:hAnsi="Times New Roman"/>
          <w:sz w:val="17"/>
          <w:szCs w:val="17"/>
          <w:color w:val="auto"/>
        </w:rPr>
        <w:t>The FDA may require Phase 4 post-marketing studies to find out more about the drug’s long-term risks, benefits, and optimal use, or to test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drug in different populations.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498"/>
        <w:spacing w:after="0" w:line="247" w:lineRule="auto"/>
        <w:rPr>
          <w:sz w:val="20"/>
          <w:szCs w:val="20"/>
          <w:color w:val="auto"/>
        </w:rPr>
      </w:pPr>
      <w:r>
        <w:rPr>
          <w:rFonts w:ascii="Times New Roman" w:cs="Times New Roman" w:eastAsia="Times New Roman" w:hAnsi="Times New Roman"/>
          <w:sz w:val="17"/>
          <w:szCs w:val="17"/>
          <w:color w:val="auto"/>
        </w:rPr>
        <w:t>Clinical testing must meet requirements for institutional review board oversight, informed consent and good clinical practices, and must be conducted pursuant to an IND, unless exempted. 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 ​</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length of time necessary to complete clinical trials varies significantly and may be difficult to predict. Clinical results are frequently susceptible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varying interpretations that may delay, limit or prevent regulatory approvals. Additional factors that can cause delay or termination of our clinical trials, or that may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the costs of these trials, include: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980" w:right="60" w:hanging="311"/>
        <w:spacing w:after="0" w:line="247"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slow patient enrollment due to the nature of the clinical trial plan, the proximity of patients to clinical sites, the eligibility criteria for participation in the study or other factors;</w:t>
      </w:r>
    </w:p>
    <w:p>
      <w:pPr>
        <w:spacing w:after="0" w:line="1" w:lineRule="exact"/>
        <w:rPr>
          <w:rFonts w:ascii="Times New Roman" w:cs="Times New Roman" w:eastAsia="Times New Roman" w:hAnsi="Times New Roman"/>
          <w:sz w:val="17"/>
          <w:szCs w:val="17"/>
          <w:color w:val="auto"/>
        </w:rPr>
      </w:pPr>
    </w:p>
    <w:p>
      <w:pPr>
        <w:ind w:left="980" w:right="200" w:hanging="311"/>
        <w:spacing w:after="0" w:line="247"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inadequately trained or insufficient personnel at the study site to assist in overseeing and monitoring clinical trials or delays in approvals from a study site’s review board;</w:t>
      </w:r>
    </w:p>
    <w:p>
      <w:pPr>
        <w:spacing w:after="0" w:line="1" w:lineRule="exact"/>
        <w:rPr>
          <w:rFonts w:ascii="Times New Roman" w:cs="Times New Roman" w:eastAsia="Times New Roman" w:hAnsi="Times New Roman"/>
          <w:sz w:val="17"/>
          <w:szCs w:val="17"/>
          <w:color w:val="auto"/>
        </w:rPr>
      </w:pPr>
    </w:p>
    <w:p>
      <w:pPr>
        <w:ind w:left="980" w:hanging="311"/>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treatment time required to demonstrate efficacy or determine the appropriate product dose;</w:t>
      </w:r>
    </w:p>
    <w:p>
      <w:pPr>
        <w:spacing w:after="0" w:line="6" w:lineRule="exact"/>
        <w:rPr>
          <w:rFonts w:ascii="Times New Roman" w:cs="Times New Roman" w:eastAsia="Times New Roman" w:hAnsi="Times New Roman"/>
          <w:sz w:val="17"/>
          <w:szCs w:val="17"/>
          <w:color w:val="auto"/>
        </w:rPr>
      </w:pPr>
    </w:p>
    <w:p>
      <w:pPr>
        <w:ind w:left="980" w:hanging="311"/>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supply of the drug candidates;</w:t>
      </w:r>
    </w:p>
    <w:p>
      <w:pPr>
        <w:spacing w:after="0" w:line="6" w:lineRule="exact"/>
        <w:rPr>
          <w:rFonts w:ascii="Times New Roman" w:cs="Times New Roman" w:eastAsia="Times New Roman" w:hAnsi="Times New Roman"/>
          <w:sz w:val="17"/>
          <w:szCs w:val="17"/>
          <w:color w:val="auto"/>
        </w:rPr>
      </w:pPr>
    </w:p>
    <w:p>
      <w:pPr>
        <w:ind w:left="980" w:hanging="311"/>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medical events or side effects in treated patients; and</w:t>
      </w:r>
    </w:p>
    <w:p>
      <w:pPr>
        <w:spacing w:after="0" w:line="6" w:lineRule="exact"/>
        <w:rPr>
          <w:rFonts w:ascii="Times New Roman" w:cs="Times New Roman" w:eastAsia="Times New Roman" w:hAnsi="Times New Roman"/>
          <w:sz w:val="17"/>
          <w:szCs w:val="17"/>
          <w:color w:val="auto"/>
        </w:rPr>
      </w:pPr>
    </w:p>
    <w:p>
      <w:pPr>
        <w:ind w:left="980" w:hanging="311"/>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ineffectiveness of the drug candidates.</w:t>
      </w:r>
    </w:p>
    <w:p>
      <w:pPr>
        <w:spacing w:after="0" w:line="192" w:lineRule="exact"/>
        <w:rPr>
          <w:sz w:val="20"/>
          <w:szCs w:val="20"/>
          <w:color w:val="auto"/>
        </w:rPr>
      </w:pPr>
    </w:p>
    <w:p>
      <w:pPr>
        <w:ind w:firstLine="605"/>
        <w:spacing w:after="0" w:line="253" w:lineRule="auto"/>
        <w:rPr>
          <w:sz w:val="20"/>
          <w:szCs w:val="20"/>
          <w:color w:val="auto"/>
        </w:rPr>
      </w:pPr>
      <w:r>
        <w:rPr>
          <w:rFonts w:ascii="Times New Roman" w:cs="Times New Roman" w:eastAsia="Times New Roman" w:hAnsi="Times New Roman"/>
          <w:sz w:val="17"/>
          <w:szCs w:val="17"/>
          <w:color w:val="auto"/>
        </w:rPr>
        <w:t>For clinical trials that are intended to form the basis of a new drug or biologics license application for approval, sponsors of drugs may apply for a Special Protocol Assessment (SPA) from the FDA, by which the FDA provides official evaluation and written guidance on the design and size of proposed protocols. While obtaining an SPA provides some assurance the design of a trial should be sufficient for approval, the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 ​</w:t>
      </w:r>
    </w:p>
    <w:p>
      <w:pPr>
        <w:spacing w:after="0" w:line="19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FDA may permit expedited development, evaluation, and marketing of new therapies intended to treat persons with serious or life-threatening conditions for which there is an unmet medical need under its expedited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61" w:lineRule="exact"/>
        <w:rPr>
          <w:sz w:val="20"/>
          <w:szCs w:val="20"/>
          <w:color w:val="auto"/>
        </w:rPr>
      </w:pPr>
    </w:p>
    <w:p>
      <w:pPr>
        <w:ind w:left="980" w:hanging="311"/>
        <w:spacing w:after="0"/>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drug is intended to treat a serious or life-threatening condition; and</w:t>
      </w:r>
    </w:p>
    <w:p>
      <w:pPr>
        <w:spacing w:after="0" w:line="22" w:lineRule="exact"/>
        <w:rPr>
          <w:rFonts w:ascii="Times New Roman" w:cs="Times New Roman" w:eastAsia="Times New Roman" w:hAnsi="Times New Roman"/>
          <w:sz w:val="17"/>
          <w:szCs w:val="17"/>
          <w:color w:val="auto"/>
        </w:rPr>
      </w:pPr>
    </w:p>
    <w:p>
      <w:pPr>
        <w:ind w:left="980" w:hanging="311"/>
        <w:spacing w:after="0"/>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nonclinical or clinical data demonstrate the potential to address an unmet medical need.</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FDA must respond to a request for Fast Track designation within 60 calendar days of receipt of the request. Over the course of drug development,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in a Fast Track development program must continue to meet the criteria for Fast Track designation. Sponsors of products in Fast Track drug development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programs must be in regular contact with the reviewing division of the FDA to ensure that the evidence necessary to support marketing approval will be developed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in a format conducive to an efficient review. Sponsors of products in Fast Track drug development programs are also permitted to submit portions of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NDA or BLA to the FDA on a rolling basis where the FDA may consider reviewing portions of a marketing application before the sponsor submits the complete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sponsors may also apply to the FDA for Breakthrough Therapy Designation (BTD). The procedures and requirements for BTD are similar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those required for Fast Track such that the Breakthrough Therapy Designation is intended to expedite the development and review of a potential new drug for serious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life-threatening diseases, however, with BTD, there is a further requirement that the sponsor present “preliminary clinical evidence” which “indicates that the drug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demonstrate substantial improvement over existing therapies on one or more clinically significant endpoints, such as substantial treatment effects observed early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clinical development.” The designation of a drug as a Breakthrough Therapy was enacted as part of the 2012 Food and Drug Administration Safety and Innovation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47" w:lineRule="auto"/>
        <w:rPr>
          <w:sz w:val="20"/>
          <w:szCs w:val="20"/>
          <w:color w:val="auto"/>
        </w:rPr>
      </w:pPr>
      <w:r>
        <w:rPr>
          <w:rFonts w:ascii="Times New Roman" w:cs="Times New Roman" w:eastAsia="Times New Roman" w:hAnsi="Times New Roman"/>
          <w:sz w:val="17"/>
          <w:szCs w:val="17"/>
          <w:color w:val="auto"/>
        </w:rPr>
        <w:t>Sponsors of drugs granted Fast Track or breakthrough therapy designation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To obtain accelerated approval a sponsor must be able to demonstrate the drug candidate treats a serious condition, provides a meaningful advantage over other available therapies, and demonstrates an effect on a surrogate endpoint that is reasonably likely to predict clinical benefit. Many companies have filed for accelerated approval and have subsequently failed to obtain such approval for a variety of reasons. To the extent a product does obtain an accelerated approval, such approval will be subject to the requirement that the applicant study the drug further in a post-marketing confirmatory clinical trial to verify and describe its clinical benefit where there is uncertainty as to the relation of the surrogate endpoint to clinical benefit or uncertainty as to the relation of the observed clinical benefit to ultimate outcome. Accelerated approval is sometimes referred to as conditional approval because if the results of these confirmatory clinical trials fail to verify clinical benefit, the FDA has the right to remove the drug from the market and has done so in the recent past. Post-marketing confirmation studies are usually underway at the time an applicant files the NDA. When required to be conducted, such post-marketing confirmation studies must also be adequate and well-controlled. The applicant must carry out any such post-marketing confirmation studies with due diligence. Completing the required post-approval clinical studies as designed can be difficult, especially as the treatment landscape evolves. ​</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It is also becoming more common for the FDA to request a Risk Evaluation and Mitigation Strategy, or REMS, as part of an NDA/BLA. The REMS plan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contains post-market obligations of the sponsor to train prescribing physicians, monitor off-label drug use, and conduct Phase 4 follow-up studies and registries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ensure the continued safe use of the drug.</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48" w:lineRule="auto"/>
        <w:rPr>
          <w:sz w:val="20"/>
          <w:szCs w:val="20"/>
          <w:color w:val="auto"/>
        </w:rPr>
      </w:pPr>
      <w:r>
        <w:rPr>
          <w:rFonts w:ascii="Times New Roman" w:cs="Times New Roman" w:eastAsia="Times New Roman" w:hAnsi="Times New Roman"/>
          <w:sz w:val="17"/>
          <w:szCs w:val="17"/>
          <w:color w:val="auto"/>
        </w:rPr>
        <w:t>The NDA and BLA review process also generally includes a pre-approval inspection, or PAI, to assess the manufacturing facilities and relevant processes and data for compliance, and readiness for commercial manufacture in accordance with cGMPs. Among the conditions of approval is the requirement that a manufacturer’s quality systems and manufacturing procedures conform to cGMP. Even when product approval is received, manufacturers must expend significant time, money and effort to ensure continued compliance, and the FDA conducts periodic surveillance inspections to monitor the manufacturing process and drug quality and evaluate whether the manufacturers are in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 Many drug approvals have been delayed due to issues at contract manufacturing facilities. If we were to experience any such delay that would negatively impact our business and timeline to commercialization of any of our drug candidates affected by such manufacturing issue.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Post-Approval Requirements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49" w:lineRule="auto"/>
        <w:rPr>
          <w:sz w:val="20"/>
          <w:szCs w:val="20"/>
          <w:color w:val="auto"/>
        </w:rPr>
      </w:pPr>
      <w:r>
        <w:rPr>
          <w:rFonts w:ascii="Times New Roman" w:cs="Times New Roman" w:eastAsia="Times New Roman" w:hAnsi="Times New Roman"/>
          <w:sz w:val="17"/>
          <w:szCs w:val="17"/>
          <w:color w:val="auto"/>
        </w:rPr>
        <w:t>Any products for which we receive FDA approval are subject to continuing regulation by the FDA and other federal and state regulators on a wide range of matters, including, among other things cGMPs and product quality, pharmacovigilance and reporting of adverse events, product distribution requirements, fulfilling post-marketing or confirmatory study or REMS commitments, and complying with FDA promotion and advertising requirements. Violations of the FDCA or other post-approval regulatory requirements may result in agency enforcement actions, including withdrawal of approval, recall, seizure of products, warning letters, injunctions, fines and/or civil or criminal penalties. Any agency enforcement action could have a material adverse effect on our business. ​</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FDA promotion and advertising requirements applicable to marketed products include, among other things, standards for direct-to-consumer advertising,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restrictions against promoting products for uses or in patient populations that are not either described in the product’s approved indications and uses or otherwise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consistent with the FDA-approved product labeling, limitations on industry-sponsored scientific and educational activities, rules regarding communication of health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care economic information regarding biopharmaceutical products to payors and formularies, and requirements for promotional activities involving the internet. Drugs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whose review was accelerated may carry additional requirements on marketing activities, including the requirement that all promotional materials are pre-submitted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FDA.</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After product approval, quality control and manufacturing procedures must continue to conform to applicable manufacturing requirements. FDA regulations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 among other things, quality control and quality assurance as well as the corresponding maintenance of records and documentation and the obligation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investigate and correct any deviations from cGMPs. Manufacturers and other entities involved in the manufacture and distribution of approved products are required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 their establishments and list their products with the FDA and certain state agencies. Manufacturers and their third-party contractors may be subject to periodic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unannounced inspections by the FDA and certain state agencies for assessment of compliance with cGMPs and other applicable laws. Accordingly, manufacturers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must continue to expend time, money, and effort in the areas of production and quality control to maintain quality control and manufacturing compliance. Discovery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problems with a product after approval may result in restrictions on a product, including, among other things, withdrawal of approval, recall or withdrawal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from the market. In addition, changes to the manufacturing process are strictly regulated, and depending on the significance of the change, may require prior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FDA approval or notification before being implemented. Other types of changes to the approved product, such as adding new indications and claims to the product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labeling, are also subject to further FDA review and approval.</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49" w:lineRule="auto"/>
        <w:rPr>
          <w:sz w:val="20"/>
          <w:szCs w:val="20"/>
          <w:color w:val="auto"/>
        </w:rPr>
      </w:pPr>
      <w:r>
        <w:rPr>
          <w:rFonts w:ascii="Times New Roman" w:cs="Times New Roman" w:eastAsia="Times New Roman" w:hAnsi="Times New Roman"/>
          <w:sz w:val="17"/>
          <w:szCs w:val="17"/>
          <w:color w:val="auto"/>
        </w:rPr>
        <w:t>Marketed products must meet the requirements of the Drug Supply Chain Security Act, or DSCSA, which regulates the commercial distribution of prescription drug products at the federal level. The DSCSA sets certain standards for federal or state registration, requires tracing of products through the pharmaceutical distribution supply chain, and imposes other requirements on entities in the supply chain, including manufacturers and repackagers, wholesale distributors, third-party logistics providers, and dispensers. The DSCSA requirements, development of standards, and the system for product tracing have been and will continue to be phased in per the DSCSA implementation timeline established by the FDA. ​</w:t>
      </w:r>
    </w:p>
    <w:p>
      <w:pPr>
        <w:spacing w:after="0" w:line="196" w:lineRule="exact"/>
        <w:rPr>
          <w:sz w:val="20"/>
          <w:szCs w:val="20"/>
          <w:color w:val="auto"/>
        </w:rPr>
      </w:pPr>
    </w:p>
    <w:p>
      <w:pPr>
        <w:ind w:firstLine="605"/>
        <w:spacing w:after="0" w:line="247" w:lineRule="auto"/>
        <w:rPr>
          <w:sz w:val="20"/>
          <w:szCs w:val="20"/>
          <w:color w:val="auto"/>
        </w:rPr>
      </w:pPr>
      <w:r>
        <w:rPr>
          <w:rFonts w:ascii="Times New Roman" w:cs="Times New Roman" w:eastAsia="Times New Roman" w:hAnsi="Times New Roman"/>
          <w:sz w:val="17"/>
          <w:szCs w:val="17"/>
          <w:color w:val="auto"/>
        </w:rPr>
        <w:t>In addition, the post-marketing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w:t>
      </w:r>
    </w:p>
    <w:p>
      <w:pPr>
        <w:spacing w:after="0" w:line="3" w:lineRule="exact"/>
        <w:rPr>
          <w:sz w:val="20"/>
          <w:szCs w:val="20"/>
          <w:color w:val="auto"/>
        </w:rPr>
      </w:pPr>
    </w:p>
    <w:p>
      <w:pPr>
        <w:ind w:firstLine="605"/>
        <w:spacing w:after="0" w:line="250" w:lineRule="auto"/>
        <w:rPr>
          <w:sz w:val="20"/>
          <w:szCs w:val="20"/>
          <w:color w:val="auto"/>
        </w:rPr>
      </w:pPr>
      <w:r>
        <w:rPr>
          <w:rFonts w:ascii="Times New Roman" w:cs="Times New Roman" w:eastAsia="Times New Roman" w:hAnsi="Times New Roman"/>
          <w:sz w:val="17"/>
          <w:szCs w:val="17"/>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documents, and policies are often revised or reinterpreted by the agency in ways that may significantly affect our business. It is impossible to predict whether further legislative or FDA regulation or policy changes will be enacted or implemented and what the impact of such changes, if any, may be.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firstLine="605"/>
        <w:spacing w:after="0" w:line="250" w:lineRule="auto"/>
        <w:rPr>
          <w:sz w:val="20"/>
          <w:szCs w:val="20"/>
          <w:color w:val="auto"/>
        </w:rPr>
      </w:pPr>
      <w:r>
        <w:rPr>
          <w:rFonts w:ascii="Times New Roman" w:cs="Times New Roman" w:eastAsia="Times New Roman" w:hAnsi="Times New Roman"/>
          <w:sz w:val="17"/>
          <w:szCs w:val="17"/>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Importantly, the level of evidence of efficacy and safety necessary to apply for marketing authorization for a drug candidate differs from country to country. In particular, clinical trial endpoints, and the level of clinical evidence that may support, for example, an accelerated approval filing with the FDA, may be insufficient to file for marketing applications outside of the U.S. At present, companies are typically required to apply for foreign marketing authorizations at a national level. However, within the European Union, centralized registration procedures are available to companies wishing to market a product across the European Union member states.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 ​</w:t>
      </w:r>
    </w:p>
    <w:p>
      <w:pPr>
        <w:spacing w:after="0" w:line="20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Coverage and Reimbursement</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48" w:lineRule="auto"/>
        <w:rPr>
          <w:sz w:val="20"/>
          <w:szCs w:val="20"/>
          <w:color w:val="auto"/>
        </w:rPr>
      </w:pPr>
      <w:r>
        <w:rPr>
          <w:rFonts w:ascii="Times New Roman" w:cs="Times New Roman" w:eastAsia="Times New Roman" w:hAnsi="Times New Roman"/>
          <w:sz w:val="17"/>
          <w:szCs w:val="17"/>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In addition, the containment of healthcare costs has become a priority of foreign and U.S. federal and state governments, and the prices of drugs have been a focus in this effort. The U.S. government, state legislatures and foreign governments have shown significant interest in implementing cost-containment programs, including price controls, restrictions on reimbursement, importation,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 ​</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the U.S., the Patient Protection and Affordable Care Act, as amended by the Health Care and Education Reconciliation Act of 2010, collectively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Affordable Care Act, has had a significant impact on the health care industry. The Affordable Care Act expanded coverage for the uninsured while at the same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containing overall healthcare costs. With regard to pharmaceutical products, the Affordable Care Act, among other things, created a new average manufacturer price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definition under the Medicaid Drug Rebate Program for drugs that are inhaled, infused, instilled, implanted or injected and not generally dispensed through the retail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channel, increased the minimum Medicaid rebates owed by manufacturers under the Medicaid Drug Rebate Program and extended the rebate program to individuals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enrolled in Medicaid managed care organizations, established annual fees and taxes on manufacturers of certain branded prescription drugs, and a new Medicare Part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coverage gap discount program, in which manufacturers must agree to offer 50% point-of-sale discounts off negotiated prices of applicable brand drugs to eligible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beneficiaries during their coverage gap period (subsequent legislation increased this to 70% effective as of January 1, 2019), as a condition for the manufacturer’s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outpatient drugs to be covered under Medicare Part D.</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49" w:lineRule="auto"/>
        <w:rPr>
          <w:sz w:val="20"/>
          <w:szCs w:val="20"/>
          <w:color w:val="auto"/>
        </w:rPr>
      </w:pPr>
      <w:r>
        <w:rPr>
          <w:rFonts w:ascii="Times New Roman" w:cs="Times New Roman" w:eastAsia="Times New Roman" w:hAnsi="Times New Roman"/>
          <w:sz w:val="17"/>
          <w:szCs w:val="17"/>
          <w:color w:val="auto"/>
        </w:rPr>
        <w:t>Since the enactment of the Affordable Care Act, certain provisions of the Affordable Care Act have been subject to judicial challenges as well as efforts to repeal or replace them or to alter their interpretation or implementation. For example, the Tax Cuts and Jobs Act of 2017 eliminated the shared responsibility payment for individuals who fail to maintain minimum essential coverage under section 5000A of the Internal Revenue Code of 1986, commonly referred to as the individual mandate. Litigation and legislation over the Affordable Care Act are likely to continue, with unpredictable and uncertain results, and the new U.S. administration and recent congressional seat turnover may result in increased regulatory and economic uncertainty with respect to the Affordable Care Act. ​</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Inflation Reduction Act of 2022 (the IRA) includes, among other provisions, several measures intended to lower the cost of prescription drugs and related healthcare reforms, such as requiring manufacturers of certain drugs to engage in price negotiations with Medicare beginning in 2026, imposing rebates under Medicare Part B and Medicare Part D to penalize price increases that outpace inflation, and replacing the Part D coverage gap discount program with a new discounting program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76" w:lineRule="exact"/>
        <w:rPr>
          <w:sz w:val="20"/>
          <w:szCs w:val="20"/>
          <w:color w:val="auto"/>
        </w:rPr>
      </w:pPr>
    </w:p>
    <w:p>
      <w:pPr>
        <w:jc w:val="both"/>
        <w:ind w:firstLine="658"/>
        <w:spacing w:after="0" w:line="253" w:lineRule="auto"/>
        <w:rPr>
          <w:sz w:val="20"/>
          <w:szCs w:val="20"/>
          <w:color w:val="auto"/>
        </w:rPr>
      </w:pPr>
      <w:r>
        <w:rPr>
          <w:rFonts w:ascii="Times New Roman" w:cs="Times New Roman" w:eastAsia="Times New Roman" w:hAnsi="Times New Roman"/>
          <w:sz w:val="17"/>
          <w:szCs w:val="17"/>
          <w:color w:val="auto"/>
        </w:rPr>
        <w:t>At​ the state level, individual states are increasingly aggressive in passing legislation and implementing regulations designed to control prescription drug pricing, including price and marketing cost disclosure and transparency measures, and, in some cases, authorizing importation of prescription drugs from other countries.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or put pressure on our product pricing. We expect that additional state healthcare reform measures will be adopted in the future, which could limit the amounts that state governments will pay for healthcare products and services and result in additional pricing pressures.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In addition, in some foreign countries, the proposed pricing for a prescription drug must be approved before the drug may be lawfully marketed.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governing drug pricing vary widely from country to country. For example, the United Kingdom and many European Union member states have robust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health technology assessment processes to determine pricing and reimbursement for pharmaceuticals through their national health insurance system. Many European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Union members states also include either direct or indirect price referencing, or other price control mechanisms, in determining the price of a pharmaceutical in their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 There can be no assurance that any country that has price controls or reimbursement limitations for pharmaceutical drugs will allow favorable reimbursement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pricing arrangements for any of our products. Historically, drugs launched in the European Union do not follow price structures of the U.S. and generally tend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significantly lower.</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U.S. Healthcare Laws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may also be subject to healthcare regulation and enforcement by the federal government and the states and foreign governments where we may market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product candidates, if approved. These laws include, without limitation: state and federal anti-kickback, fraud and abuse, false claims, privacy and security 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laws governing interactions with healthcare professionals and related transparency requirements (such as the federal Sunshine Act and a range of state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biopharmaceutical marketing and transparency laws); and requirements for manufacturers to report certain calculated product prices to the government or provide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discounts or rebates to government authorities or private entities, often as a condition of reimbursement under government healthcare programs.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compliance and enforcement landscape is informed by government enforcement precedent and settlement history, Advisory Opinions, and Special Fraud Alerts.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we face and our approach to compliance may evolve over time in light of these types of developments. The potential safe harbors available for, example, relative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Anti-Kickback Statute, are subject to change through legislative and regulatory action, and we may decide to adjust our business practices or be subject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heightened scrutiny as a result.</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federal Anti-Kickback Statute prohibits, among other things, any person from knowingly and willfully offering, soliciting, receiving or paying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remuneration, directly or indirectly, to induce either the referral of an individual, for an item or service or the purchasing or ordering of a good or service, for which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may be made under federal healthcare programs such as the Medicare and Medicaid programs. The government has enforced the Anti-Kickback Statute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reach large settlements with healthcare companies based on research, consulting and other financial arrangements with physicians that the government alleged were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based on the provision of bona fide services and were intended as an inducement or reward. A person or entity does not need to have actual knowledge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statute or specific intent to violate it in order to have committed a violation. In addition, the government may assert that a claim including items or services resulting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a violation of the federal Anti-Kickback Statute constitutes a false or fraudulent claim for purposes of the federal False Claims Act. The majority of states also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anti-kickback laws, which establish similar prohibitions and in some cases may apply to items or services reimbursed by any third-party payor, including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 insurers.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the civil False Claims Act prohibits, among other things, knowingly presenting or causing the presentation of a false, fictitious or fraudulent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claim for payment to the U.S. government. Actions under the False Claims Act may be brought by the Attorney General or as a qui tam action by a private individual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name of the government. Violations of the False Claims Act can result in very significant monetary penalties and treble damages. The federal government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using the False Claims Act, and the accompanying threat of significant liability, in its investigation and prosecution of pharmaceutical and biotechnology companies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throughout the U.S., for example, in connection with the promotion of products for unapproved uses and other sales and marketing practices. The government has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obtained multi-million and multi-billion dollar settlements under the False Claims Act in addition to individual criminal convictions under applicable criminal statutes.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Given the significant size of actual and potential settlements, it is expected that the government will continue to devote substantial resources to investigating healthcare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providers’ and manufacturers’ compliance with applicable fraud and abuse laws.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There has also been a recent trend of increased federal and state regulation of payments made to physicians and other healthcare providers. The Affordable Care Act, among other things, imposes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for payments, transfers of value or ownership or investment interests that are not timely, accurately and completely reported in an annual submission. Drug manufacturers are required to submit annual reports to the Centers for Medicare &amp; Medicaid Services (CMS), which publicly posts the data on its website. These reporting obligations include transfers of value made to certain non-physician providers such as physician assistants and nurse practitioners. Certain states also mandate implementation of compliance programs, impose restrictions on drug manufacturer marketing practices and/or require the tracking and reporting of gifts, compensation and other remuneration to physicians.</w:t>
      </w:r>
    </w:p>
    <w:p>
      <w:pPr>
        <w:spacing w:after="0" w:line="180" w:lineRule="exact"/>
        <w:rPr>
          <w:sz w:val="20"/>
          <w:szCs w:val="20"/>
          <w:color w:val="auto"/>
        </w:rPr>
      </w:pPr>
    </w:p>
    <w:p>
      <w:pPr>
        <w:ind w:firstLine="605"/>
        <w:spacing w:after="0" w:line="250" w:lineRule="auto"/>
        <w:rPr>
          <w:sz w:val="20"/>
          <w:szCs w:val="20"/>
          <w:color w:val="auto"/>
        </w:rPr>
      </w:pPr>
      <w:r>
        <w:rPr>
          <w:rFonts w:ascii="Times New Roman" w:cs="Times New Roman" w:eastAsia="Times New Roman" w:hAnsi="Times New Roman"/>
          <w:sz w:val="17"/>
          <w:szCs w:val="17"/>
          <w:color w:val="auto"/>
        </w:rPr>
        <w:t>We may also be subject to data privacy and security regulation by both the federal government and the states in which we conduct our business. HIPAA, as amended by the Health Information Technology and Clinical Health Act, (HITECH), and their respective implementing regulations,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according to the U.S. Federal Trade Commission,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under HIPAA.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we may be subject to state law equivalents of each of the above federal laws, such as anti-kickback and false claims laws which may apply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items or services reimbursed by any third-party payor, including commercial insurers, and state laws governing the privacy and security of health information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circumstances, many of which differ from each other in significant ways, thus complicating compliance efforts. For example, the California Consumer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Protection Act, (CCPA) established a privacy framework for covered businesses by creating an expanded definition of personal information, data privacy rights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consumers in California, and a potentially severe statutory damages framework for violations of the CCPA and for businesses that fail to implement reasonable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procedures and practices to prevent data breaches. The CCPA was recently amended by the California Privacy Rights Act (CPRA), expanding certain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consumer rights such as the right to know. It remains unclear what, if any, additional modifications will be made to these laws by the California legislature or how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laws will be interpreted and enforced. The potential effects of the CCPA and CPRA are significant and may cause us to incur substantial costs and expenses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comply.</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 of the World Healthcare Regulation</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other countries outside of the U.S. and the European Union, the requirements governing the conduct of clinical trials, drug licensing, sales and marketing, pricing and reimbursement vary from country to country.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9" w:lineRule="exact"/>
        <w:rPr>
          <w:sz w:val="20"/>
          <w:szCs w:val="20"/>
          <w:color w:val="auto"/>
        </w:rPr>
      </w:pPr>
    </w:p>
    <w:p>
      <w:pPr>
        <w:ind w:firstLine="605"/>
        <w:spacing w:after="0" w:line="250" w:lineRule="auto"/>
        <w:rPr>
          <w:sz w:val="20"/>
          <w:szCs w:val="20"/>
          <w:color w:val="auto"/>
        </w:rPr>
      </w:pPr>
      <w:r>
        <w:rPr>
          <w:rFonts w:ascii="Times New Roman" w:cs="Times New Roman" w:eastAsia="Times New Roman" w:hAnsi="Times New Roman"/>
          <w:sz w:val="17"/>
          <w:szCs w:val="17"/>
          <w:color w:val="auto"/>
        </w:rPr>
        <w:t>European Union member states, the United Kingdom, Switzerland, and other foreign jurisdictions have adopted data protection laws and regulations, which impose significant compliance obligations. In the European Union and the United Kingdom, the collection and use of personal data, including clinical trial data, is governed by the provisions of the General Data Protection Regulation, or GDPR. The GDPR, together with national legislation, regulations and guidelines of the European Union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European Union or the United Kingdom, security breach notifications, security and confidentiality of the personal data and imposition of substantial potential fines for breaches of the data protection obligations. Compliance with the GDPR is a rigorous and time-intensive process that may increase the cost of doing business to ensure full compliance. Furthermore, European data protection authorities may interpret the GDPR and national laws differently and impose additional requirements, which add to the complexity of processing personal data in or from the European Union or United Kingdom. ​</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February 25, 2025, we had 338 employees. None of our employees are represented by a collective bargaining agreement, and we have never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experienced a work stoppage.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believe that our future success largely depends upon our continued ability to attract and retain a diverse workforce of highly skilled and dedicated employees. We pride ourselves on being an equal opportunity employer and strictly prohibit unlawful discrimination based on color, religion, gender, sexual orientation, gender identity/expression, national origin/ancestry, age, disability, marital and veteran status. ​</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expect to continue to grow our organization to support the commercialization of BRIUMVI and to enhance our overall development capabilities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or future products under development. As part of that process, we will continue to evaluate the business needs and market opportunities, balancing in-house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expertise and core competencies with outsourced capacity.</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50" w:lineRule="auto"/>
        <w:rPr>
          <w:sz w:val="20"/>
          <w:szCs w:val="20"/>
          <w:color w:val="auto"/>
        </w:rPr>
      </w:pPr>
      <w:r>
        <w:rPr>
          <w:rFonts w:ascii="Times New Roman" w:cs="Times New Roman" w:eastAsia="Times New Roman" w:hAnsi="Times New Roman"/>
          <w:sz w:val="17"/>
          <w:szCs w:val="17"/>
          <w:color w:val="auto"/>
        </w:rPr>
        <w:t>Drug development and commercialization requires deep expertise across a broad array of disciplines. Pharmaceutical companies of all sizes compete for a limited number of qualified applicants to fill specialized positions. To attract qualified candidates, the Company offers an attractive total rewards package, consisting of base salary, cash bonus, a comprehensive benefit package, equity compensation, and 401(k) plan. Bonus opportunities and equity compensation increase as a percentage of total compensation based on level of responsibility, and actual bonus awards are based on performance.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firstLine="605"/>
        <w:spacing w:after="0" w:line="248"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and the other information contained elsewhere in this Annual Report on Form 10-K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Investors should also refer to the other information contained or incorporated by reference in this Annual Report on Form 10-K, including our financial statements and related notes, and our other filings from time to time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Commercialization</w:t>
      </w:r>
    </w:p>
    <w:p>
      <w:pPr>
        <w:spacing w:after="0" w:line="20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spacing w:after="0" w:line="13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and later in 2023, from the Medicines and Healthcare products Regulatory Agency (MHRA) for the treatment of adult patients with RMS who have active disease defined by clinical or imaging features in the EU and UK, respectively.</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and operating expenses projections or guidance and may not become profitable. The degree of market acceptance of BRIUMVI, as well as any future product candidates for which we may receive marketing approval, will depend on a number of factors, including:</w:t>
      </w:r>
    </w:p>
    <w:p>
      <w:pPr>
        <w:spacing w:after="0" w:line="176" w:lineRule="exact"/>
        <w:rPr>
          <w:sz w:val="20"/>
          <w:szCs w:val="20"/>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our receipt of marketing approvals, the terms of such approvals, and the countries in which such approvals are obtained;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safety and tolerability as demonstrated in clinical trials and as compared to alternative treatments;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BRIUMVI and any of our product candidates, as well as competitive products;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indications for which our products are approved, and other aspects of the approved labeling for such products;</w:t>
      </w:r>
    </w:p>
    <w:p>
      <w:pPr>
        <w:spacing w:after="0" w:line="31"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by physicians, advanced practitioners, major operators of neurology clinics, and patients of our products as safe, tolerable and effective treatments;</w:t>
      </w: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or disadvantages of our products compared to alternative treatments;</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our products for sale at competitive prices;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reimbursement by third-party payors and government authorities;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patient cost-sharing obligations, including copays and deductibles;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by government authorities for our products;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side effects and adverse events;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sales and marketing efforts, as well as those of any current or future partners;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protecting our rights in our intellectual property portfolio;</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 reliable supply of our products that meets market demand;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favorable or unfavorable publicity relating to our products or relating to the Company.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global health concerns could impact commercialization of BRIUMVI. Patients and healthcare providers have raised concerns that immunosuppressive products like anti-CD20 antibodies and other B-cell targeted agents may increase the risk of acquiring viruses or lead to more severe complications or outcomes upon infection, including death. These or other similar concerns may impact the commercial potential for BRIUMVI and other immunosuppressive products that we have in development.</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55"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Regulatory approvals for our product or any of our product candidates may be subject to conditions and limitations on the approved indicated uses for which the product may be marketed or contain requirements or commitments for potentially costly post-marketing testing, including Phase 4 clinical trials, and surveillance and pharmacovigilance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including but not limited to, the EMA in the EU and the MHRA in the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 On September 18, 2024, we announced updated and long-term data from the Open-Label Extension of our ULTIMATE I &amp; II Phase 3 studies demonstrating a consistent safety profile, but the ultimate outcome of these and other studies remains uncertain.</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BRIUMVI or any future approved products are used more widely or for a longer duration after being brought to market, data may emerge from clinical studies, including confirmatory or other post-marketing studies, or from adverse event reporting or pharmacovigilance,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other products or product candidates within the RMS space following introduction into the market, a number of potentially significant negative consequences could result, including:</w:t>
      </w:r>
    </w:p>
    <w:p>
      <w:pPr>
        <w:spacing w:after="0" w:line="176" w:lineRule="exact"/>
        <w:rPr>
          <w:sz w:val="20"/>
          <w:szCs w:val="20"/>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approval or limit the approved indications for use of such products;</w:t>
      </w:r>
    </w:p>
    <w:p>
      <w:pPr>
        <w:spacing w:after="0" w:line="31"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such drug candidates are distributed or administered, or to conduct additional clinical trials;</w:t>
      </w:r>
    </w:p>
    <w:p>
      <w:pPr>
        <w:spacing w:after="0" w:line="15"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regulatory investigations and government enforcement actions;</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to remove such drug candidates from the marketplace;</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enter into collaboration agreements on acceptable terms and execute on our business model;</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injury caused to individuals exposed to or taking our products;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233"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Any one or a combination of these events could prevent us from maintaining regulatory approval and achieving or maintaining market acceptance of the affected product and/ or other products or could substantially increase the costs and expenses of commercializing the affected product and/or other products, which in turn could significantly impact our ability to successfully commercialize our drug candidates and generate revenues.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The incidence and prevalence for target patient populations of BRIUMVI and our product candidates, including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affected may turn out to be lower than expected.</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within the neurological and immunological fields,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(such as the Lanham Act) and congruous state law, which protect businesses against the unfair competition of misleading advertising or labeling.</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69" w:lineRule="exact"/>
        <w:rPr>
          <w:sz w:val="20"/>
          <w:szCs w:val="20"/>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resources, including personnel and technology;</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experience;</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pharmaceutical development, clinical trial and pharmaceutical commercialization experience;</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and expertise in exploitation of intellectual property rights;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resources.</w:t>
      </w:r>
    </w:p>
    <w:p>
      <w:pPr>
        <w:spacing w:after="0" w:line="23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However, some third-party payors may nevertheless still require documented proof that patients meet certain eligibility criteria in order to be reimbursed for BRIUMVI.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8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revenue.</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made and continue to make significant investments in our commercial organization and infrastructure. We have developed and expanded our processes and systems to support the ongoing commercialization of BRIUMVI following its commercial launch in the U.S. on January 26, 2023. There are risks involved with developing and expanding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Additional factors that may inhibit our efforts to support the ongoing commercialization of BRIUMVI and our other product candidates on our own, or through partnership, and generate product revenues include:</w:t>
      </w:r>
    </w:p>
    <w:p>
      <w:pPr>
        <w:spacing w:after="0" w:line="159" w:lineRule="exact"/>
        <w:rPr>
          <w:sz w:val="20"/>
          <w:szCs w:val="20"/>
          <w:color w:val="auto"/>
        </w:rPr>
      </w:pPr>
    </w:p>
    <w:p>
      <w:pPr>
        <w:ind w:left="600" w:hanging="297"/>
        <w:spacing w:after="0" w:line="257"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time associated with the initial and ongoing training of commercialization personnel on the applicable disease states, products, competitors, and legal and regulatory compliance matters;</w:t>
      </w:r>
    </w:p>
    <w:p>
      <w:pPr>
        <w:ind w:left="600" w:hanging="297"/>
        <w:spacing w:after="0" w:line="247"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commercialization personnel to obtain access to physicians or to effectively promote or provide education about BRIUMVI and any future approved products;</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drugs to be offered by the Company, which may put us at a competitive disadvantage relative to companies with more extensive product lines;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decisions by third-party payors to deny reimbursement of or delay coverage decisions regarding BRIUMVI or following approval of any product candidates;</w:t>
      </w:r>
    </w:p>
    <w:p>
      <w:pPr>
        <w:spacing w:after="0" w:line="26" w:lineRule="exact"/>
        <w:rPr>
          <w:rFonts w:ascii="Times New Roman" w:cs="Times New Roman" w:eastAsia="Times New Roman" w:hAnsi="Times New Roman"/>
          <w:sz w:val="16"/>
          <w:szCs w:val="16"/>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a healthcare compliance program including effective mechanisms for compliance monitoring;</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establish and maintain commercial partnerships outside the U.S.;</w:t>
      </w:r>
    </w:p>
    <w:p>
      <w:pPr>
        <w:spacing w:after="0" w:line="31" w:lineRule="exact"/>
        <w:rPr>
          <w:rFonts w:ascii="Times New Roman" w:cs="Times New Roman" w:eastAsia="Times New Roman" w:hAnsi="Times New Roman"/>
          <w:sz w:val="17"/>
          <w:szCs w:val="17"/>
          <w:color w:val="auto"/>
        </w:rPr>
      </w:pPr>
    </w:p>
    <w:p>
      <w:pPr>
        <w:ind w:left="600" w:right="360" w:hanging="297"/>
        <w:spacing w:after="0" w:line="257"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or the inability of a third party with whom we have partnered, to maintain the necessary regulatory approvals required to operate in markets outside of the U.S.;</w:t>
      </w: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product availability for commercial sale following approval and continued product supply; and</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 commercialization organization.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we have entered into a Commercialization Agreement, and may enter into additional agreements in the future, that facilitate commercialization of BRIUMVI and/or future products that receive approval in markets outside the U.S. through partnerships. On February 26, 2024, BRIUMVI was first made available in the European market by Neuraxpharm in Germany and is now commercially available in several other countries in the European Union and the United Kingdom.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liability lawsuits against us could cause us to incur substantial liabilities and could limit commercialization of any drug candidates that we may develop.</w:t>
      </w:r>
    </w:p>
    <w:p>
      <w:pPr>
        <w:spacing w:after="0" w:line="212" w:lineRule="exact"/>
        <w:rPr>
          <w:sz w:val="20"/>
          <w:szCs w:val="20"/>
          <w:color w:val="auto"/>
        </w:rPr>
      </w:pPr>
    </w:p>
    <w:p>
      <w:pPr>
        <w:ind w:firstLine="605"/>
        <w:spacing w:after="0" w:line="256"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75" w:lineRule="exact"/>
        <w:rPr>
          <w:sz w:val="20"/>
          <w:szCs w:val="20"/>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products that we may commercialize;</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 and significant negative media attention;</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31"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costs to defend the related litigation, including the risk that any individuals who may face such related litigation may in turn seek to recover from us;</w:t>
      </w: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products or product candidates that we may develop.</w:t>
      </w:r>
    </w:p>
    <w:p>
      <w:pPr>
        <w:spacing w:after="0" w:line="233"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Insurance coverage is increasingly expensive and difficult to obtain and maintain. We may not be able to maintain insurance coverage at a reasonable cost or in an amount adequate to satisfy any liability that may arise.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contracts that we enter into with government entities may involve future funding and compliance risks.</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addition, the future volume of products or services purchased by a government customer is often uncertain. Any of our government contracts might not be renewed or might be terminated for convenience with little prior notice. Contracts with government entities are typically subject to procurement laws that include socio-economic impacts, employment practices, environmental protection, recordkeeping and accounting obligations, and other requirements. These contractual and legal requirements could complicate our business and increase our compliance burden. The occurrence of any of these risks could harm our reputation and might have a materially adverse impact on our business operations, financial position and/or results of operations.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Financial Position and Need for Additional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operating losses since our inception, and we may incur losses in the future.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(withdrawn from sale) and launching and commercializing BRIUMVI. We are transitioning from a company with a research and development focus and commercialization capabilities in oncology to a company capable of supporting commercial activities in the U.S. and outside the U.S. This transition involves a wide variety of risks, and we may not be successful in such transition.</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Since inception, we have focused our efforts and financial resources on clinical trials, manufacturing of our products and product candidates, establishing a commercial infrastructure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BRIUMVI is currently our only marketed product.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a net profit. We may not be able to sustain or increase our profitability on a quarterly or annual basis. Our ability to become profitable depends upon our ability to generate substantial revenue. Our prior losses have had and will continue to have an adverse effect on our stockholders’ deficit and working capital should we be unable to maintain profitability in future periods.</w:t>
      </w:r>
    </w:p>
    <w:p>
      <w:pPr>
        <w:spacing w:after="0" w:line="183" w:lineRule="exact"/>
        <w:rPr>
          <w:sz w:val="20"/>
          <w:szCs w:val="20"/>
          <w:color w:val="auto"/>
        </w:rPr>
      </w:pPr>
    </w:p>
    <w:p>
      <w:pPr>
        <w:ind w:right="40" w:firstLine="605"/>
        <w:spacing w:after="0" w:line="252" w:lineRule="auto"/>
        <w:rPr>
          <w:sz w:val="20"/>
          <w:szCs w:val="20"/>
          <w:color w:val="auto"/>
        </w:rPr>
      </w:pPr>
      <w:r>
        <w:rPr>
          <w:rFonts w:ascii="Times New Roman" w:cs="Times New Roman" w:eastAsia="Times New Roman" w:hAnsi="Times New Roman"/>
          <w:sz w:val="17"/>
          <w:szCs w:val="17"/>
          <w:color w:val="auto"/>
        </w:rPr>
        <w:t>To become and remain profitable, we must succeed in developing (or in-licensing) and commercializing our products or product candidates, and continue to successfully commercialize BRIUMVI. It is uncertain when and if we will generate or continue to generate any significant revenue from the sale of our product or any product candidates, if approved, in the future. Furthermore, no assurance can be given that we will meet revenue and operating expenses projections or guidance with respect to BRIUMVI or our product candidates, if approved. To obtain significant and sustained revenues and meet our revenue and operating expenses projections or guidance, we must succeed, either alone or with others, in (i) obtaining and maintaining regulatory approval for our products and product candidates; and (ii) manufacturing, marketing and selling our product and product candidates. Our ability to generate sustained revenue depends on a number of factors, including, but not limited to, our ability to:</w:t>
      </w:r>
    </w:p>
    <w:p>
      <w:pPr>
        <w:spacing w:after="0" w:line="177" w:lineRule="exact"/>
        <w:rPr>
          <w:sz w:val="20"/>
          <w:szCs w:val="20"/>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complete clinical trials that meet their clinical endpoints;</w:t>
      </w:r>
    </w:p>
    <w:p>
      <w:pPr>
        <w:spacing w:after="0" w:line="31"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and successfully complete all safety, pharmacokinetic, biodistribution, and non-clinical studies required to obtain U.S. and foreign marketing approval for our product and product candidates;</w:t>
      </w:r>
    </w:p>
    <w:p>
      <w:pPr>
        <w:ind w:left="600" w:hanging="297"/>
        <w:spacing w:after="0" w:line="247"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from the FDA and foreign equivalents to market and sell our product and product candidates, and maintain FDA, MHRA and EMA approvals of BRIUMVI for RMS;</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commercial manufacturing capabilities with third parties that are satisfactory to the regulatory authorities, cost effective, and that are capable of providing commercial supply of our product and product candidates;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on our commercialization infrastructure to commercialize BRIUMVI, and/or entering into collaborations with third parties;</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develop, maintain, protect, and defend our intellectual property portfolio; and</w:t>
      </w:r>
    </w:p>
    <w:p>
      <w:pPr>
        <w:spacing w:after="0" w:line="31"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market acceptance of BRIUMVI and any other products for which we may receive regulatory approval in the medical community and with third-party payors.</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If we are unable to generate significant and sustained revenues, we will not become or remain profitable and we will be unable to continue our operations without continued funding.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development of pharmaceuticals is capital-intensive. We are also continuing to generate additional clinical data for BRIUMVI to support and potentially expand commercial adoption, including assessing long-term tolerability in our Open-Label Extension of the Phase 3 ULTIMATE I and II trials and Phase 4 clinical studies necessary to satisfy post-approval commitments for regulatory authorities or those undertaken voluntarily by the Company to evaluate the use of BRIUMVI in alternate settings or with alternate methods of administration. Moreover, we expect to continue to incur significant research and development expenses, as well as significant commercialization and outsourced manufacturing expenses as we continue to commercialize BRIUMVI over the foreseeable future. Additionally, in 2025, we expect to commence a pivotal program evaluating a self-administered subcutaneous BRIUMVI product with an improved dosing frequency, commence pivotal trials aimed at further optimizing intravenous BRUIMVI for patients with RMS, evaluate BRIUMVI in other autoimmune diseases outside of MS and commence a Phase 1 clinical trial evaluating azer-cel for the treatment of primary progressive MS.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amount and timing of our future funding requirements will depend on many factors, including, but not limited to, the following:</w:t>
      </w:r>
    </w:p>
    <w:p>
      <w:pPr>
        <w:spacing w:after="0" w:line="208" w:lineRule="exact"/>
        <w:rPr>
          <w:sz w:val="20"/>
          <w:szCs w:val="20"/>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the ongoing commercialization of BRIUMVI and any other products for which we receive regulatory approval;</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clinical and commercial manufacturing supply arrangements for each product and product candidate;</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expanding our sales, distribution, and other commercialization capabilities;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regulatory approvals;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of our clinical trials, including expenses to support the trials and milestone payments that may become payable under our license agreements;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strategic collaborations, including licensing and other arrangements;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involved in enforcing or defending patent claims or other intellectual property rights;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in-license or invest in other indications or product candidates.</w:t>
      </w:r>
    </w:p>
    <w:p>
      <w:pPr>
        <w:spacing w:after="0" w:line="233"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5"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our term loan facility of $250 million pursuant to the financing agreement, dated August 2, 2024, that we entered into with Blue Owl Capital Corporation, as administrative agent, HealthCare Royalty and Blue Owl Capital (the Financing Agreement)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right="80" w:firstLine="605"/>
        <w:spacing w:after="0" w:line="256" w:lineRule="auto"/>
        <w:rPr>
          <w:sz w:val="20"/>
          <w:szCs w:val="20"/>
          <w:color w:val="auto"/>
        </w:rPr>
      </w:pPr>
      <w:r>
        <w:rPr>
          <w:rFonts w:ascii="Times New Roman" w:cs="Times New Roman" w:eastAsia="Times New Roman" w:hAnsi="Times New Roman"/>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level of indebtedness and debt service obligations could adversely affect our financial condition and may make it more difficult for us to fund our operations.</w:t>
      </w:r>
    </w:p>
    <w:p>
      <w:pPr>
        <w:spacing w:after="0" w:line="223"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7"/>
          <w:szCs w:val="17"/>
          <w:color w:val="auto"/>
        </w:rPr>
        <w:t>On August 2, 2024, the Company entered into a term loan facility of $250 million (the Initial Term Loan) with Blue Owl Capital Corporation, as administrative agent, HealthCare Royalty and Blue Owl Capital. The Initial Term Loan is governed by the Financing Agreement, which provides for (i) a single draw of the Initial Term Loan on the Closing Date and (ii) an uncommitted additional facility in an aggregate principal amount of $100 million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Note 7 to our consolidated financial statements for more information).</w:t>
      </w:r>
    </w:p>
    <w:p>
      <w:pPr>
        <w:spacing w:after="0" w:line="175" w:lineRule="exact"/>
        <w:rPr>
          <w:sz w:val="20"/>
          <w:szCs w:val="20"/>
          <w:color w:val="auto"/>
        </w:rPr>
      </w:pPr>
    </w:p>
    <w:p>
      <w:pPr>
        <w:jc w:val="both"/>
        <w:ind w:firstLine="454"/>
        <w:spacing w:after="0" w:line="261" w:lineRule="auto"/>
        <w:rPr>
          <w:sz w:val="20"/>
          <w:szCs w:val="20"/>
          <w:color w:val="auto"/>
        </w:rPr>
      </w:pPr>
      <w:r>
        <w:rPr>
          <w:rFonts w:ascii="Times New Roman" w:cs="Times New Roman" w:eastAsia="Times New Roman" w:hAnsi="Times New Roman"/>
          <w:sz w:val="17"/>
          <w:szCs w:val="17"/>
          <w:color w:val="auto"/>
        </w:rPr>
        <w:t>All obligations under the Financing Agreement are secured by a lien on substantially all of assets of the Company and certain of our subsidiaries as guarantors.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 the extent additional debt is added to our current debt levels, the risks described above could increase, including in the ways described below:</w:t>
      </w:r>
    </w:p>
    <w:p>
      <w:pPr>
        <w:spacing w:after="0" w:line="208" w:lineRule="exact"/>
        <w:rPr>
          <w:sz w:val="20"/>
          <w:szCs w:val="20"/>
          <w:color w:val="auto"/>
        </w:rPr>
      </w:pPr>
    </w:p>
    <w:p>
      <w:pPr>
        <w:ind w:left="600" w:hanging="297"/>
        <w:spacing w:after="0" w:line="257"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600" w:hanging="297"/>
        <w:spacing w:after="0" w:line="251"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 the extent additional debt is added to our current debt levels, the risks described above could increase.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cash available in an amount sufficient to enable us to make interest or principal payments on our indebtedness when due.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Failure to satisfy our current and future debt obligations under the Financing Agreement, or the breach of any of its covenants, subject to specified cure periods with respect to certain breaches, could result in an event of default and, as a result, Blue Owl Capital and HealthCare Royalty could accelerate all the amounts due. In the event of an acceleration of amounts due under the Financing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Blue Owl Capital Corporation could also exercise its rights as the Administrative Agent to take possession and dispose of the collateral securing the term loan for its benefit, which collateral includes substantially all of our assets and certain of our subsidiaries as guarantors. Our business, financial condition and results of operations could be materially adversely affected as a result of any of these events.</w:t>
      </w:r>
    </w:p>
    <w:p>
      <w:pPr>
        <w:spacing w:after="0" w:line="180" w:lineRule="exact"/>
        <w:rPr>
          <w:sz w:val="20"/>
          <w:szCs w:val="20"/>
          <w:color w:val="auto"/>
        </w:rPr>
      </w:pPr>
    </w:p>
    <w:p>
      <w:pPr>
        <w:ind w:right="260" w:firstLine="605"/>
        <w:spacing w:after="0" w:line="274" w:lineRule="auto"/>
        <w:rPr>
          <w:sz w:val="20"/>
          <w:szCs w:val="20"/>
          <w:color w:val="auto"/>
        </w:rPr>
      </w:pPr>
      <w:r>
        <w:rPr>
          <w:rFonts w:ascii="Times New Roman" w:cs="Times New Roman" w:eastAsia="Times New Roman" w:hAnsi="Times New Roman"/>
          <w:sz w:val="17"/>
          <w:szCs w:val="17"/>
          <w:color w:val="auto"/>
        </w:rPr>
        <w:t>In addition, the Financing Agreement imposes operating and other restrictions on the Company. Such restrictions will affect, and in many respects limit or prohibit, our ability and the ability of any future subsidiary to, among other things (subject to the exceptions provided for in the Financing Agreement):</w:t>
      </w:r>
    </w:p>
    <w:p>
      <w:pPr>
        <w:spacing w:after="0" w:line="159" w:lineRule="exact"/>
        <w:rPr>
          <w:sz w:val="20"/>
          <w:szCs w:val="20"/>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dispose of certain assets;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its lines of business;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mergers, acquisitions, joint ventures or consolidations;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liens on assets;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and make contributions or repurchase our capital stock;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certain transactions with affiliates.</w:t>
      </w:r>
    </w:p>
    <w:p>
      <w:pPr>
        <w:spacing w:after="0" w:line="2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breach of any of these restrictive covenants could have a material adverse effect on our business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cash and cash equivalents could be adversely affected if the financial institutions in which we hold our cash and cash equivalents fail.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regularly maintain cash balances at third-party financial institutions in excess of the FDIC insurance limit. Any failure of such depository institution to return any of our deposits upon a liquidation of such institution, or any other adverse conditions in the financial or credit markets affecting depository institutions, could impact access to our invested cash or cash equivalents and could adversely impact our operating liquidity and financial performance.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Drug Development and Regulatory Approval</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maintain or obtain regulatory approval for our product and product candidates and ultimately cannot successfully commercialize our product or product candidates, or experience significant delays in doing so, our business will be materially harmed.</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69" w:lineRule="exact"/>
        <w:rPr>
          <w:sz w:val="20"/>
          <w:szCs w:val="20"/>
          <w:color w:val="auto"/>
        </w:rPr>
      </w:pPr>
    </w:p>
    <w:p>
      <w:pPr>
        <w:ind w:left="600" w:hanging="297"/>
        <w:spacing w:after="0" w:line="257"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600" w:hanging="297"/>
        <w:spacing w:after="0" w:line="247"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Investigational New Drug Applications (INDs) and clinical trial applications (CTAs), being cleared/issued/approved such that our product candidates can commence clinical trials;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initiation and completion of preclinical studies and successful initiation of, enrollment in, and completion of clinical trials;</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sufficiency of our financial and other resources to complete the necessary preclinical studies and clinical trials;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regulatory approvals from applicable regulatory authorities for our product candidates;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commercially viable arrangements with third-party manufacturers for clinical supply and commercial manufacturing;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and trade secret protection or regulatory exclusivity for our product candidates.</w:t>
      </w:r>
    </w:p>
    <w:p>
      <w:pPr>
        <w:spacing w:after="0" w:line="23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top-line,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and preliminary data from our clinical trials that we announce or publish may change, or the perceived product profile may be negatively impacted, as more patient data or additional endpoints (including efficacy and safety) are analyzed.</w:t>
      </w:r>
    </w:p>
    <w:p>
      <w:pPr>
        <w:spacing w:after="0" w:line="17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or pivotal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7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such as later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83"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8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 or that even with such replication marketing approval will be granted.</w:t>
      </w:r>
    </w:p>
    <w:p>
      <w:pPr>
        <w:spacing w:after="0" w:line="177"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Successful completion of our clinical trials is a prerequisite to submitting a New Drug Application (NDA) or a Biologics License Application (BLA) to the FDA and a Marketing Authorization Application (MAA) to the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Whether or not, and if so,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spacing w:after="0" w:line="176" w:lineRule="exact"/>
        <w:rPr>
          <w:sz w:val="20"/>
          <w:szCs w:val="20"/>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regulatory authorities may require us to submit additional data or impose other requirements before permitting us to initiate a clinical trial;</w:t>
      </w:r>
    </w:p>
    <w:p>
      <w:pPr>
        <w:spacing w:after="0" w:line="31" w:lineRule="exact"/>
        <w:rPr>
          <w:rFonts w:ascii="Times New Roman" w:cs="Times New Roman" w:eastAsia="Times New Roman" w:hAnsi="Times New Roman"/>
          <w:sz w:val="17"/>
          <w:szCs w:val="17"/>
          <w:color w:val="auto"/>
        </w:rPr>
      </w:pPr>
    </w:p>
    <w:p>
      <w:pPr>
        <w:jc w:val="both"/>
        <w:ind w:left="600" w:hanging="297"/>
        <w:spacing w:after="0" w:line="252"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regulatory authorities or institutional review boards (IRBs) or Data Safety Monitoring Boards (DSMBs) or ethics committees (ECs) may not authorize us or our investigators to commence or continue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spacing w:after="0" w:line="1" w:lineRule="exact"/>
        <w:rPr>
          <w:rFonts w:ascii="Times New Roman" w:cs="Times New Roman" w:eastAsia="Times New Roman" w:hAnsi="Times New Roman"/>
          <w:sz w:val="17"/>
          <w:szCs w:val="17"/>
          <w:color w:val="auto"/>
        </w:rPr>
      </w:pPr>
    </w:p>
    <w:p>
      <w:pPr>
        <w:ind w:left="600" w:hanging="297"/>
        <w:spacing w:after="0" w:line="263"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600" w:hanging="297"/>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elect to or regulatory authorities or IRBs, DSMBs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product candidates may be greater than we anticipate;</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shifts in the regulatory focus of the U.S. government as a reflection of changing administrations;</w:t>
      </w:r>
    </w:p>
    <w:p>
      <w:pPr>
        <w:spacing w:after="0" w:line="31" w:lineRule="exact"/>
        <w:rPr>
          <w:rFonts w:ascii="Times New Roman" w:cs="Times New Roman" w:eastAsia="Times New Roman" w:hAnsi="Times New Roman"/>
          <w:sz w:val="17"/>
          <w:szCs w:val="17"/>
          <w:color w:val="auto"/>
        </w:rPr>
      </w:pPr>
    </w:p>
    <w:p>
      <w:pPr>
        <w:jc w:val="both"/>
        <w:ind w:left="600" w:hanging="297"/>
        <w:spacing w:after="0" w:line="254"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in Russia and Ukraine and the Middle East, economic instability, or natural disasters;</w:t>
      </w: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revise the requirements applicable to our product candidates, or such requirements may not be as we anticipate; and</w:t>
      </w:r>
    </w:p>
    <w:p>
      <w:pPr>
        <w:spacing w:after="0" w:line="15"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have undesirable side effects or other unexpected characteristics, causing us or our investigators, regulatory authorities, IRBs, DSMBs or ECs to suspend or terminate the trials, or reports may arise from preclinical or clinical testing of other therapies in the same or a similar class that raise safety or efficacy concerns about our product candidates.</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clinical hold, suspension or termination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drug, changes in governmental regulations or administrative actions or lack of adequate funding to continue the clinical trial. In addition to the FDA, the IRB and/or the DSMB for our clinical trials may recommend modification to the study design or closure of the study entirely based on the IRB's and/or DSMB’s interpretation of the benefit-risk of the study. While we develop charters that guide the nature of the IRB and DSMB meetings, their analysis and interpretation of study data occurs independently from us and is wholly within their control. Even if the IRB or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75" w:lineRule="exact"/>
        <w:rPr>
          <w:sz w:val="20"/>
          <w:szCs w:val="20"/>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for our product candidates;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obtain marketing approval at all;</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marketing approval in some countries and not others;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marketing approval for indications or patient populations that are not as broad as intended or desired;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post-marketing requirements or post-marketing commitments;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increased pricing pressure; or</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drug removed from the market after obtaining marketing approval.</w:t>
      </w:r>
    </w:p>
    <w:p>
      <w:pPr>
        <w:spacing w:after="0" w:line="233"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Biologics carry unique risks and uncertainties, which could have a negative impact on our business.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spacing w:after="0" w:line="173" w:lineRule="exact"/>
        <w:rPr>
          <w:sz w:val="20"/>
          <w:szCs w:val="20"/>
          <w:color w:val="auto"/>
        </w:rPr>
      </w:pPr>
    </w:p>
    <w:p>
      <w:pPr>
        <w:ind w:right="5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Unexpected or undesirable adverse events caused by BRIUMVI or any of our product candidates that we take into clinical trials could cause either a DSMB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spacing w:after="0" w:line="176"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new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FDA and foreign regulatory authorities exercise extensive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spacing w:after="0" w:line="177"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reasons that the FDA or regulatory authorities around the world may delay, limit or deny approval of a product candidate, include:</w:t>
      </w:r>
    </w:p>
    <w:p>
      <w:pPr>
        <w:spacing w:after="0" w:line="208" w:lineRule="exact"/>
        <w:rPr>
          <w:sz w:val="20"/>
          <w:szCs w:val="20"/>
          <w:color w:val="auto"/>
        </w:rPr>
      </w:pPr>
    </w:p>
    <w:p>
      <w:pPr>
        <w:ind w:left="600" w:hanging="297"/>
        <w:spacing w:after="0" w:line="257"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satisfaction of the FDA or comparable foreign regulatory authorities that a product candidate is tolerable and effective for an indication;</w:t>
      </w:r>
    </w:p>
    <w:p>
      <w:pPr>
        <w:ind w:left="600" w:hanging="297"/>
        <w:spacing w:after="0" w:line="247"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not accept clinical data from trials conducted by individual investigators or in countries where the standard of care or the patient population, is potentially different from that of the United States;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clinical trials may not meet the level of statistical significance required by the FDA or comparable foreign regulatory authorities for approval;</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that a product candidate’s clinical and other benefits outweigh its safety risks;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our interpretation of data from preclinical studies and/or clinical trials;</w:t>
      </w:r>
    </w:p>
    <w:p>
      <w:pPr>
        <w:spacing w:after="0" w:line="31"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600" w:right="2820" w:hanging="297"/>
        <w:spacing w:after="0" w:line="263" w:lineRule="auto"/>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identify issues related to the manufacturing processes or facilities of third-party manufacturers with which we or our collaborators currently contract for clinical supplies and</w:t>
      </w:r>
    </w:p>
    <w:p>
      <w:pPr>
        <w:jc w:val="both"/>
        <w:ind w:left="60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foreign regulatory authorities;</w:t>
      </w:r>
    </w:p>
    <w:p>
      <w:pPr>
        <w:ind w:left="600" w:hanging="297"/>
        <w:spacing w:after="0" w:line="247"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processes of the FDA or comparable foreign regulatory authorities may significantly change in a manner rendering our clinical data insufficient for approval; or</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or delays in the operations of the FDA and foreign regulatory authorities as a result of global health crises, inadequate government funding, political conditions or economic crises, international conflict, or natural disasters may negatively impact review, inspection, and approval timelines.</w:t>
      </w:r>
    </w:p>
    <w:p>
      <w:pPr>
        <w:spacing w:after="0" w:line="17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Even if we succeed in obtaining regulatory approval for a product candidate, the FDA may require, or we may commit to,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currently focusing the majority of our efforts on maintaining approval, improving and commercializing BRIUMVI and developing azer-cel for particular indications. As a result, we may fail to capitalize on other indications or product candidates that may ultimately have proven to be more profitable.</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are currently focusing the majority of our resources and efforts on maintaining approval, improving and commercializing BRIUMVI and developing azer-cel for particular indications. As a result, we may forego or delay the pursuit of opportunities for other indications or with other product candidates that may have greater commercial potential. Our resource allocation decisions may cause us to fail to capitalize on viable commercial drugs or profitable market opportunities. If we do not accurately evaluate the commercial potential or target markets for BRIUMVI and azer-cel, we may relinquish valuable rights to our product candidates or programs through collaboration, licensing or other strategic arrangements in cases in which it would have been more advantageous for us to retain sole development and commercialization rights to such product candidate(s) or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Breakthrough Therapy or Fast Track designation by the FDA may not actually lead to a faster development or regulatory review or approval process.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w:t>
      </w:r>
    </w:p>
    <w:p>
      <w:pPr>
        <w:spacing w:after="0" w:line="17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77"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conducting clinical trials and anticipate conducting additional clinical trials for our product and product candidates at sites outside the United States, and trials conducted in such locations or clinical trial activities in such locations may be impacted by political conditions, including international conflict.</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challenges,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76"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In addition, our clinical studies with sites outside the United States may be adversely impacted by international conflict. The ongoing conflict in Russia and Ukraine and impact on neighboring countries (e.g. Poland, Slovakia, Belarus, Georgia) may adversely affect clinical trial sites for our RMS and/or oncology programs. While no clinical trials are currently enrolling patients in Russia or Ukraine,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certain Russian financial institutions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currently do not believe this conflict will have a material impact on product development or our overall business, given the evolving situation and the related geopolitical and economic uncertainties, the full impact of the conflict remains uncertain.</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FDA, EMA and other comparable foreign regulatory authorities may not accept data from trials conducted in locations outside of their respective jurisdictions.</w:t>
      </w:r>
    </w:p>
    <w:p>
      <w:pPr>
        <w:spacing w:after="0" w:line="155"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We have been conducting, and may continue to conduct, clinical trials globally. The acceptance of study data by the FDA, EMA or other comparable foreign regulatory authorities from clinical trials conducted outside of their respective jurisdictions may be subject to certain conditions, which may include conditions related to the applicability and verifiability of the data and cooperation with foreign regulatory agencies. In cases where data from United States clinical trials are intended to serve as the basis for marketing approval in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may result in our product candidates not receiving approval or clearance for commercialization in the applicable jurisdiction.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Approval of one of our product candidates in the United States would not assure approval of that candidate in foreign jurisdictions.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6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To the extent possible and commercially practicable, we plan to develop back-up strategies for raw materials and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the next several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All of these occurrences would be beyond our control.</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Contract manufacturers are subject to ongoing periodic and unannounced inspections by the FDA, the Drug Enforcement Administration,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Governmental Regulation of Pharmaceutical Industry and Legal Compliance Matters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Affordable Care Act, made significant changes to the U.S. healthcare system, which included expanding healthcare coverage through Medicaid and implementation of the individual health insurance mandate; changing coverage and reimbursement of drug products under Medicare, Medicaid and 340B government programs; imposing an annual fee on manufacturers of branded drugs; and expanding government enforcement authority. The ACA has been the subject of legislative and litigation challenges. We cannot predict whether the new U.S. administration would impose any further changes to the ACA and what effect, if any, such changes to the ACA would have on our business.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are uncertain of the impact or outcome of potential Executive Orders, rescission of rules and policy statements, or new legislation, including the imposition of tariffs, that the new U.S. administration may impose, especially with regards to the healthcare regulatory and policy landscape, or the impact they may have on our business.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There have been several recent U.S. Congressional inquiries and proposed and enacted legislation designed to bring more transparency to drug pricing, reduce the cost of prescription drugs and reform government health care program reimbursement methodologies for prescription drugs. In September 2024, CMS issued a final rule titled “Medicaid Program; Misclassification of Drugs, Program Integrity Updates Under the Medicaid Drug Rebate Program” which may impact our reimbursement and rebate strategy. We expect that health 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There continue to be efforts to lower drug prices through increased competition, with policy proposals seeking to facilitate generic and biosimilar approval and marketing authorization. For example, the FDA’s Biosimilar Action Plan and current Biosimilar User Fee Amendments provide a detailed account of the agency’s strategic priorities to improve the efficiency of the biosimilar and interchangeable product development and approval process and support robust competition. In the event there is a modification to the biologic exclusivity period, other applicable regulatory exclusivity periods or other steps taken to facilitate biosimilar approvals, we could experience competition to any products for which we receive FDA approval at an earlier time than currently anticipated.</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IRA included, among other provisions, several measures intended to lower the cost of prescription drugs and related healthcare reforms. Among other things, the IRA requires manufacturers of certain drugs to engage in price negotiations with Medicare beginning in 2026, imposes rebates under Medicare Part B and Medicare Part D to penalize price increases that outpace inflation, and replaces the Part D coverage gap discount program with a new discounting program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Prescription Drug Affordability Boards, some with the ability to impose price controls on state drug purchases, and imposing transparency measures around prescription drug prices and marketing costs. These measures, which vary by state, could reduce the ultimate demand for our products, if approved, or put pressure on our product net pricing.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Pricing Program, recent legislative proposals, as well as judicial challenges to DHHS’s policies, present both opportunities and challenges for drug manufacturers participating in the program. Further,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It is not possible at this time to determine whether changes in the administration may change the regulatory focus and/or implementation of any regulations, policies or reforms.</w:t>
      </w:r>
    </w:p>
    <w:p>
      <w:pPr>
        <w:spacing w:after="0" w:line="180"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75" w:lineRule="exact"/>
        <w:rPr>
          <w:sz w:val="20"/>
          <w:szCs w:val="20"/>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revenues and achieve or maintain profitability;</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any products for which we may obtain regulatory approval;</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products;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taxes that we are required to pay;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capital.</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for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6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Disruptions at the FDA and other agencies may also extend the time necessary for new drugs to be reviewed and/or approved by necessary government agencies, which would adversely affect our business. For example, over the last several years, the U.S. government shut down several times and certain regulatory agencies, such as the FDA and the SEC, had to furlough critical employees and stop critical activities. If a prolonged government shutdown occurs, it could significantly impact the ability of the FDA to review and process our regulatory submissions in a timely matter, which could have a material adverse effect on our business. Further, future government shutdowns could impact our ability to access the public markets and obtain necessary capital in order to properly capitalize and continue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6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With the FDA, EMA and MHRA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77" w:lineRule="exact"/>
        <w:rPr>
          <w:sz w:val="20"/>
          <w:szCs w:val="20"/>
          <w:color w:val="auto"/>
        </w:rPr>
      </w:pPr>
    </w:p>
    <w:p>
      <w:pPr>
        <w:jc w:val="both"/>
        <w:ind w:left="600" w:hanging="297"/>
        <w:spacing w:after="0" w:line="249"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p>
      <w:pPr>
        <w:spacing w:after="0" w:line="6"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p>
      <w:pPr>
        <w:spacing w:after="0" w:line="4" w:lineRule="exact"/>
        <w:rPr>
          <w:rFonts w:ascii="Times New Roman" w:cs="Times New Roman" w:eastAsia="Times New Roman" w:hAnsi="Times New Roman"/>
          <w:sz w:val="17"/>
          <w:szCs w:val="17"/>
          <w:color w:val="auto"/>
        </w:rPr>
      </w:pPr>
    </w:p>
    <w:p>
      <w:pPr>
        <w:ind w:left="600" w:right="60" w:hanging="297"/>
        <w:spacing w:after="0" w:line="248"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both"/>
        <w:ind w:left="600" w:hanging="297"/>
        <w:spacing w:after="0" w:line="250"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under section 6002 of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CMS has the potential to impose penalties for violations of the Physician Payments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p>
      <w:pPr>
        <w:spacing w:after="0" w:line="4"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w:t>
      </w:r>
    </w:p>
    <w:p>
      <w:pPr>
        <w:spacing w:after="0" w:line="3"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wide range of federal and state consumer protection and unfair competition laws, which broadly regulate marketplace activities and activities that potentially harm consumers including those related to privacy;</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FDCA and its implementing regulations, which among other things, strictly regulate drug product marketing and prohibit manufacturers from promotion and marketing of products prior to approval or for uses inconsistent with the FDA-required labeling;</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Drug Supply Chain Security Act (DSCSA), which imposes obligations on entities in the commercial product supply chain, including manufacturers, to identify and track prescription drugs as they are distributed in the U.S.; and</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50"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marketing restrictions and state laws governing the privacy and security of health information in certain circumstances, many of which differ from each other in significant ways and often are not preempted by federal laws, thus complicating compliance efforts.</w:t>
      </w:r>
    </w:p>
    <w:p>
      <w:pPr>
        <w:spacing w:after="0" w:line="17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scrutiny by government enforcement agencies, including, by the U.S. Department of Health and Human Services Office of Inspector General (OIG) and the U.S. Department of Justice (DOJ) in drug manufacturers’ product and patient assistance programs and the operation of such programs, including reimbursement support services, and investigations into these programs have resulted in significant civil and criminal settlements.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83"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69"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Within the United States, HIPAA, as amended by HITECH,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and health information more generally, is considered sensitive data that merits stronger safeguards. States may also impose requirements. For example, the California Consumer Privacy Act of 2018 (CCPA) created data privacy obligations for covered companies and provides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Privacy Rights Act of 2020 (CPRA) significantly expanded the CCPA to grant additional rights to California residents and established a new California data protection agency authorized to issue substantive regulations and could result in increased privacy and information security enforcement. Data privacy and cybersecurity are also areas of increasing state legislative focus. Among other things, these state-specific laws create new data privacy obligations for covered companies and provide new privacy rights to state residents, including the right to opt out of certain disclosures of their information. Draft regulations implementing certain of the state statutes have been published, but many questions remain as to how all of the new statutes will be interpreted. These laws are rapidly changing, and tracking, analyzing and complying with such laws require significant time and expenses and can materially impact our business. We cannot predict where new legislation might arise, the scope of such legislation, or the potential impact to our business and operations. New federal and state laws and regulations that may be enacted in the future may require us to modify our data processing practices and policies, incur substantial compliance-related costs and expenses, and otherwise suffer adverse impacts on our business.</w:t>
      </w:r>
    </w:p>
    <w:p>
      <w:pPr>
        <w:spacing w:after="0" w:line="3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Numerous other jurisdictions regulate the privacy and security of personal data. For example, the processing of personal data in the European Economic Area (EEA), is subject to the General Data Protection Regulation (GDPR).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may lead to increased scrutiny on data transfers from the EEA to the U.S. generally and increase our costs of compliance with data privacy legislation.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If we experience a reportable data breach that is subject to any data privacy and security laws or if our operations are found to otherwise be in violation of any data privacy and security laws, rules or regulations that apply to us, we may be subject to penalties, including civil and criminal penalties, damages, fines, litigation and the curtailment or restructuring of our operations, which could adversely affect our ability to operate our business, our reputation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the EU, including applicable export control regulations,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may also suspend or bar issuers from trading securities on U.S. exchanges, including the Nasdaq Stock Market, for violations of the FCPA’s accounting provisions. Likewise, any investigation of any potential violations of the FCPA, other anti-corruption laws or Trade Control Laws by the U.S. or other authorities, could also have an adverse impact on our reputation, our business, results of operations and financial condition.</w:t>
      </w:r>
    </w:p>
    <w:p>
      <w:pPr>
        <w:spacing w:after="0" w:line="17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Failure to comply with these regulatory requirements or later discovery of previously unknown problems with products, manufacturers, or manufacturing processes, may result in actions such as:</w:t>
      </w:r>
    </w:p>
    <w:p>
      <w:pPr>
        <w:spacing w:after="0" w:line="159" w:lineRule="exact"/>
        <w:rPr>
          <w:sz w:val="20"/>
          <w:szCs w:val="20"/>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product manufacturing, distribution or use;</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labeling or marketing of a product;</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post-marketing studies or clinical trials;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 or other advisory actions;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 for withdrawal of the products from the market;</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or our subsidiaries submit;</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termination of ongoing clinical trials;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restitutions, or disgorgement of profits or revenues;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products;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w:t>
      </w:r>
    </w:p>
    <w:p>
      <w:pPr>
        <w:spacing w:after="0" w:line="233"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incidents.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research and development activities could be affected or delayed as a result of shortages in animal availability or possible restrictions on animal testing. Compliance with governmental regulations regarding the treatment of animals used in research could increase our operating costs, which would adversely affect the commercialization of our products.</w:t>
      </w:r>
    </w:p>
    <w:p>
      <w:pPr>
        <w:spacing w:after="0" w:line="16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Certain laws and regulations may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which result in significant harm to our business.</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 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obligations exist in many foreign jurisdictions. If we or our contractors fail to comply with regulations concerning the treatment of animals used in research, we may be subject to fines, penalties and adverse publicity, and our operations could be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Dependence on Third Parties</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76"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84"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59" w:lineRule="exact"/>
        <w:rPr>
          <w:sz w:val="20"/>
          <w:szCs w:val="20"/>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staffing difficulties;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comply with contractual obligations;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regulatory compliance issues;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undergo changes in priorities or become financially distressed; or</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relationships with other entities, some of which may be our competitors.</w:t>
      </w:r>
    </w:p>
    <w:p>
      <w:pPr>
        <w:spacing w:after="0" w:line="233"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reliance on third-party manufacturers entails additional risks, including:</w:t>
      </w:r>
    </w:p>
    <w:p>
      <w:pPr>
        <w:spacing w:after="0" w:line="208" w:lineRule="exact"/>
        <w:rPr>
          <w:sz w:val="20"/>
          <w:szCs w:val="20"/>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the third party for regulatory compliance and quality assurance;</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breach of the manufacturing, supply or quality agreement by the third party;</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misappropriation of our proprietary information, including our trade secrets and know-how;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termination or nonrenewal of the agreement by the third party at a time that is costly or inconvenient for us.</w:t>
      </w:r>
    </w:p>
    <w:p>
      <w:pPr>
        <w:spacing w:after="0" w:line="233"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6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global health crises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8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75" w:lineRule="exact"/>
        <w:rPr>
          <w:sz w:val="20"/>
          <w:szCs w:val="20"/>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technology and processes infringe on intellectual property of the licensor that is not subject to the license agreement;</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sublicensing of patent and other rights under our collaborative development relationships and obligations associated with sublicensing;</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under the license agreement and what activities satisfy those diligence obligations;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inventions and know-how resulting from the joint creation or use of intellectual property by our licensors and us and our partners;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patented technology.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July 28, 2023, we entered into a Commercialization Agreement (the Commercialization Agreement) with Neuraxpharm Pharmaceuticals, S.L. (Neuraxpharm), pursuant to which Neuraxpharm has the right to commercialize BRIUMVI in certain markets outside of the U.S. On February 26, 2024, BRIUMVI was first made available in the European market by Neuraxpharm in Germany and is now commercially available in several other countries in the European Union and the United Kingdom. In addition to the Commercialization Agreement, we may enter into collaboration arrangements with other collaboration and commercialization partners.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subject to a number of risks associated with our dependence on our relationships with our collaboration and commercialization partners, including:</w:t>
      </w:r>
    </w:p>
    <w:p>
      <w:pPr>
        <w:spacing w:after="0" w:line="208" w:lineRule="exact"/>
        <w:rPr>
          <w:sz w:val="20"/>
          <w:szCs w:val="20"/>
          <w:color w:val="auto"/>
        </w:rPr>
      </w:pPr>
    </w:p>
    <w:p>
      <w:pPr>
        <w:ind w:left="1120" w:hanging="375"/>
        <w:spacing w:after="0" w:line="25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decisions by our collaboration and commercialization partners to terminate their collaboration or commercialization agreements with us for reasons specified in the collaboration or commercialization agreements, including our breach;</w:t>
      </w:r>
    </w:p>
    <w:p>
      <w:pPr>
        <w:jc w:val="both"/>
        <w:ind w:left="1120" w:hanging="375"/>
        <w:spacing w:after="0" w:line="24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p>
      <w:pPr>
        <w:spacing w:after="0" w:line="1" w:lineRule="exact"/>
        <w:rPr>
          <w:rFonts w:ascii="Times New Roman" w:cs="Times New Roman" w:eastAsia="Times New Roman" w:hAnsi="Times New Roman"/>
          <w:sz w:val="17"/>
          <w:szCs w:val="17"/>
          <w:color w:val="auto"/>
        </w:rPr>
      </w:pPr>
    </w:p>
    <w:p>
      <w:pPr>
        <w:ind w:left="1120" w:hanging="375"/>
        <w:spacing w:after="0" w:line="24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decisions by a collaboration or commercialization partner regarding the amount and timing of resource expenditures for the commercialization, distribution, and sale of our drug products;</w:t>
      </w:r>
    </w:p>
    <w:p>
      <w:pPr>
        <w:spacing w:after="0" w:line="1" w:lineRule="exact"/>
        <w:rPr>
          <w:rFonts w:ascii="Times New Roman" w:cs="Times New Roman" w:eastAsia="Times New Roman" w:hAnsi="Times New Roman"/>
          <w:sz w:val="17"/>
          <w:szCs w:val="17"/>
          <w:color w:val="auto"/>
        </w:rPr>
      </w:pPr>
    </w:p>
    <w:p>
      <w:pPr>
        <w:ind w:left="1120" w:hanging="375"/>
        <w:spacing w:after="0" w:line="24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spacing w:after="0" w:line="1" w:lineRule="exact"/>
        <w:rPr>
          <w:rFonts w:ascii="Times New Roman" w:cs="Times New Roman" w:eastAsia="Times New Roman" w:hAnsi="Times New Roman"/>
          <w:sz w:val="17"/>
          <w:szCs w:val="17"/>
          <w:color w:val="auto"/>
        </w:rPr>
      </w:pPr>
    </w:p>
    <w:p>
      <w:pPr>
        <w:jc w:val="both"/>
        <w:ind w:left="1120" w:hanging="375"/>
        <w:spacing w:after="0" w:line="24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Times New Roman" w:cs="Times New Roman" w:eastAsia="Times New Roman" w:hAnsi="Times New Roman"/>
          <w:sz w:val="17"/>
          <w:szCs w:val="17"/>
          <w:color w:val="auto"/>
        </w:rPr>
      </w:pPr>
    </w:p>
    <w:p>
      <w:pPr>
        <w:jc w:val="both"/>
        <w:ind w:left="1120" w:hanging="375"/>
        <w:spacing w:after="0" w:line="24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1" w:lineRule="exact"/>
        <w:rPr>
          <w:rFonts w:ascii="Times New Roman" w:cs="Times New Roman" w:eastAsia="Times New Roman" w:hAnsi="Times New Roman"/>
          <w:sz w:val="17"/>
          <w:szCs w:val="17"/>
          <w:color w:val="auto"/>
        </w:rPr>
      </w:pPr>
    </w:p>
    <w:p>
      <w:pPr>
        <w:ind w:left="1120" w:hanging="375"/>
        <w:spacing w:after="0" w:line="24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or commercialization partners’ and their affiliates’ development and commercialization of products that compete directly or indirectly with our products or product candidates;</w:t>
      </w:r>
    </w:p>
    <w:p>
      <w:pPr>
        <w:spacing w:after="0" w:line="1" w:lineRule="exact"/>
        <w:rPr>
          <w:rFonts w:ascii="Times New Roman" w:cs="Times New Roman" w:eastAsia="Times New Roman" w:hAnsi="Times New Roman"/>
          <w:sz w:val="17"/>
          <w:szCs w:val="17"/>
          <w:color w:val="auto"/>
        </w:rPr>
      </w:pPr>
    </w:p>
    <w:p>
      <w:pPr>
        <w:ind w:left="1120" w:hanging="375"/>
        <w:spacing w:after="0" w:line="24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decisions by a collaboration or commercialization partner to prioritize others of its current or future products more highly than our drug products or our product candidates when it performs its duties;</w:t>
      </w:r>
    </w:p>
    <w:p>
      <w:pPr>
        <w:spacing w:after="0" w:line="1" w:lineRule="exact"/>
        <w:rPr>
          <w:rFonts w:ascii="Times New Roman" w:cs="Times New Roman" w:eastAsia="Times New Roman" w:hAnsi="Times New Roman"/>
          <w:sz w:val="17"/>
          <w:szCs w:val="17"/>
          <w:color w:val="auto"/>
        </w:rPr>
      </w:pPr>
    </w:p>
    <w:p>
      <w:pPr>
        <w:ind w:left="1120" w:hanging="375"/>
        <w:spacing w:after="0" w:line="247"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disagreements with a collaboration or commercialization partner as to the timing, nature and extent of our development plans or distribution and sales and marketing plans; and</w:t>
      </w:r>
    </w:p>
    <w:p>
      <w:pPr>
        <w:spacing w:after="0" w:line="1" w:lineRule="exact"/>
        <w:rPr>
          <w:rFonts w:ascii="Times New Roman" w:cs="Times New Roman" w:eastAsia="Times New Roman" w:hAnsi="Times New Roman"/>
          <w:sz w:val="17"/>
          <w:szCs w:val="17"/>
          <w:color w:val="auto"/>
        </w:rPr>
      </w:pPr>
    </w:p>
    <w:p>
      <w:pPr>
        <w:jc w:val="both"/>
        <w:ind w:left="1120" w:hanging="375"/>
        <w:spacing w:after="0" w:line="250"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p>
      <w:pPr>
        <w:spacing w:after="0" w:line="17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While the Commercialization Agreement contains provisions that allow for dispute resolution, arbitration, and/or termination of the agreement by the Company in the event of a breach by Neuraxpharm, there can be no assurance that the Company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16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drug development programs and the potential commercialization of our drug candidates will require substantial additional cash to fund related expenses. Therefore, for some of our drug candidates, we may decide to collaborate with additional pharmaceutical and biotechnology companies for the development and potential commercialization of those drug candidates. ​</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Intellectual Property</w:t>
      </w:r>
    </w:p>
    <w:p>
      <w:pPr>
        <w:spacing w:after="0" w:line="2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p>
      <w:pPr>
        <w:spacing w:after="0" w:line="17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These risks and uncertainties include the following:</w:t>
      </w:r>
    </w:p>
    <w:p>
      <w:pPr>
        <w:spacing w:after="0" w:line="208" w:lineRule="exact"/>
        <w:rPr>
          <w:sz w:val="20"/>
          <w:szCs w:val="20"/>
          <w:color w:val="auto"/>
        </w:rPr>
      </w:pPr>
    </w:p>
    <w:p>
      <w:pPr>
        <w:ind w:left="600" w:hanging="297"/>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 applications that we or our licensors file may not issue as patent;</w:t>
      </w:r>
    </w:p>
    <w:p>
      <w:pPr>
        <w:spacing w:after="0" w:line="31"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that may be issued or in-licensed may be challenged, invalidated, modified, revoked or circumvented, or otherwise may not provide any competitive advantage;</w:t>
      </w:r>
    </w:p>
    <w:p>
      <w:pPr>
        <w:ind w:left="600" w:hanging="297"/>
        <w:spacing w:after="0" w:line="247"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16, 2013, the United States converted from a first-to-invent to a first-to-file system. If we do not win the filing race, we will not be entitled to inventive priority;</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74"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If we are not able to obtain patents that protect our product and product candidates, it could have a material adverse effect on our financial condition and results of operations.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67"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spacing w:after="0" w:line="16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8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Patent protection and other intellectual property protection are crucial to the success of our business and prospects, and there is a substantial risk that such protections may prove inadequate.</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methods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55"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permits a patent term extension of up to five years as compensation for patent term lost during the FDA regulatory review process. A patent term extension cannot extend the remaining term of a patent beyond fourteen years from the date of product approval by the FDA, and only one patent covering the approved product may be extended.</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enforce our intellectual property rights throughout the world.</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or the patents of our licensors, which could be expensive, time consuming and unsuccessful.</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7"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products or product candidates that we may in-license or acquire could be subject to similar risks and uncertainties.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need to license certain intellectual property from third parties, and such licenses may not be available or may not be available on commercially reasonable terms.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may be harmed.</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83"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Business Organization and Governance, Strategy, Employees and Growth Management</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will need to develop and expand our business, and we may encounter difficulties in managing this development and expansion, which could disrupt our operations.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of February 25, 2025, we had 338 employees. To manage our anticipated future growth and focus in the neurological and immunological fields,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the neurological and immunological fields,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77"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certain other tax attributes may be limited.</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a result, if we earn net taxable income, our ability to use our pre-change net operating loss carryforwards to offset our taxable income may be subject to limitations. Similar provisions of state tax law may also apply to limit our use of accumulated state tax attributes. Accordingly, even if we attain profitability, we may be unable to use a material portion of our net operating loss carryforwards and other tax attributes, which could adversely affect our future cash flows.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76" w:lineRule="exact"/>
        <w:rPr>
          <w:sz w:val="20"/>
          <w:szCs w:val="20"/>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delaying, deferring or preventing a change of control of us;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impeding a merger, consolidation, takeover or other business combination involving us; or</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discouraging a potential acquirer from making a tender offer or otherwise attempting to obtain control of us.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development programs and our commercialization of any products for which we receive regulatory approval.</w:t>
      </w:r>
    </w:p>
    <w:p>
      <w:pPr>
        <w:spacing w:after="0" w:line="16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information technology systems and those of our third-party CROs, CMOs, and other contractors and consultants are vulnerable to damage from unauthorized access, security breach or incidents, natural disasters, terrorism, war and telecommunication and electrical failures. Security breaches include, but are not limited to, deployment of harmful malware, ransomware, denial-of-service attacks, social engineering and other means to affect service reliability and threaten the confidentiality, integrity and availability of our and our third-party service providers’ systems and the information on such systems. Security breaches can also include phishing attempts or e-mail fraud to cause unauthorized payments or information to be transmitted to an unintended recipient, or to permit unauthorized access to systems. Although we have experienced security breaches in the past, the impact on our operations and financial condition has not been material. We expect such cybersecurity threats to continue and become more sophisticated. Threat actors, including nation state attackers, could also use artificial intelligence for malicious purposes, increasing the frequency and complexity of their attacks. A significant security breach or incident could cause our systems to fail, compromise confidential information, or cause significant business interruptions, which could result in a material disruption of our operations, financial loss, or reputational harm. For example, the loss of clinical trial data for our drug candidates could result in delays in our regulatory approval efforts, violate healthcare privacy laws and regulations and significantly increase the cost of remediation.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or results of operations.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high inflation, restricted credit, poor liquidity, reduced corporate profitability, debt, equity and foreign exchange market volatility, bankruptcies, high interest rates, high unemployment rates and overall uncertainty with respect to the economy. In particular, fluctuating and/or high interest rates in the United States to respond to inflationary pressures and market volatility may result in a general economic downturn or recession, which could reduce our ability to raise additional capital when needed on acceptable terms, if at all, and negatively impact our results of operations and financial condition.</w:t>
      </w:r>
    </w:p>
    <w:p>
      <w:pPr>
        <w:spacing w:after="0" w:line="176"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Likewise, the capital and credit markets may be adversely affected by geopolitical conflicts and global sanctions imposed in response thereto. Other international events such as trade disputes, increased tariffs or retaliatory tariffs,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acquire businesses or drugs, or form strategic alliances, in the future, and we may not realize the benefits of such acquisitions.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adverse legislative or regulatory tax changes that could negatively impact our financial condition.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Following the change in U.S. administration, there is uncertainty regarding future U.S. policies and legislative and regulatory changes related to taxation and importation, which could adversely impact the global economy and our operating results. To the extent that future U.S. tax policy changes have a negative impact on us, including as a result of related uncertainty, these changes could adversely impact our business, results of operations and financial position.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Common Stock and Being a Publicly Traded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is, and we expect it to remain, volatile, which could limit investors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ability to sell our stock at a profit.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59" w:lineRule="exact"/>
        <w:rPr>
          <w:sz w:val="20"/>
          <w:szCs w:val="20"/>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reception and success of BRIUMVI in the U.S. market;</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reception and success of BRIUMVI in the German market and the anticipated launch of BRIUMVI in additional European markets;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publicity regarding actual or potential clinical results relating to our product or products under development by our competitors or us;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initiating, completing or analyzing nonclinical or clinical trials or the unsatisfactory design or results of these trials;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achievement or rejection of regulatory approvals by us or our competitors;</w:t>
      </w:r>
    </w:p>
    <w:p>
      <w:pPr>
        <w:spacing w:after="0" w:line="31" w:lineRule="exact"/>
        <w:rPr>
          <w:rFonts w:ascii="Times New Roman" w:cs="Times New Roman" w:eastAsia="Times New Roman" w:hAnsi="Times New Roman"/>
          <w:sz w:val="17"/>
          <w:szCs w:val="17"/>
          <w:color w:val="auto"/>
        </w:rPr>
      </w:pPr>
    </w:p>
    <w:p>
      <w:pPr>
        <w:jc w:val="both"/>
        <w:ind w:left="600" w:hanging="297"/>
        <w:spacing w:after="0" w:line="254"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or new commercial products by our competitors or us;</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proprietary rights, including patents;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our collaborations;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by us or our competitors;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operating results due to the level of development expenses and other factors;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and trends in the pharmaceutical, biotechnology and other industries;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in the United States and foreign countries;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arbitration;</w:t>
      </w:r>
    </w:p>
    <w:p>
      <w:pPr>
        <w:spacing w:after="0" w:line="31"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and market conditions or other crises and other external factors such as the disruptions in the global economy caused by global health crises and geopolitical conflicts in Russia and Ukraine and the Middle East;</w:t>
      </w: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period-to-period fluctuations in our revenues and other results of operations;</w:t>
      </w:r>
    </w:p>
    <w:p>
      <w:pPr>
        <w:spacing w:after="0" w:line="1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our revenue projections or guidance;</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analysts;</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repurchase of shares of our common stock pursuant to our share repurchase program;</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and</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occurrences of any of the other risks described in this Annual Report on Form 10-K.</w:t>
      </w:r>
    </w:p>
    <w:p>
      <w:pPr>
        <w:spacing w:after="0" w:line="23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will not be able to control many of these factors, and we believe that period-to-period comparisons of our financial results will not necessarily be indicative of our future performance.</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related to corporate social responsibility and reputational matters.</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Our reputation and the reputation of our brands, including the perception held by our customers, end-users, business partners, investors, other key stakeholders and the communities in which we do business are influenced by various factors. There is an increased focus from our stakeholders on Environmental, Social, and Governance (ESG) practices and disclosure - and if we fail, or are perceived to have failed, in any number of ESG matters, such as environmental stewardship, inclusion and diversity, workplace conduct and support for local communities, or if we fail, or are perceived to have failed, to effectively respond to changes in legal or regulatory requirements concerning climate change or other sustainability concerns,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the Company or our brands could generate adverse publicity that could damage our reputation or the reputation of our brands. If we are unable to effectively manage real or perceived issues, including concerns about product quality, safety, corporate social responsibility or other matters, sentiments toward the Company or our products could be negatively impacted, and our financial results could suffer.</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Climate change or legal, regulatory or market measures to address climate change may negatively affect our business, supply chain, results of operations, financial condition and growth prospects.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believe that climate change has the potential to negatively affect our business, results of operations, financial condition and growth prospects. The adverse impacts of climate change include (i) physical risks such as increased frequency and severity of natural disasters and extreme weather events such as hurricanes, tornados, wildfires (exacerbated by drought), flooding, and extreme heat, (ii) risks in transitioning to a low-carbon economy (such as additional legal or regulatory requirements, changes in technology, market risk and reputational risk) and (iii) social and human effects (such as population dislocations and harm to health and well-being).</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we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In addition, the long-term effects of climate change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may directly or indirectly incur. If the manufacturing facilities of our third-party manufacturers are unable to operate for any reason, even for a short period of time, any or all of our research and development programs or commercialization efforts may be harmed. Any material interruption could have a material and adverse effect on our business.</w:t>
      </w:r>
    </w:p>
    <w:p>
      <w:pPr>
        <w:spacing w:after="0" w:line="160"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New legal or regulatory requirements may also be enacted to prevent, mitigate, or adapt to the implications of a changing climate and its effects on the environment. These regulations, which may differ across jurisdictions, could result in our manufacturing partners being subject to new or expanded carbon pricing or taxes, increased compliance costs, restrictions on greenhouse gas emissions, investment in new technologies, increased carbon disclosure and transparency, upgrading of facilities to meet new building codes, and the redesign of utility systems, which could increase our third-party manufacturers’ operating costs, including the cost of electricity and energy used to develop our products. Our supply chain as a whole would likely be subject to these same transitional risks and would likely pass along any increased costs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pay dividends, if any, are limited, and our stockholders may not receive any return on investment unless they sell their common stock.</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currently intend to retain all of our future earnings, if any, to finance the growth and development of our business. However, any future determination relating to the use of our future earnings, including the declaration, amount and payment of any future dividends on shares of our common stock,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Financing Agreement, we are currently restricted from paying cash dividends, and we expect these restrictions to continue in the future. Furthermore, the terms of any future debt agreements may continue to preclude us from paying dividends. As a result, our stockholders may not receive any return on investment unless they sell their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not be sustained, and investors may not be able to resell their shares at or above the price they paid.</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incur significant increased costs as a result of operating as a public company, and our management is required to devote substantial time to compliance initiatives.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material weaknesses will not be identified when we test the effectiveness of our control systems. For example, we identified a material weakness in our internal control over financial reporting during the fiscal quarter ended June 30, 2024, which has been remediated as of December 31, 2024 (as discussed below).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 and result in a loss of investor confidence in our financial reports.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identified a material weakness in our internal control over financial reporting related to non-routine share-based payment awards, which has been remediated.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6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preparation of our unaudited condensed consolidated financial statements for the period ended June 30, 2024, we identified a material weakness in our internal control over financial reporting related to a process-level control over share-based payment awards not being designed effectively.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To remediate the material weakness, the Company has designed and implemented additional preventative controls around non-routine share-based payment awards to ensure the appropriate recognition and measurement of such awards, and enhanced risk assessment procedures to ensure that all non-routine share-based payment awards are appropriately identified and evaluated.</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Management, including our Chief Executive Officer and Chief Financial Officer, has performed testing to verify the effective design and successful operating effectiveness of the new or enhanced controls, determined that control activities have operated effectively for a sufficient period of time and concluded that the previously disclosed material weakness has been remediated as of December 31, 2024.</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In addition,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Volatility​ in the price of our common stock may subject us to securities and shareholder derivative litigation, which could cause us to incur substantial costs and divert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attention, financial resources and other company assets.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August 2024, we announced that our Board of Directors had authorized a share repurchase program of up to $100 million of our outstanding shares of common stock.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 For more information about our share repurchase activities for the year ended December 31, 2024, see the section entitled “Purchases of Equity Securities by the Issuer and Affiliated Purchasers” in Part II, Item 5.</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There can be no assurance of any future share repurchases or share repurchase program authorizations.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Capital Market, and other factors that we may deem relevant. We can provide no assurance that we will repurchase shares of our Common Stock at favorable prices, if at all.</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implemented and maintain various information security processes designed to mitigate cybersecurity risks, on a case-by-case basis, to our critical computer networks, third party-hosted services, communications systems, hardware and software, and our critical data, including intellectual property, confidential information that is proprietary, strategic or competitive in nature, and data related to patients and clinical trials (IT Assets). The Company’s information security program, which is integrated into our overall risk management processes, evaluates threats posed by internal and external factors and supports daily operational functions that prevent unauthorized access or compromise.</w:t>
      </w:r>
    </w:p>
    <w:p>
      <w:pPr>
        <w:spacing w:after="0" w:line="176"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Depending on the environment, we implement and maintain various technical, physical, and organizational measures, processes, standards and policies designed to manage and mitigate material risks from cybersecurity threats to our IT Assets, which include implementing policies and guidelines governing the individual use and protection of IT Assets by employees, employee training, and leveraging the capability of third-party service providers to support our internal cybersecurity processes. These processes are aligned with standard industry frameworks, such as the National Institute of Standards and Technology, Committee of Sponsoring Organizations, International Organization for Standardization 27001, and other industry standards. We have also implemented a well-established information security incident response plan, which is designed to escalate cybersecurity incidents, depending on the circumstances, to appropriate stakeholders as defined by internal standard operating procedures. We continue to monitor proposed cybersecurity disclosure rules from the SEC and alter our procedures accordingly.</w:t>
      </w:r>
    </w:p>
    <w:p>
      <w:pPr>
        <w:spacing w:after="0" w:line="16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To further improve the effectiveness of our information security processes, we engage third-party service organizations to monitor the Company’s information technology (IT) environment, conduct evaluations of the effectiveness of our security controls and provide aggregate monthly reports to our corporate IT Security Team regarding the results of such third-party assessments, training and vulnerability testing, data security posture, material cybersecurity risks and areas of improvement.</w:t>
      </w:r>
    </w:p>
    <w:p>
      <w:pPr>
        <w:spacing w:after="0" w:line="16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Risks from cybersecurity threats have not materially affected or are currently viewed as not reasonably likely to materially affect us, our business strategy, results of operations or financial condition. However, the scope and impact of any future cybersecurity incidents cannot be predicted and there can be no assurance that our information security program will be effective in preventing material cybersecurity incidents in the future. For a description of the risks from cybersecurity threats that may materially affect us and how they may do so, see our risk factors under Part 1. Item 1A. Risk Factors in this Annual Report on Form 10-K, including the risk factor captioned “Our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0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The Board and our Chief Executive Officer is responsible for oversight of the Company’s overall risk management program, including as to cybersecurity related risks, while management is responsible for the day-to-day risk management processes. The Board receives regular reports from our Chief Executive Officer, Chief Financial Officer and other members of management, regarding material cybersecurity threats and risks, effectiveness of our information security processes and status of ongoing cybersecurity initiatives and strategies. Our information technology (IT) team, which is overseen by our Vice President of IT, is responsible for the identification, assessment and management of cybersecurity risks we face and ensuring effective implementation of the Company’s overall cybersecurity efforts. Our Vice President of IT has over 25 years of experience in IT systems, including cybersecurity risk management and incident response, and holds multiple industry-recognized certifications. Our Vice President of IT receives regular reports from the corporate IT Security Team, together with information provided by our third-party service organizations that monitor the Company’s IT environment, regarding the Company’s material cybersecurity threats and risks and the processes the Company has implemented to address them, which are reported to the Chief Financial Officer.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firstLine="605"/>
        <w:spacing w:after="0" w:line="255" w:lineRule="auto"/>
        <w:rPr>
          <w:sz w:val="20"/>
          <w:szCs w:val="20"/>
          <w:color w:val="auto"/>
        </w:rPr>
      </w:pPr>
      <w:r>
        <w:rPr>
          <w:rFonts w:ascii="Times New Roman" w:cs="Times New Roman" w:eastAsia="Times New Roman" w:hAnsi="Times New Roman"/>
          <w:sz w:val="17"/>
          <w:szCs w:val="17"/>
          <w:color w:val="auto"/>
        </w:rPr>
        <w:t>We maintain corporate and executive space in Morrisville, North Carolina, New York, New York, and Edison, New Jersey. We are also currently leasing small office space in Boca Raton, Florida. We believe that our existing facilities are adequate to meet our current requirements. We do not own any real property.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We, and our subsidiaries, are not a party to, and our property is not the subject of, any material pending legal proceedings.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ITEM 5. 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and trades under the symbol “TGTX”.</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number of record holders of our common stock as of February 25, 2025 was 204.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Any future determination to pay dividends will be at the discretion of our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Authorized for Issuance Under Equity Compensation Plans</w:t>
      </w:r>
    </w:p>
    <w:p>
      <w:pPr>
        <w:spacing w:after="0" w:line="212" w:lineRule="exact"/>
        <w:rPr>
          <w:sz w:val="20"/>
          <w:szCs w:val="20"/>
          <w:color w:val="auto"/>
        </w:rPr>
      </w:pPr>
    </w:p>
    <w:p>
      <w:pPr>
        <w:ind w:firstLine="605"/>
        <w:spacing w:after="0" w:line="257" w:lineRule="auto"/>
        <w:rPr>
          <w:sz w:val="20"/>
          <w:szCs w:val="20"/>
          <w:color w:val="auto"/>
        </w:rPr>
      </w:pPr>
      <w:r>
        <w:rPr>
          <w:rFonts w:ascii="Times New Roman" w:cs="Times New Roman" w:eastAsia="Times New Roman" w:hAnsi="Times New Roman"/>
          <w:sz w:val="17"/>
          <w:szCs w:val="17"/>
          <w:color w:val="auto"/>
        </w:rPr>
        <w:t>The following table provides information as of December 31, 2024, regarding the securities authorized for issuance under the TG Therapeutics, Inc. 2022 Incentive Plan (the 2022 Incentive Plan).</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120" w:type="dxa"/>
            <w:vAlign w:val="bottom"/>
            <w:gridSpan w:val="3"/>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98"/>
              </w:rPr>
              <w:t>Equity Compensation Plan Information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securities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remaining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available for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future issuance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 to be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under 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issued upon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exercise of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exercise price of</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plans (excluding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outstanding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outstanding</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securities reflected</w:t>
            </w: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44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in column 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3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4,470,216</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4,238,185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4,470,216</w:t>
            </w:r>
          </w:p>
        </w:tc>
        <w:tc>
          <w:tcPr>
            <w:tcW w:w="380" w:type="dxa"/>
            <w:vAlign w:val="bottom"/>
            <w:gridSpan w:val="2"/>
            <w:shd w:val="clear" w:color="auto" w:fill="CCEEFF"/>
          </w:tcPr>
          <w:p>
            <w:pPr>
              <w:jc w:val="right"/>
              <w:ind w:right="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6.90</w:t>
            </w:r>
          </w:p>
        </w:tc>
        <w:tc>
          <w:tcPr>
            <w:tcW w:w="1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4,238,185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5540" w:right="1520" w:hanging="4933"/>
        <w:spacing w:after="0" w:line="522" w:lineRule="auto"/>
        <w:rPr>
          <w:sz w:val="20"/>
          <w:szCs w:val="20"/>
          <w:color w:val="auto"/>
        </w:rPr>
      </w:pPr>
      <w:r>
        <w:rPr>
          <w:rFonts w:ascii="Times New Roman" w:cs="Times New Roman" w:eastAsia="Times New Roman" w:hAnsi="Times New Roman"/>
          <w:sz w:val="17"/>
          <w:szCs w:val="17"/>
          <w:color w:val="auto"/>
        </w:rPr>
        <w:t>For information about all of our equity compensation plans see Note 6 to our Consolidated Financial Statements included in this report.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121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144780</wp:posOffset>
            </wp:positionV>
            <wp:extent cx="7200265" cy="2818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265" cy="281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The following graph compares the cumulative total stockholder return on our common stock for the period from December 31, 2019 through December 31, 2024, with the cumulative total return over such period on (i) the U.S. Index of The Nasdaq Stock Market and (ii) the Biotechnology Index of The Nasdaq Stock Market. The graph assumes an investment of $100 on December 31, 2019,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153035</wp:posOffset>
            </wp:positionV>
            <wp:extent cx="712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64" w:lineRule="exact"/>
        <w:rPr>
          <w:sz w:val="20"/>
          <w:szCs w:val="20"/>
          <w:color w:val="auto"/>
        </w:rPr>
      </w:pPr>
    </w:p>
    <w:p>
      <w:pPr>
        <w:ind w:left="320" w:hanging="299"/>
        <w:spacing w:after="0"/>
        <w:tabs>
          <w:tab w:leader="none" w:pos="32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$100 invested on December 31, 2019 in stock or index, including reinvestment of dividends. Fiscal Years ending December 31.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Unregistered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Purchases of Equity Securities by the Issuer and Affiliated Purchasers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common stock repurchase activity during the fourth quarter of 2024:</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Borders>
              <w:right w:val="single" w:sz="8" w:color="auto"/>
            </w:tcBorders>
          </w:tcPr>
          <w:p>
            <w:pPr>
              <w:spacing w:after="0"/>
              <w:rPr>
                <w:sz w:val="18"/>
                <w:szCs w:val="18"/>
                <w:color w:val="auto"/>
              </w:rPr>
            </w:pP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(b)</w:t>
            </w:r>
          </w:p>
        </w:tc>
        <w:tc>
          <w:tcPr>
            <w:tcW w:w="2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w:t>
            </w: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Number of Shares (or</w:t>
            </w:r>
          </w:p>
        </w:tc>
        <w:tc>
          <w:tcPr>
            <w:tcW w:w="222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Maximum Number (or</w:t>
            </w: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Approximate Dollar Value) of</w:t>
            </w: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Number of Shares (or</w:t>
            </w:r>
          </w:p>
        </w:tc>
        <w:tc>
          <w:tcPr>
            <w:tcW w:w="22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Average Price Paid per Share</w:t>
            </w:r>
          </w:p>
        </w:tc>
        <w:tc>
          <w:tcPr>
            <w:tcW w:w="2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Units) Purchased as Part of</w:t>
            </w:r>
          </w:p>
        </w:tc>
        <w:tc>
          <w:tcPr>
            <w:tcW w:w="2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w w:val="97"/>
              </w:rPr>
              <w:t>Shares (or Units) that May Yet</w:t>
            </w: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Units) Purchased</w:t>
            </w:r>
          </w:p>
        </w:tc>
        <w:tc>
          <w:tcPr>
            <w:tcW w:w="22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(or Unit)</w:t>
            </w:r>
          </w:p>
        </w:tc>
        <w:tc>
          <w:tcPr>
            <w:tcW w:w="2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Publicly Announced Plans or</w:t>
            </w:r>
          </w:p>
        </w:tc>
        <w:tc>
          <w:tcPr>
            <w:tcW w:w="2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vMerge w:val="continue"/>
          </w:tcPr>
          <w:p>
            <w:pPr>
              <w:spacing w:after="0"/>
              <w:rPr>
                <w:sz w:val="14"/>
                <w:szCs w:val="14"/>
                <w:color w:val="auto"/>
              </w:rPr>
            </w:pPr>
          </w:p>
        </w:tc>
        <w:tc>
          <w:tcPr>
            <w:tcW w:w="2240" w:type="dxa"/>
            <w:vAlign w:val="bottom"/>
            <w:tcBorders>
              <w:right w:val="single" w:sz="8" w:color="auto"/>
            </w:tcBorders>
            <w:vMerge w:val="continue"/>
          </w:tcPr>
          <w:p>
            <w:pPr>
              <w:spacing w:after="0"/>
              <w:rPr>
                <w:sz w:val="14"/>
                <w:szCs w:val="14"/>
                <w:color w:val="auto"/>
              </w:rPr>
            </w:pPr>
          </w:p>
        </w:tc>
        <w:tc>
          <w:tcPr>
            <w:tcW w:w="2280" w:type="dxa"/>
            <w:vAlign w:val="bottom"/>
            <w:tcBorders>
              <w:right w:val="single" w:sz="8" w:color="auto"/>
            </w:tcBorders>
            <w:vMerge w:val="continue"/>
          </w:tcPr>
          <w:p>
            <w:pPr>
              <w:spacing w:after="0"/>
              <w:rPr>
                <w:sz w:val="14"/>
                <w:szCs w:val="14"/>
                <w:color w:val="auto"/>
              </w:rPr>
            </w:pPr>
          </w:p>
        </w:tc>
        <w:tc>
          <w:tcPr>
            <w:tcW w:w="222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7"/>
                <w:szCs w:val="17"/>
                <w:b w:val="1"/>
                <w:bCs w:val="1"/>
                <w:color w:val="auto"/>
                <w:w w:val="98"/>
              </w:rPr>
              <w:t>Be Purchased Under the Plans</w:t>
            </w: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2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or Programs*</w:t>
            </w:r>
          </w:p>
        </w:tc>
        <w:tc>
          <w:tcPr>
            <w:tcW w:w="0" w:type="dxa"/>
            <w:vAlign w:val="bottom"/>
          </w:tcPr>
          <w:p>
            <w:pPr>
              <w:spacing w:after="0"/>
              <w:rPr>
                <w:sz w:val="1"/>
                <w:szCs w:val="1"/>
                <w:color w:val="auto"/>
              </w:rPr>
            </w:pPr>
          </w:p>
        </w:tc>
      </w:tr>
      <w:tr>
        <w:trPr>
          <w:trHeight w:val="50"/>
        </w:trPr>
        <w:tc>
          <w:tcPr>
            <w:tcW w:w="40" w:type="dxa"/>
            <w:vAlign w:val="bottom"/>
            <w:tcBorders>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w w:val="98"/>
              </w:rPr>
              <w:t>October 1, 2024 through October</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111,031</w:t>
            </w:r>
          </w:p>
        </w:tc>
        <w:tc>
          <w:tcPr>
            <w:tcW w:w="2240" w:type="dxa"/>
            <w:vAlign w:val="bottom"/>
            <w:tcBorders>
              <w:right w:val="single" w:sz="8" w:color="auto"/>
            </w:tcBorders>
            <w:vMerge w:val="restart"/>
          </w:tcPr>
          <w:p>
            <w:pPr>
              <w:jc w:val="right"/>
              <w:ind w:right="816"/>
              <w:spacing w:after="0"/>
              <w:rPr>
                <w:sz w:val="20"/>
                <w:szCs w:val="20"/>
                <w:color w:val="auto"/>
              </w:rPr>
            </w:pPr>
            <w:r>
              <w:rPr>
                <w:rFonts w:ascii="Times New Roman" w:cs="Times New Roman" w:eastAsia="Times New Roman" w:hAnsi="Times New Roman"/>
                <w:sz w:val="17"/>
                <w:szCs w:val="17"/>
                <w:color w:val="auto"/>
              </w:rPr>
              <w:t>$23.12</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111,031</w:t>
            </w:r>
          </w:p>
        </w:tc>
        <w:tc>
          <w:tcPr>
            <w:tcW w:w="2220" w:type="dxa"/>
            <w:vAlign w:val="bottom"/>
            <w:tcBorders>
              <w:right w:val="single" w:sz="8" w:color="auto"/>
            </w:tcBorders>
            <w:vMerge w:val="restart"/>
          </w:tcPr>
          <w:p>
            <w:pPr>
              <w:jc w:val="right"/>
              <w:ind w:right="656"/>
              <w:spacing w:after="0"/>
              <w:rPr>
                <w:sz w:val="20"/>
                <w:szCs w:val="20"/>
                <w:color w:val="auto"/>
              </w:rPr>
            </w:pPr>
            <w:r>
              <w:rPr>
                <w:rFonts w:ascii="Times New Roman" w:cs="Times New Roman" w:eastAsia="Times New Roman" w:hAnsi="Times New Roman"/>
                <w:sz w:val="17"/>
                <w:szCs w:val="17"/>
                <w:color w:val="auto"/>
              </w:rPr>
              <w:t>$95,284,298</w:t>
            </w: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31, 2024</w:t>
            </w:r>
          </w:p>
        </w:tc>
        <w:tc>
          <w:tcPr>
            <w:tcW w:w="226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November 1, 2024 through</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19,676</w:t>
            </w:r>
          </w:p>
        </w:tc>
        <w:tc>
          <w:tcPr>
            <w:tcW w:w="2240" w:type="dxa"/>
            <w:vAlign w:val="bottom"/>
            <w:tcBorders>
              <w:right w:val="single" w:sz="8" w:color="auto"/>
            </w:tcBorders>
            <w:vMerge w:val="restart"/>
          </w:tcPr>
          <w:p>
            <w:pPr>
              <w:jc w:val="right"/>
              <w:ind w:right="816"/>
              <w:spacing w:after="0"/>
              <w:rPr>
                <w:sz w:val="20"/>
                <w:szCs w:val="20"/>
                <w:color w:val="auto"/>
              </w:rPr>
            </w:pPr>
            <w:r>
              <w:rPr>
                <w:rFonts w:ascii="Times New Roman" w:cs="Times New Roman" w:eastAsia="Times New Roman" w:hAnsi="Times New Roman"/>
                <w:sz w:val="17"/>
                <w:szCs w:val="17"/>
                <w:color w:val="auto"/>
              </w:rPr>
              <w:t>$32.33</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19,676</w:t>
            </w:r>
          </w:p>
        </w:tc>
        <w:tc>
          <w:tcPr>
            <w:tcW w:w="2220" w:type="dxa"/>
            <w:vAlign w:val="bottom"/>
            <w:tcBorders>
              <w:right w:val="single" w:sz="8" w:color="auto"/>
            </w:tcBorders>
            <w:vMerge w:val="restart"/>
          </w:tcPr>
          <w:p>
            <w:pPr>
              <w:jc w:val="right"/>
              <w:ind w:right="656"/>
              <w:spacing w:after="0"/>
              <w:rPr>
                <w:sz w:val="20"/>
                <w:szCs w:val="20"/>
                <w:color w:val="auto"/>
              </w:rPr>
            </w:pPr>
            <w:r>
              <w:rPr>
                <w:rFonts w:ascii="Times New Roman" w:cs="Times New Roman" w:eastAsia="Times New Roman" w:hAnsi="Times New Roman"/>
                <w:sz w:val="17"/>
                <w:szCs w:val="17"/>
                <w:color w:val="auto"/>
              </w:rPr>
              <w:t>$94,648,121</w:t>
            </w: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November 30, 2024</w:t>
            </w:r>
          </w:p>
        </w:tc>
        <w:tc>
          <w:tcPr>
            <w:tcW w:w="226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December 1, 2024 through</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103,586</w:t>
            </w:r>
          </w:p>
        </w:tc>
        <w:tc>
          <w:tcPr>
            <w:tcW w:w="2240" w:type="dxa"/>
            <w:vAlign w:val="bottom"/>
            <w:tcBorders>
              <w:right w:val="single" w:sz="8" w:color="auto"/>
            </w:tcBorders>
            <w:vMerge w:val="restart"/>
          </w:tcPr>
          <w:p>
            <w:pPr>
              <w:jc w:val="right"/>
              <w:ind w:right="816"/>
              <w:spacing w:after="0"/>
              <w:rPr>
                <w:sz w:val="20"/>
                <w:szCs w:val="20"/>
                <w:color w:val="auto"/>
              </w:rPr>
            </w:pPr>
            <w:r>
              <w:rPr>
                <w:rFonts w:ascii="Times New Roman" w:cs="Times New Roman" w:eastAsia="Times New Roman" w:hAnsi="Times New Roman"/>
                <w:sz w:val="17"/>
                <w:szCs w:val="17"/>
                <w:color w:val="auto"/>
              </w:rPr>
              <w:t>$32.90</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103,586</w:t>
            </w:r>
          </w:p>
        </w:tc>
        <w:tc>
          <w:tcPr>
            <w:tcW w:w="2220" w:type="dxa"/>
            <w:vAlign w:val="bottom"/>
            <w:tcBorders>
              <w:right w:val="single" w:sz="8" w:color="auto"/>
            </w:tcBorders>
            <w:vMerge w:val="restart"/>
          </w:tcPr>
          <w:p>
            <w:pPr>
              <w:jc w:val="right"/>
              <w:ind w:right="656"/>
              <w:spacing w:after="0"/>
              <w:rPr>
                <w:sz w:val="20"/>
                <w:szCs w:val="20"/>
                <w:color w:val="auto"/>
              </w:rPr>
            </w:pPr>
            <w:r>
              <w:rPr>
                <w:rFonts w:ascii="Times New Roman" w:cs="Times New Roman" w:eastAsia="Times New Roman" w:hAnsi="Times New Roman"/>
                <w:sz w:val="17"/>
                <w:szCs w:val="17"/>
                <w:color w:val="auto"/>
              </w:rPr>
              <w:t>$91,240,017</w:t>
            </w: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226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226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7"/>
              </w:rPr>
              <w:t>234,293</w:t>
            </w:r>
          </w:p>
        </w:tc>
        <w:tc>
          <w:tcPr>
            <w:tcW w:w="2240" w:type="dxa"/>
            <w:vAlign w:val="bottom"/>
            <w:tcBorders>
              <w:bottom w:val="single" w:sz="8" w:color="auto"/>
              <w:right w:val="single" w:sz="8" w:color="auto"/>
            </w:tcBorders>
          </w:tcPr>
          <w:p>
            <w:pPr>
              <w:jc w:val="right"/>
              <w:ind w:right="816"/>
              <w:spacing w:after="0" w:line="194" w:lineRule="exact"/>
              <w:rPr>
                <w:sz w:val="20"/>
                <w:szCs w:val="20"/>
                <w:color w:val="auto"/>
              </w:rPr>
            </w:pPr>
            <w:r>
              <w:rPr>
                <w:rFonts w:ascii="Times New Roman" w:cs="Times New Roman" w:eastAsia="Times New Roman" w:hAnsi="Times New Roman"/>
                <w:sz w:val="17"/>
                <w:szCs w:val="17"/>
                <w:color w:val="auto"/>
              </w:rPr>
              <w:t>$24.51</w:t>
            </w:r>
          </w:p>
        </w:tc>
        <w:tc>
          <w:tcPr>
            <w:tcW w:w="2280" w:type="dxa"/>
            <w:vAlign w:val="bottom"/>
            <w:tcBorders>
              <w:bottom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7"/>
              </w:rPr>
              <w:t>234,293</w:t>
            </w:r>
          </w:p>
        </w:tc>
        <w:tc>
          <w:tcPr>
            <w:tcW w:w="2220" w:type="dxa"/>
            <w:vAlign w:val="bottom"/>
            <w:tcBorders>
              <w:bottom w:val="single" w:sz="8" w:color="auto"/>
              <w:right w:val="single" w:sz="8" w:color="auto"/>
            </w:tcBorders>
          </w:tcPr>
          <w:p>
            <w:pPr>
              <w:jc w:val="right"/>
              <w:ind w:right="656"/>
              <w:spacing w:after="0" w:line="194" w:lineRule="exact"/>
              <w:rPr>
                <w:sz w:val="20"/>
                <w:szCs w:val="20"/>
                <w:color w:val="auto"/>
              </w:rPr>
            </w:pPr>
            <w:r>
              <w:rPr>
                <w:rFonts w:ascii="Times New Roman" w:cs="Times New Roman" w:eastAsia="Times New Roman" w:hAnsi="Times New Roman"/>
                <w:sz w:val="17"/>
                <w:szCs w:val="17"/>
                <w:color w:val="auto"/>
              </w:rPr>
              <w:t>$91,240,017</w:t>
            </w:r>
          </w:p>
        </w:tc>
        <w:tc>
          <w:tcPr>
            <w:tcW w:w="0" w:type="dxa"/>
            <w:vAlign w:val="bottom"/>
          </w:tcPr>
          <w:p>
            <w:pPr>
              <w:spacing w:after="0"/>
              <w:rPr>
                <w:sz w:val="1"/>
                <w:szCs w:val="1"/>
                <w:color w:val="auto"/>
              </w:rPr>
            </w:pPr>
          </w:p>
        </w:tc>
      </w:tr>
      <w:tr>
        <w:trPr>
          <w:trHeight w:val="396"/>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*Transaction fees are excluded.</w:t>
            </w: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-2216785</wp:posOffset>
            </wp:positionV>
            <wp:extent cx="5716270" cy="1961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6270" cy="1961515"/>
                    </a:xfrm>
                    <a:prstGeom prst="rect">
                      <a:avLst/>
                    </a:prstGeom>
                    <a:noFill/>
                  </pic:spPr>
                </pic:pic>
              </a:graphicData>
            </a:graphic>
          </wp:anchor>
        </w:drawing>
      </w:r>
    </w:p>
    <w:p>
      <w:pPr>
        <w:spacing w:after="0" w:line="166" w:lineRule="exact"/>
        <w:rPr>
          <w:sz w:val="20"/>
          <w:szCs w:val="20"/>
          <w:color w:val="auto"/>
        </w:rPr>
      </w:pPr>
    </w:p>
    <w:p>
      <w:pPr>
        <w:jc w:val="both"/>
        <w:ind w:right="20" w:firstLine="605"/>
        <w:spacing w:after="0" w:line="254" w:lineRule="auto"/>
        <w:rPr>
          <w:sz w:val="20"/>
          <w:szCs w:val="20"/>
          <w:color w:val="auto"/>
        </w:rPr>
      </w:pPr>
      <w:r>
        <w:rPr>
          <w:rFonts w:ascii="Times New Roman" w:cs="Times New Roman" w:eastAsia="Times New Roman" w:hAnsi="Times New Roman"/>
          <w:sz w:val="17"/>
          <w:szCs w:val="17"/>
          <w:color w:val="auto"/>
        </w:rPr>
        <w:t>In August 2024, the Company announced that its Board of Directors had authorized and approved a share repurchase program for up to $100 million of the currently outstanding shares of the Company’s common stock. Repurchases under the program may be made using open market purchases, privately negotiated transactions, block purchases or other methods in accordance with applicable federal securities laws, including Rule 10b-18 of the Exchange Act. The share repurchase program does not have a fixed expiration date, may be suspended or discontinued at any time, and does not obligate us to acquire any particular amount of our common stock.</w:t>
      </w:r>
    </w:p>
    <w:p>
      <w:pPr>
        <w:spacing w:after="0" w:line="176" w:lineRule="exact"/>
        <w:rPr>
          <w:sz w:val="20"/>
          <w:szCs w:val="20"/>
          <w:color w:val="auto"/>
        </w:rPr>
      </w:pPr>
    </w:p>
    <w:p>
      <w:pPr>
        <w:jc w:val="both"/>
        <w:ind w:right="20" w:firstLine="605"/>
        <w:spacing w:after="0" w:line="261" w:lineRule="auto"/>
        <w:rPr>
          <w:sz w:val="20"/>
          <w:szCs w:val="20"/>
          <w:color w:val="auto"/>
        </w:rPr>
      </w:pPr>
      <w:r>
        <w:rPr>
          <w:rFonts w:ascii="Times New Roman" w:cs="Times New Roman" w:eastAsia="Times New Roman" w:hAnsi="Times New Roman"/>
          <w:sz w:val="17"/>
          <w:szCs w:val="17"/>
          <w:color w:val="auto"/>
        </w:rPr>
        <w:t>We repurchased a total of approximately 0.3 million shares of our common stock for approximately $8.8 million under our share repurchase program for the year ended December 31, 2024. Approximately $91.2 million remains available for repurchase of shares under the current authorized program. Future repurchases of common stock will be dependent upon our financial position, results of operations, outlook, liquidity and other factors we deem relevant.</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7.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12"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75"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7"/>
          <w:szCs w:val="17"/>
          <w:color w:val="auto"/>
        </w:rPr>
        <w:t>You should read the following discussion and analysis in conjunction with “Item 8. Financial Statements and Supplementary Data,” and our consolidated financial statements beginning on page F-1 of this report.</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588"/>
        <w:spacing w:after="0" w:line="271" w:lineRule="auto"/>
        <w:rPr>
          <w:sz w:val="20"/>
          <w:szCs w:val="20"/>
          <w:color w:val="auto"/>
        </w:rPr>
      </w:pPr>
      <w:r>
        <w:rPr>
          <w:rFonts w:ascii="Times New Roman" w:cs="Times New Roman" w:eastAsia="Times New Roman" w:hAnsi="Times New Roman"/>
          <w:sz w:val="16"/>
          <w:szCs w:val="16"/>
          <w:color w:val="auto"/>
        </w:rPr>
        <w:t>TG Therapeutics is a fully-integrated, commercial stage, biopharmaceutical company focused on the acquisition, development and commercialization of novel treatments for B-cell mediated diseases. TG has received approval from the U.S. Food and Drug Administration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and the Medicines and Healthcare products Regulatory Agency (MHRA) for BRIUMVI to treat adult patients with RMS who have active disease defined by clinical or imaging features in Europe and the United Kingdom (UK), respectively. We also actively evaluate complementary products, technologies and companies for in-licensing, partnership, acquisition and/or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-163830</wp:posOffset>
            </wp:positionV>
            <wp:extent cx="266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146"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In February of 2021, we announced that the FDA granted accelerated approval of umbralisib, the Company’s PI3K delta inhibitor, then commercially referred to as UKONIQ, for the treatment of adult patients with relapsed or refractory MZL who have received at least one prior anti-CD20 based regimen and adult patients with relapsed or refractory FL who have received at least three prior lines of systemic therapy. In April of 2022, we announced the voluntary withdrawal of UKONIQ from sale for the approved indications. Our only source of product revenues during the year ended December 31, 2022 was from the sale of UKONIQ. Our only source of product revenues during the years ended December 31, 2023 and 2024, was from the sale of BRIUMVI. Product revenues are recorded net of estimates of variable consideration. For further discussion of our revenue recognition policy, see “Critical Accounting Policies and Significant Judgements and Estimates” below.</w:t>
      </w:r>
    </w:p>
    <w:p>
      <w:pPr>
        <w:spacing w:after="0" w:line="16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Cost of revenue consists primarily of materials and third-party manufacturing costs, as well as freight and royalties owed to our licensing partner for BRIUMVI sales. Based on our policy to expense costs associated with the manufacture of our products prior to regulatory approval, a portion of the manufacturing costs of BRIUMVI units recognized as revenue during the years ended December 31, 2023 and 2024 were expensed prior to receipt of FDA approval on December 28, 2022, and therefore are not included in costs of product revenue during those periods.​</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other research and development expenses consist primarily of expenses relating to the design, development, manufacture, testing and enhancement of our drug candidates and technologies, milestone expenses related to in-licensing of new product candidates, fees paid to consultants and outside service providers for clinical and laboratory development, personnel expenses and other facilities-related expenses. We expense our research and development costs as they are incurred. Research and development expenses for the years ended December 31, 2024, 2023 and 2022 were approximately $83.1 million, $63.2 million and $112.1 million respectively, excluding noncash compensation expenses related to research and development.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selling, general and administrative expenses consist primarily of expenses related to the commercialization of our approved products, including salaries and related expenses for our commercialization team and commercial development activities. Other selling, general and administrative expenses consist of executive, finance and other administrative personnel, recruitment expenses, professional fees and other corporate expenses, including investor relations, legal activities and facilities-related expenses.</w:t>
      </w:r>
    </w:p>
    <w:p>
      <w:pPr>
        <w:spacing w:after="0" w:line="17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results of operations include noncash compensation expenses as a result of stock-based compensation costs related to equity awards, restricted stock and options, granted to employees and non-employees. Stock-based compensation costs are measured at the date of grant based on the fair value of the award. We estimate the grant date fair value of options, and the resulting stock-based compensation expense, using the Black-Scholes option-pricing model. Equity awards with market conditions are valued using advanced option-pricing models, such as a Monte Carlo simulation. The effect of a market condition is reflected in the award’s fair value on the grant date. For time-based or performance-based restricted stock, the fair value is based on the market value of our common stock on the date of grant. Stock-based compensation expense for time-based restricted stock and options is recognized on a straight-line basis over the requisite service period. Stock-based compensation expense for awards that vest upon the achievement of milestones is recognized over the requisite service period when the achievement of such milestones becomes probable. Stock-based compensation expense for an award that has a market condition is recognized over the requisite service period, which is derived from the valuation model, even if the market condition is never satisfied. We recognize all stock-based payments to employees and non-employee directors (as compensation for service) as noncash compensation expense in the consolidated financial statements. Forfeitures are recognized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2024 and 2023</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the results of operations for the years ended December 31, 2024 and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3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Product revenue, net</w:t>
            </w:r>
          </w:p>
        </w:tc>
        <w:tc>
          <w:tcPr>
            <w:tcW w:w="394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313,728</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92,005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License, milestone, royalty and other revenue</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15,276</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141,657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Revenue</w:t>
            </w:r>
          </w:p>
        </w:tc>
        <w:tc>
          <w:tcPr>
            <w:tcW w:w="394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329,004</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233,662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revenue</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38,486</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Noncash compensation</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research and development</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83,131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63,182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research and development</w:t>
            </w:r>
          </w:p>
        </w:tc>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94,291</w:t>
            </w:r>
          </w:p>
        </w:tc>
        <w:tc>
          <w:tcPr>
            <w:tcW w:w="3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76,192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Noncash compensation</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31,381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24,923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selling, general and administrative</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122,917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97,783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selling, general and administrative</w:t>
            </w:r>
          </w:p>
        </w:tc>
        <w:tc>
          <w:tcPr>
            <w:tcW w:w="3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154,298</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122,706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362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costs and expenses</w:t>
            </w:r>
          </w:p>
        </w:tc>
        <w:tc>
          <w:tcPr>
            <w:tcW w:w="3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287,075</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213,029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36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24,028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(7,693)</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other expense, net</w:t>
            </w:r>
          </w:p>
        </w:tc>
        <w:tc>
          <w:tcPr>
            <w:tcW w:w="3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16,335</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7,571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36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before taxes</w:t>
            </w: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25,594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2,211</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income</w:t>
            </w:r>
          </w:p>
        </w:tc>
        <w:tc>
          <w:tcPr>
            <w:tcW w:w="394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23,383</w:t>
            </w:r>
          </w:p>
        </w:tc>
        <w:tc>
          <w:tcPr>
            <w:tcW w:w="32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12,672</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3620" w:type="dxa"/>
            <w:vAlign w:val="bottom"/>
            <w:tcBorders>
              <w:top w:val="single" w:sz="8" w:color="CCEEFF"/>
            </w:tcBorders>
          </w:tcPr>
          <w:p>
            <w:pPr>
              <w:jc w:val="right"/>
              <w:ind w:right="2216"/>
              <w:spacing w:after="0"/>
              <w:rPr>
                <w:sz w:val="20"/>
                <w:szCs w:val="20"/>
                <w:color w:val="auto"/>
              </w:rPr>
            </w:pPr>
            <w:r>
              <w:rPr>
                <w:rFonts w:ascii="Times New Roman" w:cs="Times New Roman" w:eastAsia="Times New Roman" w:hAnsi="Times New Roman"/>
                <w:sz w:val="17"/>
                <w:szCs w:val="17"/>
                <w:color w:val="auto"/>
              </w:rPr>
              <w:t>80</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ind w:left="20"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Product Revenue, net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 revenue, net was approximately $313.7 million for the year ended December 31, 2024 compared to $92.0 million for the year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December 31, 2023. The increase in product revenue, net is driven by an increase in product shipments for BRIUMVI as a result of greater market penetration. BRIUMVI, was commercially launched in the U.S. in January 2023, following FDA approval.</w:t>
      </w:r>
    </w:p>
    <w:p>
      <w:pPr>
        <w:spacing w:after="0" w:line="164" w:lineRule="exact"/>
        <w:rPr>
          <w:sz w:val="20"/>
          <w:szCs w:val="20"/>
          <w:color w:val="auto"/>
        </w:rPr>
      </w:pPr>
    </w:p>
    <w:p>
      <w:pPr>
        <w:ind w:firstLine="605"/>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License, Milestone, Royalty and Other Revenue. </w:t>
      </w:r>
      <w:r>
        <w:rPr>
          <w:rFonts w:ascii="Times New Roman" w:cs="Times New Roman" w:eastAsia="Times New Roman" w:hAnsi="Times New Roman"/>
          <w:sz w:val="17"/>
          <w:szCs w:val="17"/>
          <w:color w:val="auto"/>
        </w:rPr>
        <w:t>License, milestone, royalty and other revenue was $15.3 million for the year ended December 30, 2024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approximately $141.7 million for the year ended December 31, 2023. License, milestone, royalty and other revenue for the year ended December 31, 2024 is comprised of a $12.5 million milestone payment under the Neuraxpharm Commercialization Agreement for the first key market commercial launch of BRIUMVI in the EU, as well as consideration received for development and regulatory activities performed on behalf of Neuraxpharm in accordance with the Commercialization Agreement. License, milestone, royalty and other revenue for the year ended December 31, 2023 is predominantly comprised of recognition of the one-time $140.0 million non-refundable upfront payment under the Commercialization Agreement with Neuraxpharm (see Note 2 for more information). ​ ​</w:t>
      </w:r>
    </w:p>
    <w:p>
      <w:pPr>
        <w:spacing w:after="0" w:line="196" w:lineRule="exact"/>
        <w:rPr>
          <w:sz w:val="20"/>
          <w:szCs w:val="20"/>
          <w:color w:val="auto"/>
        </w:rPr>
      </w:pPr>
    </w:p>
    <w:p>
      <w:pPr>
        <w:jc w:val="both"/>
        <w:ind w:left="20" w:firstLine="605"/>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Revenue. </w:t>
      </w:r>
      <w:r>
        <w:rPr>
          <w:rFonts w:ascii="Times New Roman" w:cs="Times New Roman" w:eastAsia="Times New Roman" w:hAnsi="Times New Roman"/>
          <w:sz w:val="17"/>
          <w:szCs w:val="17"/>
          <w:color w:val="auto"/>
        </w:rPr>
        <w:t>Cost of revenue for the year ended December 31, 2024 was $38.5 million compared to approximately $14.1 million for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2023. Cost of revenue for both the years ended December 31, 2024 and December 31,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revenue. We expect the cost of revenue for BRIUMVI to increase in relation to product revenues as we deplete these inventories. We expect to use the remaining pre-commercialization inventory for product sales through the first quarter of 2025, after which our product gross margin is anticipated to decrease modestly. The cost of revenue for the years ended December 31, 2024 and December 31, 2023 includes $2.4 million and $1.5 million, respectively, of costs related to delivering regulatory support and development services to Neuraxpharm in accordance with the Commercialization Agreement.</w:t>
      </w:r>
    </w:p>
    <w:p>
      <w:pPr>
        <w:spacing w:after="0" w:line="180" w:lineRule="exact"/>
        <w:rPr>
          <w:sz w:val="20"/>
          <w:szCs w:val="20"/>
          <w:color w:val="auto"/>
        </w:rPr>
      </w:pPr>
    </w:p>
    <w:p>
      <w:pPr>
        <w:jc w:val="both"/>
        <w:ind w:left="20"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Noncash Compensation Expense (Research and Development). </w:t>
      </w:r>
      <w:r>
        <w:rPr>
          <w:rFonts w:ascii="Times New Roman" w:cs="Times New Roman" w:eastAsia="Times New Roman" w:hAnsi="Times New Roman"/>
          <w:sz w:val="17"/>
          <w:szCs w:val="17"/>
          <w:color w:val="auto"/>
        </w:rPr>
        <w:t>Noncash compensation expense (research and development) related to equity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grants totaled $11.2 million for the year ended December 31, 2024, as compared to $13.0 million during the comparable period in 2023. The decrease in noncash compensation expense was primarily due to decreased vesting of milestone-based grants during the year ended December 31, 2024, as compared to the year ended December 31, 2023.</w:t>
      </w:r>
    </w:p>
    <w:p>
      <w:pPr>
        <w:spacing w:after="0" w:line="168" w:lineRule="exact"/>
        <w:rPr>
          <w:sz w:val="20"/>
          <w:szCs w:val="20"/>
          <w:color w:val="auto"/>
        </w:rPr>
      </w:pPr>
    </w:p>
    <w:p>
      <w:pPr>
        <w:jc w:val="both"/>
        <w:ind w:left="20"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Other Research and Development Expense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research and development expense increased for the year ended December 31, 2024, by approximately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$19.9 million to $83.1 million as compared to the prior year ended December 31, 2023. The increase in other research and development expense during the year ended December 31, 2024 was primarily attributable to manufacturing and development costs incurred in connection with our ublituximab subcutaneous development work, increased personnel and costs associated with the Precision License Agreement incurred during the period.</w:t>
      </w:r>
    </w:p>
    <w:p>
      <w:pPr>
        <w:spacing w:after="0" w:line="168" w:lineRule="exact"/>
        <w:rPr>
          <w:sz w:val="20"/>
          <w:szCs w:val="20"/>
          <w:color w:val="auto"/>
        </w:rPr>
      </w:pPr>
    </w:p>
    <w:p>
      <w:pPr>
        <w:jc w:val="both"/>
        <w:ind w:left="20"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Noncash Compensation Expense (Selling, General and Administrative). </w:t>
      </w:r>
      <w:r>
        <w:rPr>
          <w:rFonts w:ascii="Times New Roman" w:cs="Times New Roman" w:eastAsia="Times New Roman" w:hAnsi="Times New Roman"/>
          <w:sz w:val="17"/>
          <w:szCs w:val="17"/>
          <w:color w:val="auto"/>
        </w:rPr>
        <w:t>Noncash compensation expense (selling, general and administrative) related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equity incentive grants totaled $31.4 million for the year ended December 31, 2024, as compared to $24.9 million during the comparable period in 2024. The increase in noncash compensation expense was primarily due to greater recognition of noncash compensation expense for grants to executives during the year ended December 31, 2024.</w:t>
      </w:r>
    </w:p>
    <w:p>
      <w:pPr>
        <w:spacing w:after="0" w:line="168" w:lineRule="exact"/>
        <w:rPr>
          <w:sz w:val="20"/>
          <w:szCs w:val="20"/>
          <w:color w:val="auto"/>
        </w:rPr>
      </w:pPr>
    </w:p>
    <w:p>
      <w:pPr>
        <w:jc w:val="both"/>
        <w:ind w:left="20" w:firstLine="605"/>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Selling, General and Administrative. </w:t>
      </w:r>
      <w:r>
        <w:rPr>
          <w:rFonts w:ascii="Times New Roman" w:cs="Times New Roman" w:eastAsia="Times New Roman" w:hAnsi="Times New Roman"/>
          <w:sz w:val="16"/>
          <w:szCs w:val="16"/>
          <w:color w:val="auto"/>
        </w:rPr>
        <w:t>Other selling, general and administrative expenses increased for the year ended December 31, 2024,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$25.1 million to $122.9 million as compared to the prior year ended December 31, 2023. The increase was primarily due to other selling, general and administrative costs, including personnel, consultants, and third parties associated with the commercialization of BRIUMVI during the year ended December 31, 2024.</w:t>
      </w:r>
    </w:p>
    <w:p>
      <w:pPr>
        <w:spacing w:after="0" w:line="147" w:lineRule="exact"/>
        <w:rPr>
          <w:sz w:val="20"/>
          <w:szCs w:val="20"/>
          <w:color w:val="auto"/>
        </w:rPr>
      </w:pPr>
    </w:p>
    <w:p>
      <w:pPr>
        <w:jc w:val="both"/>
        <w:ind w:left="20"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for the year ended December 31, 2024 was $24.0 million compared to $12.6 million for the comparable period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2023. The $11.4 million increase is mainly due to $4.6 million of debt extinguishments costs incurred pertaining to the First Amendment with Hercules as well as increased interest expense pertaining to the Initial Term Loan with Blue during the same period (see Note 7 for more information).</w:t>
      </w:r>
    </w:p>
    <w:p>
      <w:pPr>
        <w:spacing w:after="0" w:line="164" w:lineRule="exact"/>
        <w:rPr>
          <w:sz w:val="20"/>
          <w:szCs w:val="20"/>
          <w:color w:val="auto"/>
        </w:rPr>
      </w:pPr>
    </w:p>
    <w:p>
      <w:pPr>
        <w:jc w:val="both"/>
        <w:ind w:left="20"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Income. </w:t>
      </w:r>
      <w:r>
        <w:rPr>
          <w:rFonts w:ascii="Times New Roman" w:cs="Times New Roman" w:eastAsia="Times New Roman" w:hAnsi="Times New Roman"/>
          <w:sz w:val="17"/>
          <w:szCs w:val="17"/>
          <w:color w:val="auto"/>
        </w:rPr>
        <w:t>Other income increased by $2.7 million to $7.7 million for the year ended December 31, 2024, as compared to $5.0 million for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2023. The increase is mainly due to greater accretion income earned from short-term investment securities during the year ended December 31, 2024, compared to the prior period.</w:t>
      </w:r>
    </w:p>
    <w:p>
      <w:pPr>
        <w:spacing w:after="0" w:line="164" w:lineRule="exact"/>
        <w:rPr>
          <w:sz w:val="20"/>
          <w:szCs w:val="20"/>
          <w:color w:val="auto"/>
        </w:rPr>
      </w:pPr>
    </w:p>
    <w:p>
      <w:pPr>
        <w:jc w:val="both"/>
        <w:ind w:firstLine="605"/>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Income tax increased by $1.8 million to $2.2 million for the year ended December 31, 2024, as compared to $0.4 for the year ended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2023. The increase is due to state tax liabilities incurred during the year ended December 31, 2024.</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2023 and 2022</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results of operations for the years ended December 31, 2023 and 2022:</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Product revenue, net</w:t>
            </w:r>
          </w:p>
        </w:tc>
        <w:tc>
          <w:tcPr>
            <w:tcW w:w="300" w:type="dxa"/>
            <w:vAlign w:val="bottom"/>
            <w:shd w:val="clear" w:color="auto" w:fill="CCEEFF"/>
          </w:tcPr>
          <w:p>
            <w:pPr>
              <w:jc w:val="right"/>
              <w:ind w:right="1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400"/>
              <w:spacing w:after="0" w:line="194" w:lineRule="exact"/>
              <w:rPr>
                <w:sz w:val="20"/>
                <w:szCs w:val="20"/>
                <w:color w:val="auto"/>
              </w:rPr>
            </w:pPr>
            <w:r>
              <w:rPr>
                <w:rFonts w:ascii="Times New Roman" w:cs="Times New Roman" w:eastAsia="Times New Roman" w:hAnsi="Times New Roman"/>
                <w:sz w:val="17"/>
                <w:szCs w:val="17"/>
                <w:color w:val="auto"/>
              </w:rPr>
              <w:t>92,005</w:t>
            </w:r>
          </w:p>
        </w:tc>
        <w:tc>
          <w:tcPr>
            <w:tcW w:w="32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2,633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License, milestone and other revenue</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141,657</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top w:val="single" w:sz="8" w:color="auto"/>
            </w:tcBorders>
            <w:shd w:val="clear" w:color="auto" w:fill="CCEEFF"/>
          </w:tcPr>
          <w:p>
            <w:pPr>
              <w:jc w:val="right"/>
              <w:ind w:right="1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233,662</w:t>
            </w:r>
          </w:p>
        </w:tc>
        <w:tc>
          <w:tcPr>
            <w:tcW w:w="4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2,785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product revenue</w:t>
            </w:r>
          </w:p>
        </w:tc>
        <w:tc>
          <w:tcPr>
            <w:tcW w:w="300" w:type="dxa"/>
            <w:vAlign w:val="bottom"/>
          </w:tcPr>
          <w:p>
            <w:pPr>
              <w:spacing w:after="0"/>
              <w:rPr>
                <w:sz w:val="17"/>
                <w:szCs w:val="17"/>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14,131</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Noncash compensation</w:t>
            </w:r>
          </w:p>
        </w:tc>
        <w:tc>
          <w:tcPr>
            <w:tcW w:w="300" w:type="dxa"/>
            <w:vAlign w:val="bottom"/>
          </w:tcPr>
          <w:p>
            <w:pPr>
              <w:spacing w:after="0"/>
              <w:rPr>
                <w:sz w:val="17"/>
                <w:szCs w:val="17"/>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13,010</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research and development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63,182</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112,128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research and development</w:t>
            </w: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76,192</w:t>
            </w:r>
          </w:p>
        </w:tc>
        <w:tc>
          <w:tcPr>
            <w:tcW w:w="40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125,352</w:t>
            </w: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Noncash compensation</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24,923</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selling, general and administrative</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97,783</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64,046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general and administrative</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122,706</w:t>
            </w: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95,484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8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costs and expenses</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213,029</w:t>
            </w:r>
          </w:p>
        </w:tc>
        <w:tc>
          <w:tcPr>
            <w:tcW w:w="4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221,101</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60"/>
          </w:cols>
          <w:pgMar w:left="300" w:top="123" w:right="339" w:bottom="1440" w:gutter="0" w:footer="0" w:header="0"/>
        </w:sectPr>
      </w:pPr>
    </w:p>
    <w:p>
      <w:pPr>
        <w:ind w:left="18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income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other expense, net</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 (loss) before taxes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Income taxes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12,615</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10,191</w:t>
            </w:r>
          </w:p>
        </w:tc>
      </w:tr>
      <w:tr>
        <w:trPr>
          <w:trHeight w:val="218"/>
        </w:trPr>
        <w:tc>
          <w:tcPr>
            <w:tcW w:w="5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(5,044)</w:t>
            </w: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(4,695)</w:t>
            </w:r>
          </w:p>
        </w:tc>
      </w:tr>
      <w:tr>
        <w:trPr>
          <w:trHeight w:val="195"/>
        </w:trPr>
        <w:tc>
          <w:tcPr>
            <w:tcW w:w="5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7,571</w:t>
            </w:r>
          </w:p>
        </w:tc>
        <w:tc>
          <w:tcPr>
            <w:tcW w:w="40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60" w:type="dxa"/>
            <w:vAlign w:val="bottom"/>
          </w:tcPr>
          <w:p>
            <w:pPr>
              <w:spacing w:after="0"/>
              <w:rPr>
                <w:sz w:val="16"/>
                <w:szCs w:val="16"/>
                <w:color w:val="auto"/>
              </w:rPr>
            </w:pPr>
          </w:p>
        </w:tc>
      </w:tr>
      <w:tr>
        <w:trPr>
          <w:trHeight w:val="380"/>
        </w:trPr>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(223,812)</w:t>
            </w:r>
          </w:p>
        </w:tc>
      </w:tr>
      <w:tr>
        <w:trPr>
          <w:trHeight w:val="218"/>
        </w:trPr>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4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(223,812)</w:t>
            </w:r>
          </w:p>
        </w:tc>
        <w:tc>
          <w:tcPr>
            <w:tcW w:w="60" w:type="dxa"/>
            <w:vAlign w:val="bottom"/>
          </w:tcPr>
          <w:p>
            <w:pPr>
              <w:spacing w:after="0"/>
              <w:rPr>
                <w:sz w:val="16"/>
                <w:szCs w:val="16"/>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-944245</wp:posOffset>
            </wp:positionV>
            <wp:extent cx="7141210"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-680085</wp:posOffset>
            </wp:positionV>
            <wp:extent cx="7141210" cy="135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-415925</wp:posOffset>
            </wp:positionV>
            <wp:extent cx="7141210"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-151765</wp:posOffset>
            </wp:positionV>
            <wp:extent cx="7141210" cy="152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7100" w:space="720"/>
            <w:col w:w="3440"/>
          </w:cols>
          <w:pgMar w:left="300" w:top="123" w:right="339" w:bottom="1440" w:gutter="0" w:footer="0" w:header="0"/>
          <w:type w:val="continuous"/>
        </w:sectPr>
      </w:pPr>
    </w:p>
    <w:p>
      <w:pPr>
        <w:jc w:val="both"/>
        <w:ind w:left="20"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Product Revenues, net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Total revenue for the year ended December 31, 2023 increased compared to the comparable period ended December 31,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due to an increase in net product revenues from sales of our sole commercial product, BRIUMVI, which was commercially launched in the U.S. in January 2023, following FDA approval. Product revenue, net for the year ended December 31, 2022, consisted of net product sales of UKONIQ, which was officially withdrawn from the market in May 2022.</w:t>
      </w:r>
    </w:p>
    <w:p>
      <w:pPr>
        <w:spacing w:after="0" w:line="16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License Revenue</w:t>
      </w:r>
      <w:r>
        <w:rPr>
          <w:rFonts w:ascii="Times New Roman" w:cs="Times New Roman" w:eastAsia="Times New Roman" w:hAnsi="Times New Roman"/>
          <w:sz w:val="17"/>
          <w:szCs w:val="17"/>
          <w:color w:val="auto"/>
        </w:rPr>
        <w:t>. License revenue was $140.2 million and $0.2 million for the years ended December 31, 2023 and December 31, 2022, respectively.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License revenue for the year ended December 31, 2023 is predominantly comprised of recognition of license revenue from the one-time $140.0 million non-refundable upfront payment recognized in the third quarter of 2023 as part of the Commercialization Agreement with Neuraxpharm (see Note 2 for more information). License revenue for the year ended December 31, 2022 is comprised of recognition of a portion of the upfront payment from the ublituximab sublicense agreement with Ildong.</w:t>
      </w:r>
    </w:p>
    <w:p>
      <w:pPr>
        <w:spacing w:after="0" w:line="172"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Other Revenue</w:t>
      </w:r>
      <w:r>
        <w:rPr>
          <w:rFonts w:ascii="Times New Roman" w:cs="Times New Roman" w:eastAsia="Times New Roman" w:hAnsi="Times New Roman"/>
          <w:sz w:val="17"/>
          <w:szCs w:val="17"/>
          <w:color w:val="auto"/>
        </w:rPr>
        <w:t>. Other revenue was $1.5 million and zero for the year ended December 31, 2023 and December 31, 2022, respectively. Other revenue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ended December 31, 2023 is comprised of consideration received for development and regulatory activities performed on behalf of Neuraxpharm in accordance with the Commercialization Agreement.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83" w:name="page84"/>
    <w:bookmarkEnd w:id="83"/>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ind w:left="20" w:firstLine="605"/>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 of Product Revenue. </w:t>
      </w:r>
      <w:r>
        <w:rPr>
          <w:rFonts w:ascii="Times New Roman" w:cs="Times New Roman" w:eastAsia="Times New Roman" w:hAnsi="Times New Roman"/>
          <w:sz w:val="16"/>
          <w:szCs w:val="16"/>
          <w:color w:val="auto"/>
        </w:rPr>
        <w:t>Cost of revenue for the year ended December 31, 2023 increased compared to the comparable period ended December 31, 2022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due to increased product sales resulting from the commercial launch of BRIUMVI in the U.S. market which began in January 2023 following FDA approval. During the year ended December 31, 2023 the cost of revenue consisted primarily of third-party manufacturing, distribution, overhead costs and royalties on net sales of BRIUMVI owed to our licensing partner. Based on our policy to expense costs associated with the manufacture of our products prior to regulatory approval, a portion of the manufacturing costs of BRIUMVI units recognized as revenue during the year ended December 31, 2023 were expensed as research and development expenses prior to receipt of FDA approval, and therefore are not reflected in the cost of revenue. We expect the cost of revenue for BRIUMVI to increase in relation to product revenues as we deplete these inventories and we expect to use the remaining pre-commercialization inventory for product sales through the first quarter of 2025.</w:t>
      </w:r>
    </w:p>
    <w:p>
      <w:pPr>
        <w:spacing w:after="0" w:line="160" w:lineRule="exact"/>
        <w:rPr>
          <w:sz w:val="20"/>
          <w:szCs w:val="20"/>
          <w:color w:val="auto"/>
        </w:rPr>
      </w:pPr>
    </w:p>
    <w:p>
      <w:pPr>
        <w:jc w:val="both"/>
        <w:ind w:left="20"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Noncash Compensation Expense (Research and Development). </w:t>
      </w:r>
      <w:r>
        <w:rPr>
          <w:rFonts w:ascii="Times New Roman" w:cs="Times New Roman" w:eastAsia="Times New Roman" w:hAnsi="Times New Roman"/>
          <w:sz w:val="17"/>
          <w:szCs w:val="17"/>
          <w:color w:val="auto"/>
        </w:rPr>
        <w:t>Noncash compensation expense (research and development) related to equity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grants totaled $13.0 million for the year ended December 31, 2023, as compared to $13.2 million during the comparable period in 2022.</w:t>
      </w:r>
    </w:p>
    <w:p>
      <w:pPr>
        <w:spacing w:after="0" w:line="151" w:lineRule="exact"/>
        <w:rPr>
          <w:sz w:val="20"/>
          <w:szCs w:val="20"/>
          <w:color w:val="auto"/>
        </w:rPr>
      </w:pPr>
    </w:p>
    <w:p>
      <w:pPr>
        <w:jc w:val="both"/>
        <w:ind w:left="20"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Other Research and Development Expense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research and development expense decreased for the year ended December 31, 2023, by approximately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$48.9 million to $63.2 million as compared to the prior year ended December 31, 2022. The decrease in other research and development expense during the year ended December 31, 2023 was primarily attributable to reduced manufacturing expense, a decrease in license milestones and reduced clinical trial related expenses. Prior to the approval of BRIUMVI, manufacturing costs pertaining to BRIUMVI were expensed to research and development expense in the period incurred, and following approval are reflected in inventory.</w:t>
      </w:r>
    </w:p>
    <w:p>
      <w:pPr>
        <w:spacing w:after="0" w:line="172" w:lineRule="exact"/>
        <w:rPr>
          <w:sz w:val="20"/>
          <w:szCs w:val="20"/>
          <w:color w:val="auto"/>
        </w:rPr>
      </w:pPr>
    </w:p>
    <w:p>
      <w:pPr>
        <w:jc w:val="both"/>
        <w:ind w:left="20"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Noncash Compensation Expense (Selling, General and Administrative). </w:t>
      </w:r>
      <w:r>
        <w:rPr>
          <w:rFonts w:ascii="Times New Roman" w:cs="Times New Roman" w:eastAsia="Times New Roman" w:hAnsi="Times New Roman"/>
          <w:sz w:val="17"/>
          <w:szCs w:val="17"/>
          <w:color w:val="auto"/>
        </w:rPr>
        <w:t>Noncash compensation expense (selling, general and administrative) related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equity incentive grants totaled $24.9 million for the year ended December 31, 2023, as compared to $31.4 million during the comparable period in 2022. The decrease in noncash compensation expense was primarily due to greater recognition of noncash compensation expense for grants to executives during the year ended December 31, 2022.</w:t>
      </w:r>
    </w:p>
    <w:p>
      <w:pPr>
        <w:spacing w:after="0" w:line="168" w:lineRule="exact"/>
        <w:rPr>
          <w:sz w:val="20"/>
          <w:szCs w:val="20"/>
          <w:color w:val="auto"/>
        </w:rPr>
      </w:pPr>
    </w:p>
    <w:p>
      <w:pPr>
        <w:jc w:val="both"/>
        <w:ind w:left="20"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Selling, General and Administrative. </w:t>
      </w:r>
      <w:r>
        <w:rPr>
          <w:rFonts w:ascii="Times New Roman" w:cs="Times New Roman" w:eastAsia="Times New Roman" w:hAnsi="Times New Roman"/>
          <w:sz w:val="17"/>
          <w:szCs w:val="17"/>
          <w:color w:val="auto"/>
        </w:rPr>
        <w:t>Other selling, general and administrative expenses increased for the year ended December 31, 2023,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$33.9 million to $97.8 million as compared to the prior year ended December 31, 2022. The increase was primarily due to other selling, general and administrative costs, including personnel and consultants, associated with the approval and commercialization of BRIUMVI, as well as increase in advisory fees pertaining to the Commercialization Agreement with Neuraxpharm during the year ended December 31, 2023.</w:t>
      </w:r>
    </w:p>
    <w:p>
      <w:pPr>
        <w:spacing w:after="0" w:line="168" w:lineRule="exact"/>
        <w:rPr>
          <w:sz w:val="20"/>
          <w:szCs w:val="20"/>
          <w:color w:val="auto"/>
        </w:rPr>
      </w:pPr>
    </w:p>
    <w:p>
      <w:pPr>
        <w:jc w:val="both"/>
        <w:ind w:left="20"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for the year ended December 31, 2023 was $12.6 million compared to $10.2 million for the comparable period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2022. The $2.4 million increase is mainly due to greater interest expense related to First Amendment to the Amended Loan Agreement.</w:t>
      </w:r>
    </w:p>
    <w:p>
      <w:pPr>
        <w:spacing w:after="0" w:line="151" w:lineRule="exact"/>
        <w:rPr>
          <w:sz w:val="20"/>
          <w:szCs w:val="20"/>
          <w:color w:val="auto"/>
        </w:rPr>
      </w:pPr>
    </w:p>
    <w:p>
      <w:pPr>
        <w:jc w:val="both"/>
        <w:ind w:left="20"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Income. </w:t>
      </w:r>
      <w:r>
        <w:rPr>
          <w:rFonts w:ascii="Times New Roman" w:cs="Times New Roman" w:eastAsia="Times New Roman" w:hAnsi="Times New Roman"/>
          <w:sz w:val="17"/>
          <w:szCs w:val="17"/>
          <w:color w:val="auto"/>
        </w:rPr>
        <w:t>Other income increased by $0.3 million to $5.0 million for the year ended December 31, 2023, as compared to $4.7 million for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2022.</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Income tax increased by $0.4 million to $0.4 million for the year ended December 31, 2023, as compared to zero for the year ended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2022. The $0.4 million increase is due to state tax liabilities incurred during the year ended December 31, 2023.</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2" w:lineRule="exact"/>
        <w:rPr>
          <w:sz w:val="20"/>
          <w:szCs w:val="20"/>
          <w:color w:val="auto"/>
        </w:rPr>
      </w:pPr>
    </w:p>
    <w:p>
      <w:pPr>
        <w:jc w:val="both"/>
        <w:ind w:left="20" w:firstLine="605"/>
        <w:spacing w:after="0" w:line="277" w:lineRule="auto"/>
        <w:rPr>
          <w:sz w:val="20"/>
          <w:szCs w:val="20"/>
          <w:color w:val="auto"/>
        </w:rPr>
      </w:pPr>
      <w:r>
        <w:rPr>
          <w:rFonts w:ascii="Times New Roman" w:cs="Times New Roman" w:eastAsia="Times New Roman" w:hAnsi="Times New Roman"/>
          <w:sz w:val="16"/>
          <w:szCs w:val="16"/>
          <w:color w:val="auto"/>
        </w:rPr>
        <w:t>Historically, we have incurred operating losses since our inception; however, during the year ended December 31, 2024, and December 31, 2023 the Company generated net income. During the year ended December 31, 2023, the Company experienced a net profit due to a $140.0 million non-refundable upfront payment recognized as license revenue in the third quarter of 2023 as part of our Commercialization Agreement with Neuraxpharm (see Note 2 for more information). We may incur operating losses in the near term and may never become profitable. As of December 31, 2024, we have an accumulated deficit of $1.5 billion.</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major sources of cash have been proceeds from private placements and public offerings of equity securities, from our loan and security agreements, the upfront payment from the Commercialization Agreement (see Note 2 for more information), and from product revenue from drug sales of BRIUMVI. Substantially all our operating losses have resulted from costs incurred in connection with our research and development programs and from selling, general and administrative costs associated with our operations, including our commercialization activities. As of December 31, 2024, we generated $313.7 million in product revenue from sales of BRIUMVI. BRIUMVI first became commercially available in the United States in January 2023. Even with the commercialization of BRIUMVI and the possible future commercialization of our other drug candidates, we may not realize continued profitability. Our ability to achieve continued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may incur operating losses even now that we are generating revenues from BRIUMVI.</w:t>
      </w:r>
    </w:p>
    <w:p>
      <w:pPr>
        <w:spacing w:after="0" w:line="177"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As of December 31, 2024, we had $311.0 million in cash and cash equivalents, and short-term investment securities. We anticipate that our cash, cash equivalents, and investment securities as of December 31, 2024, combined with projected revenues associated with the sale of BRIUMVI in the U.S. and ex-U.S., will provide sufficient liquidity for more than a twelve-month period from the date of filing this Annual Report on Form 10-K. The actual amount of cash that we will need to operate is subject to many factors, including, but not limited to, our commercialization efforts for BRIUMVI,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3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Discussion of Cash Flows</w:t>
            </w: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our cash flows for the years ended December 31, 2024 and 2023:</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7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r>
      <w:tr>
        <w:trPr>
          <w:trHeight w:val="194"/>
        </w:trPr>
        <w:tc>
          <w:tcPr>
            <w:tcW w:w="7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1620" w:type="dxa"/>
            <w:vAlign w:val="bottom"/>
            <w:gridSpan w:val="2"/>
            <w:shd w:val="clear" w:color="auto" w:fill="CCEEFF"/>
          </w:tcPr>
          <w:p>
            <w:pPr>
              <w:jc w:val="right"/>
              <w:ind w:right="756"/>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w w:val="99"/>
              </w:rPr>
              <w:t>(40,517)</w:t>
            </w:r>
          </w:p>
        </w:tc>
        <w:tc>
          <w:tcPr>
            <w:tcW w:w="32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(31,413)</w:t>
            </w:r>
          </w:p>
        </w:tc>
      </w:tr>
      <w:tr>
        <w:trPr>
          <w:trHeight w:val="202"/>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20" w:type="dxa"/>
            <w:vAlign w:val="bottom"/>
            <w:gridSpan w:val="2"/>
          </w:tcPr>
          <w:p>
            <w:pPr>
              <w:jc w:val="right"/>
              <w:ind w:right="756"/>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(1,036)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(50,651)</w:t>
            </w:r>
          </w:p>
        </w:tc>
      </w:tr>
      <w:tr>
        <w:trPr>
          <w:trHeight w:val="20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62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128,527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72,705</w:t>
            </w:r>
          </w:p>
        </w:tc>
      </w:tr>
    </w:tbl>
    <w:p>
      <w:pPr>
        <w:spacing w:after="0" w:line="185"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Cash used in operating activities for the year ended December 31, 2024 was $40.5 million as compared to $31.4 million for the year ended December 31, 2023. The increase in net cash used in operating activities was due to higher operating expenditures and an increase in cash used for inventory purchases during the year ended December 31, 2024.</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2024, net cash used in investing activities was $1.0 million as compared to $50.7 million for the year ended December 31, 2023. The decrease in net cash used in investing activities was primarily due to lower maturities of short-term securities during the year ended December 31, 2023, mainly based on timing of maturities.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year ended December 31, 2024, net cash provided by financing activities was $128.5 million as compared to $72.7 million for the year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The increase in net cash provided by financing activities during the year ended December 31, 2024 is mainly due to the proceeds from the new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 with Blue Owl, offset by the payoff of our prior loan with Hercules.</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ATM Program</w:t>
      </w:r>
    </w:p>
    <w:p>
      <w:pPr>
        <w:spacing w:after="0" w:line="212" w:lineRule="exact"/>
        <w:rPr>
          <w:sz w:val="20"/>
          <w:szCs w:val="20"/>
          <w:color w:val="auto"/>
        </w:rPr>
      </w:pPr>
    </w:p>
    <w:p>
      <w:pPr>
        <w:jc w:val="both"/>
        <w:ind w:left="40" w:firstLine="605"/>
        <w:spacing w:after="0" w:line="253" w:lineRule="auto"/>
        <w:rPr>
          <w:sz w:val="20"/>
          <w:szCs w:val="20"/>
          <w:color w:val="auto"/>
        </w:rPr>
      </w:pPr>
      <w:r>
        <w:rPr>
          <w:rFonts w:ascii="Times New Roman" w:cs="Times New Roman" w:eastAsia="Times New Roman" w:hAnsi="Times New Roman"/>
          <w:sz w:val="17"/>
          <w:szCs w:val="17"/>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 The 2022 ATM is our only active ATM program.</w:t>
      </w:r>
    </w:p>
    <w:p>
      <w:pPr>
        <w:spacing w:after="0" w:line="176"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2023, we sold a total of 1,385,700 shares of common stock under the 2022 ATM for aggregate total gross proceeds of approximately $47.1 million at an average selling price of $34.01 per share, resulting in net proceeds of approximately $46.3 million after deducting commissions and other transactions costs.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had no activity on the 2022 ATM during the year ended December 31, 2024.</w:t>
      </w:r>
    </w:p>
    <w:p>
      <w:pPr>
        <w:spacing w:after="0" w:line="208"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Debt Financings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March 31, 2023 (the First Amendment Effective Date), the Company entered into a First Amendment to the Amended and Restated Loan and Security Agreement (the First Amendment) with Hercules Capital, Inc. (Hercules). The First Amendment amended the terms of the Amended and Restated Loan and Security Agreement (Amended Loan Agreement) with Hercules that closed on December 30, 2021. The First Amendment amended the terms of the Amended Loan Agreement to, among other things, (i) issue an advance of $25.0 million drawn at the First Amendment Effective Date (the Tranche 3A Advance), (ii) provide for the formal expiration of Tranche 2, (iii) change the draw amounts and dates available under subsequent tranches, including splitting the remaining balance of Tranche 3 into two additional advances in an aggregate principal amount of up to $20.0 million, in increments of $10.0 million (a Tranche 3B Advance and a Tranche 3C Advance), decreasing the amount available under Tranche 4 from $65.0 million to $60.0 million, and adding a Tranche 5 of $25.0 million, subject to the achievement of revenue related performance milestones, (iv) extend the interest only period from February 1, 2025 to August 1, 2025 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as amended, The Amended Loan Agreement, as amended, contains financial covenants that require the Company to maintain certain levels of unrestricted cash and additional financial covenants related to market capitalization.</w:t>
      </w:r>
    </w:p>
    <w:p>
      <w:pPr>
        <w:spacing w:after="0" w:line="179"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The Amended Loan Agreement, as amended also contains warrant coverage of 2.95% of the total amount funded. A warrant (the Warrant) was issued by the Company to Hercules to purchase 115,042 shares of common stock with an exercise price of $17.95 for the initial amount funded at the Closing Date. The Warrant shall be exercisable for seven years from the date of issuance. Hercules may exercise the Warrant either by (a) cash or check or (b) through a net issuance conversion. Additionally, a warrant was issued by the Company to Hercules to purchase 50,172 shares of common stock with an exercise price of $14.70 for the amount funded pertaining to the Tranche 3A Advance (the First Amendment Warrant). The First Amendment Warrant shall be exercisable for seven years from the date of issuance. Hercules may exercise the First Amendment Warrant either by (a) cash or check or (b) through a net issuance conversion.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78740</wp:posOffset>
            </wp:positionV>
            <wp:extent cx="714121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left="120" w:firstLine="605"/>
        <w:spacing w:after="0" w:line="254" w:lineRule="auto"/>
        <w:rPr>
          <w:sz w:val="20"/>
          <w:szCs w:val="20"/>
          <w:color w:val="auto"/>
        </w:rPr>
      </w:pPr>
      <w:r>
        <w:rPr>
          <w:rFonts w:ascii="Times New Roman" w:cs="Times New Roman" w:eastAsia="Times New Roman" w:hAnsi="Times New Roman"/>
          <w:sz w:val="17"/>
          <w:szCs w:val="17"/>
          <w:color w:val="auto"/>
        </w:rPr>
        <w:t>On August 2, 2024 (the New Closing Date), the Company entered into a term loan facility of $250 million (the Initial Term Loan) with Blue Owl Capital Corporation, as administrative agent (the Administrative Agent), HealthCare Royalty and Blue Owl Capital under the Financing Agreement (as defined below). The Company repaid all outstanding principal and accrued interest and fees under the First Amendment with Hercules (such repayment, the Refinancing), which Refinancing was funded with the proceeds of the Initial Term Loan. The existing Amended Loan Agreement with Hercules was effectively terminated, and all guarantees and liens granted thereunder were released upon the consummation of the Refinancing.</w:t>
      </w:r>
    </w:p>
    <w:p>
      <w:pPr>
        <w:spacing w:after="0" w:line="176" w:lineRule="exact"/>
        <w:rPr>
          <w:sz w:val="20"/>
          <w:szCs w:val="20"/>
          <w:color w:val="auto"/>
        </w:rPr>
      </w:pPr>
    </w:p>
    <w:p>
      <w:pPr>
        <w:jc w:val="both"/>
        <w:ind w:left="120" w:firstLine="605"/>
        <w:spacing w:after="0" w:line="250" w:lineRule="auto"/>
        <w:rPr>
          <w:sz w:val="20"/>
          <w:szCs w:val="20"/>
          <w:color w:val="auto"/>
        </w:rPr>
      </w:pPr>
      <w:r>
        <w:rPr>
          <w:rFonts w:ascii="Times New Roman" w:cs="Times New Roman" w:eastAsia="Times New Roman" w:hAnsi="Times New Roman"/>
          <w:sz w:val="17"/>
          <w:szCs w:val="17"/>
          <w:color w:val="auto"/>
        </w:rPr>
        <w:t>The Initial Term Loan is governed by a financing agreement, dated as of the New Closing Date (the Financing Agreement), which provides for (i) a single draw of the Initial Term Loan on the New Closing Date and (ii) an uncommitted additional facility in an aggregate principal amount of up to $100 million. The Initial Term Loan will mature on August 2, 2029 (the Term Loan Maturity Date). The Initial Term Loan accrues interest at a per annum rate of interest equal to an applicable margin plus, at the Company’s option, either (a) at a base rate determined by reference to the highest of (1) the prime rate published by the Wall Street Journal, (2) the federal funds effective rate plus 0.50% and (3) Term SOFR, plus 1.00% or (b) Term SOFR, which, shall be no less than 1.00%. The applicable margin for borrowings of the Initial Term Loan is determined on a quarterly basis by reference to a pricing grid based on the achievement of US Net Sales (as defined in the Financing Agreement) for the most recently completed four consecutive fiscal quarters of the Company and its Subsidiaries (as defined in the Financing Agreement). The pricing grid commences at 5.50% for SOFR borrowings and 4.50% for base rate borrowings and is subject to a 25-basis point step-down upon achievement of a specified US Net Sales threshold. The Initial Term Loan requires scheduled quarterly amortization payments, commencing with the fiscal quarter ending June 30, 2028, in an amount equal to $12.5 million, with the balance due and payable on the Term Loan Maturity Date; provided that such amortization payments may be deferred to the Term Loan Maturity Date upon the achievement of a Total Net Leverage Ratio (as defined in the Financing Agreement) that is less than or equal to an agreed threshold.</w:t>
      </w:r>
    </w:p>
    <w:p>
      <w:pPr>
        <w:spacing w:after="0" w:line="179" w:lineRule="exact"/>
        <w:rPr>
          <w:sz w:val="20"/>
          <w:szCs w:val="20"/>
          <w:color w:val="auto"/>
        </w:rPr>
      </w:pPr>
    </w:p>
    <w:p>
      <w:pPr>
        <w:jc w:val="both"/>
        <w:ind w:left="120" w:firstLine="605"/>
        <w:spacing w:after="0" w:line="274" w:lineRule="auto"/>
        <w:rPr>
          <w:sz w:val="20"/>
          <w:szCs w:val="20"/>
          <w:color w:val="auto"/>
        </w:rPr>
      </w:pPr>
      <w:r>
        <w:rPr>
          <w:rFonts w:ascii="Times New Roman" w:cs="Times New Roman" w:eastAsia="Times New Roman" w:hAnsi="Times New Roman"/>
          <w:sz w:val="17"/>
          <w:szCs w:val="17"/>
          <w:color w:val="auto"/>
        </w:rPr>
        <w:t>The Initial Term Loan is secured by a lien on substantially all of the assets of the Company and certain subsidiaries of the Company as guarantors and contains customary covenants and representations.</w:t>
      </w:r>
    </w:p>
    <w:p>
      <w:pPr>
        <w:spacing w:after="0" w:line="159" w:lineRule="exact"/>
        <w:rPr>
          <w:sz w:val="20"/>
          <w:szCs w:val="20"/>
          <w:color w:val="auto"/>
        </w:rPr>
      </w:pPr>
    </w:p>
    <w:p>
      <w:pPr>
        <w:jc w:val="both"/>
        <w:ind w:left="120" w:firstLine="605"/>
        <w:spacing w:after="0" w:line="274" w:lineRule="auto"/>
        <w:rPr>
          <w:sz w:val="20"/>
          <w:szCs w:val="20"/>
          <w:color w:val="auto"/>
        </w:rPr>
      </w:pPr>
      <w:r>
        <w:rPr>
          <w:rFonts w:ascii="Times New Roman" w:cs="Times New Roman" w:eastAsia="Times New Roman" w:hAnsi="Times New Roman"/>
          <w:sz w:val="17"/>
          <w:szCs w:val="17"/>
          <w:color w:val="auto"/>
        </w:rPr>
        <w:t>The events of default under the Financing Agreement are customary for financings of this type. If an event of default occurs, the Administrative Agent is entitled to take enforcement action, including acceleration of amounts due under the Financing Agreement.</w:t>
      </w:r>
    </w:p>
    <w:p>
      <w:pPr>
        <w:spacing w:after="0" w:line="159" w:lineRule="exact"/>
        <w:rPr>
          <w:sz w:val="20"/>
          <w:szCs w:val="20"/>
          <w:color w:val="auto"/>
        </w:rPr>
      </w:pPr>
    </w:p>
    <w:p>
      <w:pPr>
        <w:jc w:val="both"/>
        <w:ind w:left="120" w:firstLine="605"/>
        <w:spacing w:after="0" w:line="253" w:lineRule="auto"/>
        <w:rPr>
          <w:sz w:val="20"/>
          <w:szCs w:val="20"/>
          <w:color w:val="auto"/>
        </w:rPr>
      </w:pPr>
      <w:r>
        <w:rPr>
          <w:rFonts w:ascii="Times New Roman" w:cs="Times New Roman" w:eastAsia="Times New Roman" w:hAnsi="Times New Roman"/>
          <w:sz w:val="17"/>
          <w:szCs w:val="17"/>
          <w:color w:val="auto"/>
        </w:rPr>
        <w:t>The Company evaluated whether the Initial Term Loan represented a debt modification or extinguishment of the First Amendment with Hercules with ASC 470-50, Debt – Modifications and Extinguishments. As a result of the Initial Term Loan and effective termination of the First Amendment with Hercules, this transaction was accounted for by the Company under the extinguishment accounting model. The Company recorded a loss on extinguishment of debt of approximately $4.6 million in the Company’s statement of operations for the three and nine months ended September 30, 2024, representing the write-off of unamortized debt issuance costs and a prepayment charge. The Company capitalized third party fees from the Initial Term Loan to debt issuance costs and capitalized the facility fee incurred with the Administrative Agent as part of the Initial Term Loan to debt discount.</w:t>
      </w:r>
    </w:p>
    <w:p>
      <w:pPr>
        <w:spacing w:after="0" w:line="176" w:lineRule="exact"/>
        <w:rPr>
          <w:sz w:val="20"/>
          <w:szCs w:val="20"/>
          <w:color w:val="auto"/>
        </w:rPr>
      </w:pPr>
    </w:p>
    <w:p>
      <w:pPr>
        <w:jc w:val="both"/>
        <w:ind w:left="140" w:firstLine="605"/>
        <w:spacing w:after="0" w:line="253" w:lineRule="auto"/>
        <w:rPr>
          <w:sz w:val="20"/>
          <w:szCs w:val="20"/>
          <w:color w:val="auto"/>
        </w:rPr>
      </w:pPr>
      <w:r>
        <w:rPr>
          <w:rFonts w:ascii="Times New Roman" w:cs="Times New Roman" w:eastAsia="Times New Roman" w:hAnsi="Times New Roman"/>
          <w:sz w:val="17"/>
          <w:szCs w:val="17"/>
          <w:color w:val="auto"/>
        </w:rPr>
        <w:t>The Company incurred total financing and upfront costs of $6.0 million related to the Initial Term Loan which are recorded as debt issuance costs and debt discount costs and as an offset to loan payable on the Company’s consolidated balance sheet. The debt issuance and debt discount costs are being amortized over the term of the debt using the straight-line method, which approximates the effective interest method, and will be included in interest expense in the Company’s consolidated statements of operations. Amortization of debt issuance and debt discount costs was $5.6 million (including write off of remaining debt issuance balance under the First Amendment with Hercules), $2.4 million and $1.8 million for the years ended December 31, 2024, 2023 and 2022, respectively. At December 31, 2024, the remaining unamortized balance of debt issuance and debt discount costs was $5.6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new space in April 2016, with rental payments beginning in the third quarter of 2016. Also in connection with this lease, we have pledged $1.3 million to secure a line of credit as a security deposit for the Office Agreement, which has been recorded as restricted cash in the accompanying consolidated balance sheets.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Total rental expense was approximately $2.3 million, $2.2 million and $2.7 million for the years ended December 31, 2024, 2023 and 2022, respectively.</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Future minimum lease commitments as of December 31, 2024 total, in the aggregate, approximately $12.6 million through December 31, 2032. Our future minimum lease commitments include our office leases in New York and North Carolina as of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7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Pursuant to Topic 606, we recognize revenue to depict the transfer of promised goods or services to customers in an amount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left="20" w:firstLine="605"/>
        <w:spacing w:after="0" w:line="268" w:lineRule="auto"/>
        <w:rPr>
          <w:sz w:val="20"/>
          <w:szCs w:val="20"/>
          <w:color w:val="auto"/>
        </w:rPr>
      </w:pPr>
      <w:r>
        <w:rPr>
          <w:rFonts w:ascii="Times New Roman" w:cs="Times New Roman" w:eastAsia="Times New Roman" w:hAnsi="Times New Roman"/>
          <w:sz w:val="16"/>
          <w:szCs w:val="16"/>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 For a complete discussion of the accounting for product revenue, see Note 1 – Organization and Summary of Significant Accounting Policies in the Notes to Consolidated Financial Statements.</w:t>
      </w:r>
    </w:p>
    <w:p>
      <w:pPr>
        <w:spacing w:after="0" w:line="168" w:lineRule="exact"/>
        <w:rPr>
          <w:sz w:val="20"/>
          <w:szCs w:val="20"/>
          <w:color w:val="auto"/>
        </w:rPr>
      </w:pPr>
    </w:p>
    <w:p>
      <w:pPr>
        <w:jc w:val="both"/>
        <w:ind w:left="160" w:firstLine="605"/>
        <w:spacing w:after="0" w:line="256" w:lineRule="auto"/>
        <w:rPr>
          <w:sz w:val="20"/>
          <w:szCs w:val="20"/>
          <w:color w:val="auto"/>
        </w:rPr>
      </w:pPr>
      <w:r>
        <w:rPr>
          <w:rFonts w:ascii="Times New Roman" w:cs="Times New Roman" w:eastAsia="Times New Roman" w:hAnsi="Times New Roman"/>
          <w:sz w:val="17"/>
          <w:szCs w:val="17"/>
          <w:color w:val="auto"/>
        </w:rPr>
        <w:t>License Revenue - Revenue recognized from license agreements will include royalties on sales, upfront, milestone and other payments, if any, under any current or future licensing agreements, including revenues related to the supply of our drug candidates or approved drugs to our various licensing partners under these types of contracts. For a complete discussion of the accounting for license revenue, see Note 1 – Organization and Summary of Significant Accounting Policies in the Notes to Consolidated Financial Statements.</w:t>
      </w:r>
    </w:p>
    <w:p>
      <w:pPr>
        <w:spacing w:after="0" w:line="171" w:lineRule="exact"/>
        <w:rPr>
          <w:sz w:val="20"/>
          <w:szCs w:val="20"/>
          <w:color w:val="auto"/>
        </w:rPr>
      </w:pPr>
    </w:p>
    <w:p>
      <w:pPr>
        <w:jc w:val="both"/>
        <w:ind w:left="20"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Stock-based compensation costs related to equity awards granted to employees and non-employees are measured at the date of grant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the fair value of the award. We estimate the grant date fair value of options, and the resulting stock-based compensation expense, using the Black-Scholes option-pricing model. Equity awards with market conditions are valued using advanced option-pricing models, such as a Monte Carlo simulation. The effect of a market condition is reflected in the award’s fair value on the grant date. For time-based or performance-based restricted stock, the fair value is based on the market value of our common stock on the date of grant.</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Stock-based compensation expense for time-based restricted stock and options is recognized on a straight-line basis over the requisite service period. Stock-based compensation expense for awards that vest upon the achievement of milestones is recognized over the requisite service period when the achievement of such milestones becomes probable. Stock-based compensation expense for an award that has a market condition is recognized over the requisite service period, which is derived from the valuation model, even if the market condition is never satisfied. We recognize all stock-based payments to employees and non-employee directors (as compensation for service) as noncash compensation expense in the consolidated financial statements. Forfeitures are recognized as they occur.</w:t>
      </w:r>
    </w:p>
    <w:p>
      <w:pPr>
        <w:spacing w:after="0" w:line="172" w:lineRule="exact"/>
        <w:rPr>
          <w:sz w:val="20"/>
          <w:szCs w:val="20"/>
          <w:color w:val="auto"/>
        </w:rPr>
      </w:pPr>
    </w:p>
    <w:p>
      <w:pPr>
        <w:ind w:left="20"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Accrued Research and Development Expenses. </w:t>
      </w:r>
      <w:r>
        <w:rPr>
          <w:rFonts w:ascii="Times New Roman" w:cs="Times New Roman" w:eastAsia="Times New Roman" w:hAnsi="Times New Roman"/>
          <w:sz w:val="17"/>
          <w:szCs w:val="17"/>
          <w:color w:val="auto"/>
        </w:rPr>
        <w:t>As part of the process of preparing our financial statements, we are required to estimate our accrued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process involves reviewing open contracts,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w:t>
      </w:r>
    </w:p>
    <w:p>
      <w:pPr>
        <w:spacing w:after="0" w:line="196" w:lineRule="exact"/>
        <w:rPr>
          <w:sz w:val="20"/>
          <w:szCs w:val="20"/>
          <w:color w:val="auto"/>
        </w:rPr>
      </w:pPr>
    </w:p>
    <w:p>
      <w:pPr>
        <w:ind w:left="920" w:hanging="294"/>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contract research organizations (CROs) in connection with clinical studies;</w:t>
      </w:r>
    </w:p>
    <w:p>
      <w:pPr>
        <w:spacing w:after="0" w:line="15" w:lineRule="exact"/>
        <w:rPr>
          <w:rFonts w:ascii="Times New Roman" w:cs="Times New Roman" w:eastAsia="Times New Roman" w:hAnsi="Times New Roman"/>
          <w:sz w:val="17"/>
          <w:szCs w:val="17"/>
          <w:color w:val="auto"/>
        </w:rPr>
      </w:pPr>
    </w:p>
    <w:p>
      <w:pPr>
        <w:ind w:left="920" w:hanging="294"/>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contract manufacturing organizations (CMOs);</w:t>
      </w:r>
    </w:p>
    <w:p>
      <w:pPr>
        <w:spacing w:after="0" w:line="31" w:lineRule="exact"/>
        <w:rPr>
          <w:rFonts w:ascii="Times New Roman" w:cs="Times New Roman" w:eastAsia="Times New Roman" w:hAnsi="Times New Roman"/>
          <w:sz w:val="17"/>
          <w:szCs w:val="17"/>
          <w:color w:val="auto"/>
        </w:rPr>
      </w:pPr>
    </w:p>
    <w:p>
      <w:pPr>
        <w:ind w:left="920" w:hanging="294"/>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trial sites in connection with clinical studies; and</w:t>
      </w:r>
    </w:p>
    <w:p>
      <w:pPr>
        <w:spacing w:after="0" w:line="31" w:lineRule="exact"/>
        <w:rPr>
          <w:rFonts w:ascii="Times New Roman" w:cs="Times New Roman" w:eastAsia="Times New Roman" w:hAnsi="Times New Roman"/>
          <w:sz w:val="17"/>
          <w:szCs w:val="17"/>
          <w:color w:val="auto"/>
        </w:rPr>
      </w:pPr>
    </w:p>
    <w:p>
      <w:pPr>
        <w:ind w:left="920" w:hanging="294"/>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vendors associated with licenses/milestones.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base our expenses related to clinical studies on our estimates of the services received and efforts expended pursuant to contracts with multiple CROs that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conduct and manage clinical studies on our behalf. The financial terms of these agreements are subject to an initial negotiation, vary from contract to contract and may</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result in uneven payment flows. There may be instances in which payments made to our vendors will exceed the level of services provided and result in a prepayment</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of the clinical expense. Payments under some of these contracts depend on factors such as the successful enrollment of patients and the completion of clinical trial</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milestones. In accruing certain service fees, we estimate the time period over which services will be performed, enrollment of patients, number of sites activated and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level of effort to be expended in each period. If the actual timing of the performance of services or the level of effort varies from our estimate, we adjust the accrual</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 prepaid accordingly. Although we do not expect our estimates to be materially different from amounts actually incurred, our understanding of the status and timing</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of services performed relative to the actual status and timing of services performed may vary and may result in us reporting amounts that are too high or too low in any</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particular period.</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19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Segment Reporting—Improvements to Reportable Segment Disclosures, which improves reportable segment disclosure requirements, primarily through enhanced disclosures about segment expenses categorized as significant or regularly provided to the Chief Operating Decision Maker (CODM). The amendments in ASU No. 2023-07 apply to public entities, including those with a single reportable segment, and are effective for fiscal years beginning after December 15, 2023, and interim periods within fiscal years beginning after December 15, 2024, with early adoption permitted. The Company has evaluated the impact ASU No. 2023-07 on its consolidated financial statements. The Company has adopted this standard as of December 31, 2024 and noted there was no material impact on the Company's consolidated financial statements. The adoption did result in enhanced disclosures as included in Note 1 - </w:t>
      </w:r>
      <w:r>
        <w:rPr>
          <w:rFonts w:ascii="Times New Roman" w:cs="Times New Roman" w:eastAsia="Times New Roman" w:hAnsi="Times New Roman"/>
          <w:sz w:val="17"/>
          <w:szCs w:val="17"/>
          <w:i w:val="1"/>
          <w:iCs w:val="1"/>
          <w:color w:val="auto"/>
        </w:rPr>
        <w:t>Organization and Summary of Significant Accounting Policies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 ABOUT MARKET RISK.</w:t>
      </w:r>
    </w:p>
    <w:p>
      <w:pPr>
        <w:spacing w:after="0" w:line="212" w:lineRule="exact"/>
        <w:rPr>
          <w:sz w:val="20"/>
          <w:szCs w:val="20"/>
          <w:color w:val="auto"/>
        </w:rPr>
      </w:pPr>
    </w:p>
    <w:p>
      <w:pPr>
        <w:jc w:val="both"/>
        <w:ind w:left="20" w:firstLine="605"/>
        <w:spacing w:after="0" w:line="251"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2024, our portfolio of financial instruments consists of cash equivalents and short-term interest-bearing securities, including government debt and money market funds. The average duration of all of our held-to-maturity investments held as of December 31, 2024, was less than 24 months. Due to the relatively short-term nature of these financial instruments, we believe there is no material exposure to interest rate risk, and/or credit risk, arising from our portfolio of financial instruments.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consolidated financial statements and the notes thereto, included in Part IV, Item 14(a), part 1, are incorporated by reference into this Item 8.</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As of December 31, 2024, management carried out an evaluation, under the supervision and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participation of our Chief Executive Officer and our Chief Financial Officer, of the effectiveness of the design and operation of our disclosure controls and procedures (as defined in Rules 13a-15(e) and 15d-15(e) of the Securities Exchange Act of 1934, as amended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December 31, 2024, our disclosure controls and procedures were effective.</w:t>
      </w:r>
    </w:p>
    <w:p>
      <w:pPr>
        <w:spacing w:after="0" w:line="17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Annual Report on Internal Control over Financial Reporting. </w:t>
      </w:r>
      <w:r>
        <w:rPr>
          <w:rFonts w:ascii="Times New Roman" w:cs="Times New Roman" w:eastAsia="Times New Roman" w:hAnsi="Times New Roman"/>
          <w:sz w:val="17"/>
          <w:szCs w:val="17"/>
          <w:color w:val="auto"/>
        </w:rPr>
        <w:t>Our management is responsible for establishing and maintaining adequate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internal control over financial reporting (as defined in Rule 13a-15(f) or Rule 15d-15(f) under the Exchange Act). Our management assessed the effectiveness of our internal control over financial reporting as of December 31, 2024. In making this assessment, our management used the criteria established in Internal Control – Integrated Framework (2013) issued by the Committee of Sponsoring Organizations of the Treadway Commission, or COSO Framework. Our management has concluded that, as of December 31, 2024, our internal control over financial reporting was effective based on these criteria.</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2024 was audited by KPMG LLP, our independent registered public accounting firm, as stated in their report included herein on page F-3.</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Remediation of Material Weakness. </w:t>
      </w:r>
      <w:r>
        <w:rPr>
          <w:rFonts w:ascii="Times New Roman" w:cs="Times New Roman" w:eastAsia="Times New Roman" w:hAnsi="Times New Roman"/>
          <w:sz w:val="17"/>
          <w:szCs w:val="17"/>
          <w:color w:val="auto"/>
        </w:rPr>
        <w:t>During the fiscal quarter ended June 30, 2024, management identified a material weakness in our internal control over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reporting related to a process-level control over share-based payment awards that was not designed effectively. This ineffectively designed control was attributable to insufficient risk assessment with regards to non-routine share-based payment awards. Our remediation efforts involved designing and implementing additional preventative controls around non-routine share-based payment awards to ensure the appropriate recognition and measurement of such awards, as well as enhanced risk assessment procedures to ensure that all non-routine share-based payment awards are appropriately identified and evaluated. Management, including our Chief Executive Officer and Chief Financial Officer, has performed testing to verify the effective design and successful operating effectiveness of the new or enhanced controls and determined that control activities have operated effectively for a sufficient period of time and based upon their evaluations, concluded that the previously disclosed material weakness has been remediated as of December 31, 2024.</w:t>
      </w:r>
    </w:p>
    <w:p>
      <w:pPr>
        <w:spacing w:after="0" w:line="173"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Except with respect to the remediated material weakness described above, there have not been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in our internal control over financial reporting, as such term is defined in Rules 13a-15(f) and 15d-15(f) under the Exchange Act, during the fiscal quarter ended December 31, 2024 that have materially affected, or are reasonably likely to materially affect, our internal control over financial reporting.</w:t>
      </w:r>
    </w:p>
    <w:p>
      <w:pPr>
        <w:spacing w:after="0" w:line="164" w:lineRule="exact"/>
        <w:rPr>
          <w:sz w:val="20"/>
          <w:szCs w:val="20"/>
          <w:color w:val="auto"/>
        </w:rPr>
      </w:pPr>
    </w:p>
    <w:p>
      <w:pPr>
        <w:jc w:val="both"/>
        <w:ind w:firstLine="605"/>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Limitations on the Effectiveness of Controls. </w:t>
      </w:r>
      <w:r>
        <w:rPr>
          <w:rFonts w:ascii="Times New Roman" w:cs="Times New Roman" w:eastAsia="Times New Roman" w:hAnsi="Times New Roman"/>
          <w:sz w:val="16"/>
          <w:szCs w:val="16"/>
          <w:color w:val="auto"/>
        </w:rPr>
        <w:t>Our management, including our Chief Executive Officer and Chief Financial Officer, does not expect that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Trading Plans of Directors and Executive Officers</w:t>
      </w:r>
    </w:p>
    <w:p>
      <w:pPr>
        <w:spacing w:after="0" w:line="212" w:lineRule="exact"/>
        <w:rPr>
          <w:sz w:val="20"/>
          <w:szCs w:val="20"/>
          <w:color w:val="auto"/>
        </w:rPr>
      </w:pPr>
    </w:p>
    <w:p>
      <w:pPr>
        <w:ind w:left="20" w:firstLine="496"/>
        <w:spacing w:after="0" w:line="261" w:lineRule="auto"/>
        <w:rPr>
          <w:sz w:val="20"/>
          <w:szCs w:val="20"/>
          <w:color w:val="auto"/>
        </w:rPr>
      </w:pPr>
      <w:r>
        <w:rPr>
          <w:rFonts w:ascii="Times New Roman" w:cs="Times New Roman" w:eastAsia="Times New Roman" w:hAnsi="Times New Roman"/>
          <w:sz w:val="17"/>
          <w:szCs w:val="17"/>
          <w:color w:val="auto"/>
        </w:rPr>
        <w:t>During​ the three months ended December 31, 2024, none of our directors or executive officers adopted or terminated a Rule 10b5-1 trading arrangement (as defined in Item 408(a)(1)(i) of Regulation S-K) or adopted or terminated a non-Rule 10b5-1 trading arrangement (as defined in Item 408(c) of Regulation S-K) for the purchase or sale of the Company’s securities that was intended to satisfy the affirmative defense conditions of Rule 10b5-1(c).</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2025 Annual Meeting of Stockholders.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2025 Annual Meeting of Stockholders.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2025 Annual Meeting of Stockholders.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2025 Annual Meeting of Stockholders.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2025 Annual Meeting of Stockholders.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9720" w:type="dxa"/>
            <w:vAlign w:val="bottom"/>
            <w:gridSpan w:val="8"/>
          </w:tcPr>
          <w:p>
            <w:pPr>
              <w:ind w:left="240"/>
              <w:spacing w:after="0"/>
              <w:rPr>
                <w:sz w:val="20"/>
                <w:szCs w:val="20"/>
                <w:color w:val="auto"/>
              </w:rPr>
            </w:pPr>
            <w:r>
              <w:rPr>
                <w:rFonts w:ascii="Times New Roman" w:cs="Times New Roman" w:eastAsia="Times New Roman" w:hAnsi="Times New Roman"/>
                <w:sz w:val="17"/>
                <w:szCs w:val="17"/>
                <w:color w:val="auto"/>
              </w:rPr>
              <w:t>The following documents are filed as part of this Annual Report on Form 10-K:</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03"/>
        </w:trPr>
        <w:tc>
          <w:tcPr>
            <w:tcW w:w="400" w:type="dxa"/>
            <w:vAlign w:val="bottom"/>
          </w:tcPr>
          <w:p>
            <w:pPr>
              <w:spacing w:after="0"/>
              <w:rPr>
                <w:sz w:val="24"/>
                <w:szCs w:val="24"/>
                <w:color w:val="auto"/>
              </w:rPr>
            </w:pPr>
          </w:p>
        </w:tc>
        <w:tc>
          <w:tcPr>
            <w:tcW w:w="48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w:t>
            </w:r>
          </w:p>
        </w:tc>
        <w:tc>
          <w:tcPr>
            <w:tcW w:w="9240" w:type="dxa"/>
            <w:vAlign w:val="bottom"/>
            <w:gridSpan w:val="7"/>
          </w:tcPr>
          <w:p>
            <w:pPr>
              <w:ind w:left="100"/>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3"/>
        </w:trPr>
        <w:tc>
          <w:tcPr>
            <w:tcW w:w="101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following consolidated financial statements of TG Therapeutics, Inc. are filed as part of this report.</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3"/>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2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57"/>
        </w:trPr>
        <w:tc>
          <w:tcPr>
            <w:tcW w:w="10120" w:type="dxa"/>
            <w:vAlign w:val="bottom"/>
            <w:gridSpan w:val="9"/>
          </w:tcPr>
          <w:p>
            <w:pPr>
              <w:spacing w:after="0" w:line="157"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(KPMG LLP, New York, NY, Audit Firm ID: 185)</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7"/>
                <w:szCs w:val="17"/>
                <w:color w:val="0000EE"/>
              </w:rPr>
              <w:t>F-1</w:t>
            </w:r>
          </w:p>
        </w:tc>
      </w:tr>
      <w:tr>
        <w:trPr>
          <w:trHeight w:val="20"/>
        </w:trPr>
        <w:tc>
          <w:tcPr>
            <w:tcW w:w="29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3"/>
        </w:trPr>
        <w:tc>
          <w:tcPr>
            <w:tcW w:w="1012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Consolidated Balance Sheets as of December 31, 2024 and 2023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0000EE"/>
              </w:rPr>
              <w:t>F-4</w:t>
            </w:r>
          </w:p>
        </w:tc>
      </w:tr>
      <w:tr>
        <w:trPr>
          <w:trHeight w:val="20"/>
        </w:trPr>
        <w:tc>
          <w:tcPr>
            <w:tcW w:w="294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3"/>
        </w:trPr>
        <w:tc>
          <w:tcPr>
            <w:tcW w:w="64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8"/>
              </w:rPr>
              <w:t>Consolidated Statements of Operations for the years ended December 31, 2024, 2023 and 2022</w:t>
            </w:r>
          </w:p>
        </w:tc>
        <w:tc>
          <w:tcPr>
            <w:tcW w:w="37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F-5</w:t>
            </w:r>
          </w:p>
        </w:tc>
        <w:tc>
          <w:tcPr>
            <w:tcW w:w="320" w:type="dxa"/>
            <w:vAlign w:val="bottom"/>
          </w:tcPr>
          <w:p>
            <w:pPr>
              <w:spacing w:after="0"/>
              <w:rPr>
                <w:sz w:val="24"/>
                <w:szCs w:val="24"/>
                <w:color w:val="auto"/>
              </w:rPr>
            </w:pPr>
          </w:p>
        </w:tc>
      </w:tr>
      <w:tr>
        <w:trPr>
          <w:trHeight w:val="383"/>
        </w:trPr>
        <w:tc>
          <w:tcPr>
            <w:tcW w:w="7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8"/>
              </w:rPr>
              <w:t>Consolidated Statements of Stockholders’ Equity for the years ended December 31, 2024, 2023 and 2022</w:t>
            </w: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F-6</w:t>
            </w:r>
          </w:p>
        </w:tc>
        <w:tc>
          <w:tcPr>
            <w:tcW w:w="320" w:type="dxa"/>
            <w:vAlign w:val="bottom"/>
          </w:tcPr>
          <w:p>
            <w:pPr>
              <w:spacing w:after="0"/>
              <w:rPr>
                <w:sz w:val="24"/>
                <w:szCs w:val="24"/>
                <w:color w:val="auto"/>
              </w:rPr>
            </w:pPr>
          </w:p>
        </w:tc>
      </w:tr>
      <w:tr>
        <w:trPr>
          <w:trHeight w:val="383"/>
        </w:trPr>
        <w:tc>
          <w:tcPr>
            <w:tcW w:w="64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8"/>
              </w:rPr>
              <w:t>Consolidated Statements of Cash Flows for the years ended December 31, 2024, 2023 and 2022</w:t>
            </w:r>
          </w:p>
        </w:tc>
        <w:tc>
          <w:tcPr>
            <w:tcW w:w="36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F-7</w:t>
            </w:r>
          </w:p>
        </w:tc>
        <w:tc>
          <w:tcPr>
            <w:tcW w:w="320" w:type="dxa"/>
            <w:vAlign w:val="bottom"/>
          </w:tcPr>
          <w:p>
            <w:pPr>
              <w:spacing w:after="0"/>
              <w:rPr>
                <w:sz w:val="24"/>
                <w:szCs w:val="24"/>
                <w:color w:val="auto"/>
              </w:rPr>
            </w:pPr>
          </w:p>
        </w:tc>
      </w:tr>
      <w:tr>
        <w:trPr>
          <w:trHeight w:val="383"/>
        </w:trPr>
        <w:tc>
          <w:tcPr>
            <w:tcW w:w="1012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0000EE"/>
              </w:rPr>
              <w:t>F-8</w:t>
            </w:r>
          </w:p>
        </w:tc>
      </w:tr>
      <w:tr>
        <w:trPr>
          <w:trHeight w:val="20"/>
        </w:trPr>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1"/>
        </w:trPr>
        <w:tc>
          <w:tcPr>
            <w:tcW w:w="4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2.</w:t>
            </w:r>
          </w:p>
        </w:tc>
        <w:tc>
          <w:tcPr>
            <w:tcW w:w="9240" w:type="dxa"/>
            <w:vAlign w:val="bottom"/>
            <w:gridSpan w:val="7"/>
          </w:tcPr>
          <w:p>
            <w:pPr>
              <w:ind w:left="140"/>
              <w:spacing w:after="0"/>
              <w:rPr>
                <w:sz w:val="20"/>
                <w:szCs w:val="20"/>
                <w:color w:val="auto"/>
              </w:rPr>
            </w:pPr>
            <w:r>
              <w:rPr>
                <w:rFonts w:ascii="Times New Roman" w:cs="Times New Roman" w:eastAsia="Times New Roman" w:hAnsi="Times New Roman"/>
                <w:sz w:val="17"/>
                <w:szCs w:val="17"/>
                <w:b w:val="1"/>
                <w:bCs w:val="1"/>
                <w:color w:val="auto"/>
              </w:rPr>
              <w:t>Consolidated Financial Statement Schedules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schedules are omitted as the information required is inapplicable or the information is presented in the consolidated financial statements or the related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188" w:lineRule="exact"/>
        <w:rPr>
          <w:sz w:val="20"/>
          <w:szCs w:val="20"/>
          <w:color w:val="auto"/>
        </w:rPr>
      </w:pPr>
    </w:p>
    <w:p>
      <w:pPr>
        <w:ind w:left="980" w:hanging="374"/>
        <w:spacing w:after="0"/>
        <w:tabs>
          <w:tab w:leader="none" w:pos="98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Exhibit Index below.</w:t>
      </w:r>
    </w:p>
    <w:p>
      <w:pPr>
        <w:spacing w:after="0" w:line="208" w:lineRule="exact"/>
        <w:rPr>
          <w:sz w:val="20"/>
          <w:szCs w:val="20"/>
          <w:color w:val="auto"/>
        </w:rPr>
      </w:pPr>
    </w:p>
    <w:p>
      <w:pPr>
        <w:ind w:left="620" w:hanging="619"/>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are filed as part of this Annual Report on Form 10-K.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0" w:type="dxa"/>
            <w:vAlign w:val="bottom"/>
          </w:tcPr>
          <w:p>
            <w:pPr>
              <w:spacing w:after="0"/>
              <w:rPr>
                <w:sz w:val="1"/>
                <w:szCs w:val="1"/>
                <w:color w:val="auto"/>
              </w:rPr>
            </w:pPr>
          </w:p>
        </w:tc>
      </w:tr>
      <w:tr>
        <w:trPr>
          <w:trHeight w:val="366"/>
        </w:trPr>
        <w:tc>
          <w:tcPr>
            <w:tcW w:w="22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r:id="rId119">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1</w:t>
              </w:r>
            </w:hyperlink>
          </w:p>
        </w:tc>
        <w:tc>
          <w:tcPr>
            <w:tcW w:w="640" w:type="dxa"/>
            <w:vAlign w:val="bottom"/>
          </w:tcPr>
          <w:p>
            <w:pPr>
              <w:spacing w:after="0"/>
              <w:rPr>
                <w:sz w:val="24"/>
                <w:szCs w:val="24"/>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Amended and Restated Certificate of Incorporation of TG Therapeutics, Inc. dated April 26, 2012 (incorporated by reference to Exhibit 3.1 to the</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Registrant’s Form 10-Q for the quarter ended June 30, 2012).</w:t>
            </w:r>
          </w:p>
        </w:tc>
        <w:tc>
          <w:tcPr>
            <w:tcW w:w="0" w:type="dxa"/>
            <w:vAlign w:val="bottom"/>
          </w:tcPr>
          <w:p>
            <w:pPr>
              <w:spacing w:after="0"/>
              <w:rPr>
                <w:sz w:val="1"/>
                <w:szCs w:val="1"/>
                <w:color w:val="auto"/>
              </w:rPr>
            </w:pPr>
          </w:p>
        </w:tc>
      </w:tr>
      <w:tr>
        <w:trPr>
          <w:trHeight w:val="366"/>
        </w:trPr>
        <w:tc>
          <w:tcPr>
            <w:tcW w:w="22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r:id="rId120">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2</w:t>
              </w:r>
            </w:hyperlink>
          </w:p>
        </w:tc>
        <w:tc>
          <w:tcPr>
            <w:tcW w:w="640" w:type="dxa"/>
            <w:vAlign w:val="bottom"/>
          </w:tcPr>
          <w:p>
            <w:pPr>
              <w:spacing w:after="0"/>
              <w:rPr>
                <w:sz w:val="24"/>
                <w:szCs w:val="24"/>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Certificate of Amendment to Amended and Restated Certificate of Incorporation of TG Therapeutics, Inc. dated June 9, 2014 (incorporated by</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reference to Exhibit 3.2 to the Registrant’s Form 10-Q for the quarter ended June 30, 2014).</w:t>
            </w:r>
          </w:p>
        </w:tc>
        <w:tc>
          <w:tcPr>
            <w:tcW w:w="0" w:type="dxa"/>
            <w:vAlign w:val="bottom"/>
          </w:tcPr>
          <w:p>
            <w:pPr>
              <w:spacing w:after="0"/>
              <w:rPr>
                <w:sz w:val="1"/>
                <w:szCs w:val="1"/>
                <w:color w:val="auto"/>
              </w:rPr>
            </w:pPr>
          </w:p>
        </w:tc>
      </w:tr>
      <w:tr>
        <w:trPr>
          <w:trHeight w:val="366"/>
        </w:trPr>
        <w:tc>
          <w:tcPr>
            <w:tcW w:w="860" w:type="dxa"/>
            <w:vAlign w:val="bottom"/>
            <w:gridSpan w:val="2"/>
          </w:tcPr>
          <w:p>
            <w:pPr>
              <w:spacing w:after="0"/>
              <w:rPr>
                <w:rFonts w:ascii="Times New Roman" w:cs="Times New Roman" w:eastAsia="Times New Roman" w:hAnsi="Times New Roman"/>
                <w:sz w:val="17"/>
                <w:szCs w:val="17"/>
                <w:color w:val="0000EE"/>
              </w:rPr>
            </w:pPr>
            <w:hyperlink r:id="rId121">
              <w:r>
                <w:rPr>
                  <w:rFonts w:ascii="Times New Roman" w:cs="Times New Roman" w:eastAsia="Times New Roman" w:hAnsi="Times New Roman"/>
                  <w:sz w:val="17"/>
                  <w:szCs w:val="17"/>
                  <w:color w:val="0000EE"/>
                </w:rPr>
                <w:t>​3.3</w:t>
              </w:r>
            </w:hyperlink>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Certificate of Amendment to Amended and Restated Certificate of Incorporation of TG Therapeutics, Inc. dated June 16, 2021 (incorporated by</w:t>
            </w:r>
          </w:p>
        </w:tc>
        <w:tc>
          <w:tcPr>
            <w:tcW w:w="0" w:type="dxa"/>
            <w:vAlign w:val="bottom"/>
          </w:tcPr>
          <w:p>
            <w:pPr>
              <w:spacing w:after="0"/>
              <w:rPr>
                <w:sz w:val="1"/>
                <w:szCs w:val="1"/>
                <w:color w:val="auto"/>
              </w:rPr>
            </w:pPr>
          </w:p>
        </w:tc>
      </w:tr>
      <w:tr>
        <w:trPr>
          <w:trHeight w:val="219"/>
        </w:trPr>
        <w:tc>
          <w:tcPr>
            <w:tcW w:w="22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reference to Exhibit 3.1 to the Registrant’s Current Report on Form 8-K filed on June 21, 2021).</w:t>
            </w:r>
          </w:p>
        </w:tc>
        <w:tc>
          <w:tcPr>
            <w:tcW w:w="0" w:type="dxa"/>
            <w:vAlign w:val="bottom"/>
          </w:tcPr>
          <w:p>
            <w:pPr>
              <w:spacing w:after="0"/>
              <w:rPr>
                <w:sz w:val="1"/>
                <w:szCs w:val="1"/>
                <w:color w:val="auto"/>
              </w:rPr>
            </w:pPr>
          </w:p>
        </w:tc>
      </w:tr>
      <w:tr>
        <w:trPr>
          <w:trHeight w:val="366"/>
        </w:trPr>
        <w:tc>
          <w:tcPr>
            <w:tcW w:w="22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r:id="rId122">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4</w:t>
              </w:r>
            </w:hyperlink>
          </w:p>
        </w:tc>
        <w:tc>
          <w:tcPr>
            <w:tcW w:w="640" w:type="dxa"/>
            <w:vAlign w:val="bottom"/>
          </w:tcPr>
          <w:p>
            <w:pPr>
              <w:spacing w:after="0"/>
              <w:rPr>
                <w:sz w:val="24"/>
                <w:szCs w:val="24"/>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Certificate of Amendment to Amended and Restated Certificate of Incorporation of TG Therapeutics, Inc. dated June 14, 2024 (incorporated by</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reference to Exhibit 3.1 to the Registrant's Current Report on Form 8-K filed on June 17, 2024).</w:t>
            </w:r>
          </w:p>
        </w:tc>
        <w:tc>
          <w:tcPr>
            <w:tcW w:w="0" w:type="dxa"/>
            <w:vAlign w:val="bottom"/>
          </w:tcPr>
          <w:p>
            <w:pPr>
              <w:spacing w:after="0"/>
              <w:rPr>
                <w:sz w:val="1"/>
                <w:szCs w:val="1"/>
                <w:color w:val="auto"/>
              </w:rPr>
            </w:pPr>
          </w:p>
        </w:tc>
      </w:tr>
      <w:tr>
        <w:trPr>
          <w:trHeight w:val="366"/>
        </w:trPr>
        <w:tc>
          <w:tcPr>
            <w:tcW w:w="860" w:type="dxa"/>
            <w:vAlign w:val="bottom"/>
            <w:gridSpan w:val="2"/>
          </w:tcPr>
          <w:p>
            <w:pPr>
              <w:spacing w:after="0"/>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​3.5</w:t>
              </w:r>
            </w:hyperlink>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Amended and Restated Bylaws of TG Therapeutics, Inc. dated July 18, 2014 (incorporated by reference to Exhibit 3.1 to the Registrant’s Current</w:t>
            </w:r>
          </w:p>
        </w:tc>
        <w:tc>
          <w:tcPr>
            <w:tcW w:w="0" w:type="dxa"/>
            <w:vAlign w:val="bottom"/>
          </w:tcPr>
          <w:p>
            <w:pPr>
              <w:spacing w:after="0"/>
              <w:rPr>
                <w:sz w:val="1"/>
                <w:szCs w:val="1"/>
                <w:color w:val="auto"/>
              </w:rPr>
            </w:pPr>
          </w:p>
        </w:tc>
      </w:tr>
      <w:tr>
        <w:trPr>
          <w:trHeight w:val="219"/>
        </w:trPr>
        <w:tc>
          <w:tcPr>
            <w:tcW w:w="22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Report on Form 8-K filed on July 21, 2014).</w:t>
            </w:r>
          </w:p>
        </w:tc>
        <w:tc>
          <w:tcPr>
            <w:tcW w:w="0" w:type="dxa"/>
            <w:vAlign w:val="bottom"/>
          </w:tcPr>
          <w:p>
            <w:pPr>
              <w:spacing w:after="0"/>
              <w:rPr>
                <w:sz w:val="1"/>
                <w:szCs w:val="1"/>
                <w:color w:val="auto"/>
              </w:rPr>
            </w:pPr>
          </w:p>
        </w:tc>
      </w:tr>
      <w:tr>
        <w:trPr>
          <w:trHeight w:val="366"/>
        </w:trPr>
        <w:tc>
          <w:tcPr>
            <w:tcW w:w="22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r:id="rId124">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w:t>
              </w:r>
            </w:hyperlink>
          </w:p>
        </w:tc>
        <w:tc>
          <w:tcPr>
            <w:tcW w:w="640" w:type="dxa"/>
            <w:vAlign w:val="bottom"/>
          </w:tcPr>
          <w:p>
            <w:pPr>
              <w:spacing w:after="0"/>
              <w:rPr>
                <w:sz w:val="24"/>
                <w:szCs w:val="24"/>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Specimen common stock certificate (incorporated by reference to Exhibit 4.1 to the Registrant’s Form 10-K for the year ended December 31, 2011).</w:t>
            </w:r>
          </w:p>
        </w:tc>
        <w:tc>
          <w:tcPr>
            <w:tcW w:w="0" w:type="dxa"/>
            <w:vAlign w:val="bottom"/>
          </w:tcPr>
          <w:p>
            <w:pPr>
              <w:spacing w:after="0"/>
              <w:rPr>
                <w:sz w:val="1"/>
                <w:szCs w:val="1"/>
                <w:color w:val="auto"/>
              </w:rPr>
            </w:pPr>
          </w:p>
        </w:tc>
      </w:tr>
      <w:tr>
        <w:trPr>
          <w:trHeight w:val="383"/>
        </w:trPr>
        <w:tc>
          <w:tcPr>
            <w:tcW w:w="22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r:id="rId125">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2</w:t>
              </w:r>
            </w:hyperlink>
          </w:p>
        </w:tc>
        <w:tc>
          <w:tcPr>
            <w:tcW w:w="640" w:type="dxa"/>
            <w:vAlign w:val="bottom"/>
          </w:tcPr>
          <w:p>
            <w:pPr>
              <w:spacing w:after="0"/>
              <w:rPr>
                <w:sz w:val="24"/>
                <w:szCs w:val="24"/>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Description of Securities of TG Therapeutics, Inc. (incorporated by reference to Exhibit 4.5 of the Registrant’s Annual Report on Form 10-K for the</w:t>
            </w:r>
          </w:p>
        </w:tc>
        <w:tc>
          <w:tcPr>
            <w:tcW w:w="0" w:type="dxa"/>
            <w:vAlign w:val="bottom"/>
          </w:tcPr>
          <w:p>
            <w:pPr>
              <w:spacing w:after="0"/>
              <w:rPr>
                <w:sz w:val="1"/>
                <w:szCs w:val="1"/>
                <w:color w:val="auto"/>
              </w:rPr>
            </w:pPr>
          </w:p>
        </w:tc>
      </w:tr>
      <w:tr>
        <w:trPr>
          <w:trHeight w:val="219"/>
        </w:trPr>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fiscal year ended December 31, 2020).</w:t>
            </w:r>
          </w:p>
        </w:tc>
        <w:tc>
          <w:tcPr>
            <w:tcW w:w="0" w:type="dxa"/>
            <w:vAlign w:val="bottom"/>
          </w:tcPr>
          <w:p>
            <w:pPr>
              <w:spacing w:after="0"/>
              <w:rPr>
                <w:sz w:val="1"/>
                <w:szCs w:val="1"/>
                <w:color w:val="auto"/>
              </w:rPr>
            </w:pPr>
          </w:p>
        </w:tc>
      </w:tr>
      <w:tr>
        <w:trPr>
          <w:trHeight w:val="202"/>
        </w:trPr>
        <w:tc>
          <w:tcPr>
            <w:tcW w:w="860" w:type="dxa"/>
            <w:vAlign w:val="bottom"/>
            <w:gridSpan w:val="2"/>
            <w:vMerge w:val="continue"/>
          </w:tcPr>
          <w:p>
            <w:pPr>
              <w:spacing w:after="0"/>
              <w:rPr>
                <w:sz w:val="17"/>
                <w:szCs w:val="17"/>
                <w:color w:val="auto"/>
              </w:rPr>
            </w:pPr>
          </w:p>
        </w:tc>
        <w:tc>
          <w:tcPr>
            <w:tcW w:w="10380" w:type="dxa"/>
            <w:vAlign w:val="bottom"/>
            <w:vMerge w:val="restart"/>
          </w:tcPr>
          <w:p>
            <w:pPr>
              <w:ind w:left="4680"/>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gridSpan w:val="2"/>
          </w:tcPr>
          <w:p>
            <w:pPr>
              <w:spacing w:after="0"/>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hyperlink>
          </w:p>
        </w:tc>
        <w:tc>
          <w:tcPr>
            <w:tcW w:w="380" w:type="dxa"/>
            <w:vAlign w:val="bottom"/>
          </w:tcPr>
          <w:p>
            <w:pPr>
              <w:spacing w:after="0"/>
              <w:rPr>
                <w:sz w:val="17"/>
                <w:szCs w:val="17"/>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9"/>
              </w:rPr>
              <w:t>Restricted Stock Subscription Agreement, effective December 29, 2011, by and between TG Therapeutics, Inc. and Michael Weiss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reference to Exhibit 10.31 to the Registrant’s Form 10-K for the fiscal year ended December 31, 2011). †</w:t>
            </w:r>
          </w:p>
        </w:tc>
      </w:tr>
      <w:tr>
        <w:trPr>
          <w:trHeight w:val="366"/>
        </w:trPr>
        <w:tc>
          <w:tcPr>
            <w:tcW w:w="380" w:type="dxa"/>
            <w:vAlign w:val="bottom"/>
            <w:gridSpan w:val="2"/>
          </w:tcPr>
          <w:p>
            <w:pPr>
              <w:spacing w:after="0"/>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w:t>
              </w:r>
            </w:hyperlink>
          </w:p>
        </w:tc>
        <w:tc>
          <w:tcPr>
            <w:tcW w:w="380" w:type="dxa"/>
            <w:vAlign w:val="bottom"/>
          </w:tcPr>
          <w:p>
            <w:pPr>
              <w:spacing w:after="0"/>
              <w:rPr>
                <w:sz w:val="24"/>
                <w:szCs w:val="24"/>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Amendment to Restricted Stock Agreement, dated July 12, 2013, by and between TG Therapeutics, Inc. and Michael S. Weiss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reference to Exhibit 10.1 to the Registrant’s Current Report on Form 8-K filed on July 16, 2013). †</w:t>
            </w:r>
          </w:p>
        </w:tc>
      </w:tr>
      <w:tr>
        <w:trPr>
          <w:trHeight w:val="366"/>
        </w:trPr>
        <w:tc>
          <w:tcPr>
            <w:tcW w:w="380" w:type="dxa"/>
            <w:vAlign w:val="bottom"/>
            <w:gridSpan w:val="2"/>
          </w:tcPr>
          <w:p>
            <w:pPr>
              <w:spacing w:after="0"/>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4</w:t>
              </w:r>
            </w:hyperlink>
          </w:p>
        </w:tc>
        <w:tc>
          <w:tcPr>
            <w:tcW w:w="380" w:type="dxa"/>
            <w:vAlign w:val="bottom"/>
          </w:tcPr>
          <w:p>
            <w:pPr>
              <w:spacing w:after="0"/>
              <w:rPr>
                <w:sz w:val="24"/>
                <w:szCs w:val="24"/>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Amendment to Restricted Stock Agreements, dated December 31, 2014, by and between TG Therapeutics, Inc. and Michael S. Weiss (incorporated</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by reference to Exhibit 10.1 to the Registrant’s Current Report on Form 8-K filed on January 7, 2015). †</w:t>
            </w:r>
          </w:p>
        </w:tc>
      </w:tr>
      <w:tr>
        <w:trPr>
          <w:trHeight w:val="366"/>
        </w:trPr>
        <w:tc>
          <w:tcPr>
            <w:tcW w:w="380" w:type="dxa"/>
            <w:vAlign w:val="bottom"/>
            <w:gridSpan w:val="2"/>
          </w:tcPr>
          <w:p>
            <w:pPr>
              <w:spacing w:after="0"/>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5</w:t>
              </w:r>
            </w:hyperlink>
          </w:p>
        </w:tc>
        <w:tc>
          <w:tcPr>
            <w:tcW w:w="380" w:type="dxa"/>
            <w:vAlign w:val="bottom"/>
          </w:tcPr>
          <w:p>
            <w:pPr>
              <w:spacing w:after="0"/>
              <w:rPr>
                <w:sz w:val="24"/>
                <w:szCs w:val="24"/>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Employment Agreement, effective December 29, 2011, between TG Therapeutics, Inc. and Sean A. Power (incorporated by reference to Exhibit</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10.32 to the Registrant’s Form 10-K for the fiscal year ended December 31, 2011). †</w:t>
            </w:r>
          </w:p>
        </w:tc>
      </w:tr>
      <w:tr>
        <w:trPr>
          <w:trHeight w:val="366"/>
        </w:trPr>
        <w:tc>
          <w:tcPr>
            <w:tcW w:w="380" w:type="dxa"/>
            <w:vAlign w:val="bottom"/>
            <w:gridSpan w:val="2"/>
          </w:tcPr>
          <w:p>
            <w:pPr>
              <w:spacing w:after="0"/>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6</w:t>
              </w:r>
            </w:hyperlink>
          </w:p>
        </w:tc>
        <w:tc>
          <w:tcPr>
            <w:tcW w:w="380" w:type="dxa"/>
            <w:vAlign w:val="bottom"/>
          </w:tcPr>
          <w:p>
            <w:pPr>
              <w:spacing w:after="0"/>
              <w:rPr>
                <w:sz w:val="24"/>
                <w:szCs w:val="24"/>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8"/>
              </w:rPr>
              <w:t>Restricted Stock Subscription Agreement, effective December 29, 2011 between TG Therapeutics, Inc. and Sean A. Power (incorporated by reference</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 Exhibit 10.33 to the Registrant’s Form 10-K for the fiscal year ended December 31, 2011). †</w:t>
            </w:r>
          </w:p>
        </w:tc>
      </w:tr>
      <w:tr>
        <w:trPr>
          <w:trHeight w:val="366"/>
        </w:trPr>
        <w:tc>
          <w:tcPr>
            <w:tcW w:w="380" w:type="dxa"/>
            <w:vAlign w:val="bottom"/>
            <w:gridSpan w:val="2"/>
          </w:tcPr>
          <w:p>
            <w:pPr>
              <w:spacing w:after="0"/>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7</w:t>
              </w:r>
            </w:hyperlink>
          </w:p>
        </w:tc>
        <w:tc>
          <w:tcPr>
            <w:tcW w:w="380" w:type="dxa"/>
            <w:vAlign w:val="bottom"/>
          </w:tcPr>
          <w:p>
            <w:pPr>
              <w:spacing w:after="0"/>
              <w:rPr>
                <w:sz w:val="24"/>
                <w:szCs w:val="24"/>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Amendment to Restricted Stock Agreement, dated July 12, 2013, by and between TG Therapeutics, Inc. and Sean A. Power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reference to Exhibit 10.2 to the Registrant’s Current Report on Form 8-K filed on July 16, 2013). †</w:t>
            </w:r>
          </w:p>
        </w:tc>
      </w:tr>
      <w:tr>
        <w:trPr>
          <w:trHeight w:val="366"/>
        </w:trPr>
        <w:tc>
          <w:tcPr>
            <w:tcW w:w="380" w:type="dxa"/>
            <w:vAlign w:val="bottom"/>
            <w:gridSpan w:val="2"/>
          </w:tcPr>
          <w:p>
            <w:pPr>
              <w:spacing w:after="0"/>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8</w:t>
              </w:r>
            </w:hyperlink>
          </w:p>
        </w:tc>
        <w:tc>
          <w:tcPr>
            <w:tcW w:w="380" w:type="dxa"/>
            <w:vAlign w:val="bottom"/>
          </w:tcPr>
          <w:p>
            <w:pPr>
              <w:spacing w:after="0"/>
              <w:rPr>
                <w:sz w:val="24"/>
                <w:szCs w:val="24"/>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Amendment to Restricted Stock Agreements, dated December 31, 2014, by and between TG Therapeutics, Inc. and Sean A. Power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reference to Exhibit 10.2 to the Registrant’s Current Report on Form 8-K filed on January 7, 2015). †</w:t>
            </w:r>
          </w:p>
        </w:tc>
      </w:tr>
      <w:tr>
        <w:trPr>
          <w:trHeight w:val="366"/>
        </w:trPr>
        <w:tc>
          <w:tcPr>
            <w:tcW w:w="380" w:type="dxa"/>
            <w:vAlign w:val="bottom"/>
            <w:gridSpan w:val="2"/>
          </w:tcPr>
          <w:p>
            <w:pPr>
              <w:spacing w:after="0"/>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9</w:t>
              </w:r>
            </w:hyperlink>
          </w:p>
        </w:tc>
        <w:tc>
          <w:tcPr>
            <w:tcW w:w="380" w:type="dxa"/>
            <w:vAlign w:val="bottom"/>
          </w:tcPr>
          <w:p>
            <w:pPr>
              <w:spacing w:after="0"/>
              <w:rPr>
                <w:sz w:val="24"/>
                <w:szCs w:val="24"/>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License Agreement dated January 30, 2012, by and among TG Therapeutics, Inc., GTC Biotherapeutics, Inc., LFB Biotechnologies S.A.S. and</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LFB/GTC LLC (incorporated by reference to Exhibit 10.35 to the Registrant’s Form 10-K for the fiscal year ended December 31, 2011). *</w:t>
            </w:r>
          </w:p>
        </w:tc>
      </w:tr>
      <w:tr>
        <w:trPr>
          <w:trHeight w:val="366"/>
        </w:trPr>
        <w:tc>
          <w:tcPr>
            <w:tcW w:w="760" w:type="dxa"/>
            <w:vAlign w:val="bottom"/>
            <w:gridSpan w:val="3"/>
          </w:tcPr>
          <w:p>
            <w:pPr>
              <w:spacing w:after="0"/>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10</w:t>
              </w:r>
            </w:hyperlink>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Sublicense Agreement, dated November 13, 2012, by and between TG Therapeutics, Inc. and Ildong Pharmaceutical Co. Ltd.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reference to Exhibit 10.37 to the Registrant’s Form 10-K for the fiscal year ended December 31, 2012). *</w:t>
            </w:r>
          </w:p>
        </w:tc>
      </w:tr>
      <w:tr>
        <w:trPr>
          <w:trHeight w:val="366"/>
        </w:trPr>
        <w:tc>
          <w:tcPr>
            <w:tcW w:w="38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135">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11</w:t>
              </w:r>
            </w:hyperlink>
          </w:p>
        </w:tc>
        <w:tc>
          <w:tcPr>
            <w:tcW w:w="380" w:type="dxa"/>
            <w:vAlign w:val="bottom"/>
          </w:tcPr>
          <w:p>
            <w:pPr>
              <w:spacing w:after="0"/>
              <w:rPr>
                <w:sz w:val="24"/>
                <w:szCs w:val="24"/>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9"/>
              </w:rPr>
              <w:t>License Agreement by and between TG Therapeutics, Inc. and Ligand Pharmaceuticals Incorporated, dated June 23, 2014 (incorporated by reference</w:t>
            </w:r>
          </w:p>
        </w:tc>
      </w:tr>
      <w:tr>
        <w:trPr>
          <w:trHeight w:val="219"/>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 Exhibit 10.1 to the Registrant’s Form 10-Q for the quarter ended June 30, 2014).*</w:t>
            </w:r>
          </w:p>
        </w:tc>
      </w:tr>
      <w:tr>
        <w:trPr>
          <w:trHeight w:val="366"/>
        </w:trPr>
        <w:tc>
          <w:tcPr>
            <w:tcW w:w="760" w:type="dxa"/>
            <w:vAlign w:val="bottom"/>
            <w:gridSpan w:val="3"/>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12</w:t>
              </w:r>
            </w:hyperlink>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License Agreement by and between TG Therapeutics, Inc. and Rhizen Pharmaceuticals SA, dated September 22, 2014 (incorporated by reference to</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Exhibit 10.1 to the Registrant’s Current Report on Form 8-K filed on January 20, 2015). *</w:t>
            </w:r>
          </w:p>
        </w:tc>
      </w:tr>
      <w:tr>
        <w:trPr>
          <w:trHeight w:val="366"/>
        </w:trPr>
        <w:tc>
          <w:tcPr>
            <w:tcW w:w="760" w:type="dxa"/>
            <w:vAlign w:val="bottom"/>
            <w:gridSpan w:val="3"/>
          </w:tcPr>
          <w:p>
            <w:pPr>
              <w:spacing w:after="0"/>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14</w:t>
              </w:r>
            </w:hyperlink>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Sublicense Agreement by and between TG Therapeutics, Inc. and Checkpoint Therapeutics, Inc., dated May 27, 2016, (incorporated by reference to</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Exhibit 10.1 to the Registrant’s Form 10-Q for the quarter ended June 30, 2016). *</w:t>
            </w:r>
          </w:p>
        </w:tc>
      </w:tr>
      <w:tr>
        <w:trPr>
          <w:trHeight w:val="366"/>
        </w:trPr>
        <w:tc>
          <w:tcPr>
            <w:tcW w:w="760" w:type="dxa"/>
            <w:vAlign w:val="bottom"/>
            <w:gridSpan w:val="3"/>
          </w:tcPr>
          <w:p>
            <w:pPr>
              <w:spacing w:after="0"/>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15</w:t>
              </w:r>
            </w:hyperlink>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Amendment to Employment Agreement, effective January 1, 2017, by and between TG Therapeutics, Inc. and Michael S. Weiss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reference to Exhibit 10.18 to the Registrant’s Form 10-K/A for the year ended December 31, 2016). †</w:t>
            </w:r>
          </w:p>
        </w:tc>
      </w:tr>
      <w:tr>
        <w:trPr>
          <w:trHeight w:val="366"/>
        </w:trPr>
        <w:tc>
          <w:tcPr>
            <w:tcW w:w="760" w:type="dxa"/>
            <w:vAlign w:val="bottom"/>
            <w:gridSpan w:val="3"/>
          </w:tcPr>
          <w:p>
            <w:pPr>
              <w:spacing w:after="0"/>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16</w:t>
              </w:r>
            </w:hyperlink>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License Agreement by and between TG Therapeutics, Inc. and Jiangsu Hengrui Medicine Co., dated January 8, 2018 (incorporated by reference to</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Exhibit 10.20 to the Registrant’s Form 10-K for the year ended December 31, 2017). *</w:t>
            </w:r>
          </w:p>
        </w:tc>
      </w:tr>
      <w:tr>
        <w:trPr>
          <w:trHeight w:val="366"/>
        </w:trPr>
        <w:tc>
          <w:tcPr>
            <w:tcW w:w="760" w:type="dxa"/>
            <w:vAlign w:val="bottom"/>
            <w:gridSpan w:val="3"/>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17</w:t>
              </w:r>
            </w:hyperlink>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Joint Venture and License Option Agreement by and between TG Therapeutics, Inc. and Novimmune S.A., dated June 18, 2018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reference to Exhibit 10.20 to the Registrant’s Form 10-Q for the quarter ended June 30, 2018). *</w:t>
            </w:r>
          </w:p>
        </w:tc>
      </w:tr>
      <w:tr>
        <w:trPr>
          <w:trHeight w:val="403"/>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80" w:type="dxa"/>
            <w:vAlign w:val="bottom"/>
          </w:tcPr>
          <w:p>
            <w:pPr>
              <w:ind w:left="4780"/>
              <w:spacing w:after="0"/>
              <w:rPr>
                <w:sz w:val="20"/>
                <w:szCs w:val="20"/>
                <w:color w:val="auto"/>
              </w:rPr>
            </w:pPr>
            <w:r>
              <w:rPr>
                <w:rFonts w:ascii="Times New Roman" w:cs="Times New Roman" w:eastAsia="Times New Roman" w:hAnsi="Times New Roman"/>
                <w:sz w:val="17"/>
                <w:szCs w:val="17"/>
                <w:color w:val="auto"/>
              </w:rPr>
              <w:t>94</w:t>
            </w:r>
          </w:p>
        </w:tc>
      </w:tr>
      <w:tr>
        <w:trPr>
          <w:trHeight w:val="107"/>
        </w:trPr>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1220" w:hanging="1222"/>
        <w:spacing w:after="0" w:line="274" w:lineRule="auto"/>
        <w:tabs>
          <w:tab w:leader="none" w:pos="1200" w:val="left"/>
        </w:tabs>
        <w:rPr>
          <w:rFonts w:ascii="Times New Roman" w:cs="Times New Roman" w:eastAsia="Times New Roman" w:hAnsi="Times New Roman"/>
          <w:sz w:val="17"/>
          <w:szCs w:val="17"/>
          <w:color w:val="0000EE"/>
        </w:rPr>
      </w:pPr>
      <w:hyperlink r:id="rId141">
        <w:r>
          <w:rPr>
            <w:rFonts w:ascii="Times New Roman" w:cs="Times New Roman" w:eastAsia="Times New Roman" w:hAnsi="Times New Roman"/>
            <w:sz w:val="17"/>
            <w:szCs w:val="17"/>
            <w:u w:val="single" w:color="auto"/>
            <w:color w:val="0000EE"/>
          </w:rPr>
          <w:t>10.18</w:t>
        </w:r>
      </w:hyperlink>
      <w:r>
        <w:rPr>
          <w:rFonts w:ascii="Times New Roman" w:cs="Times New Roman" w:eastAsia="Times New Roman" w:hAnsi="Times New Roman"/>
          <w:sz w:val="17"/>
          <w:szCs w:val="17"/>
          <w:color w:val="0000EE"/>
        </w:rPr>
        <w:tab/>
        <w:t>Master Services Agreement by and between Samsung Biologics Co., Ltd. And TG Therapeutics, Inc., effective February 21, 2018 (incorporated by reference to the Exhibit 10.2 to the Registrant’s Form 10-Q for the quarter ended June 30, 2019).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 w:type="dxa"/>
            <w:vAlign w:val="bottom"/>
            <w:gridSpan w:val="3"/>
          </w:tcPr>
          <w:p>
            <w:pPr>
              <w:spacing w:after="0"/>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20</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Warrant Agreement, dated February 28, 2019, by and between TG Therapeutics, Inc. and Hercules Capital, Inc. (incorporated by reference to the</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Exhibit 10.3 to the Registrant’s Current Report on Form 8-K filed on March 5, 2019).</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21</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8"/>
              </w:rPr>
              <w:t>Warrant Agreement, dated February 28, 2019, by and between TG Therapeutics, Inc. and Hercules Technology III, L.P. (incorporated by reference to</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the Exhibit 10.4 to the Registrant’s Current Report on Form 8-K filed on March 5, 2019).</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22</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Amended and Restated Collaboration Agreement by and between TG Therapeutics, Inc. and Checkpoint Therapeutics, Inc., dated June 19, 2019</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(incorporated by reference to Exhibit 10.1 to the Registrant’s Form 10-Q for the quarter ended June 30, 2019).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23</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Amended and Restated Employment Agreement by and between TG Therapeutics, Inc. and Michael S. Weiss, dated June 18, 2021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reference to Exhibit 10.1 to the Registrant’s Form 10 Q for the quarter ended June 30, 2021).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28</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TG Therapeutics, Inc. 2022 Incentive Plan (incorporated by reference to Exhibit 10.1 to the Registrant’s Current Report on Form 8-K filed on June</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23, 2022).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29</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Amendment to the TG Therapeutics, Inc. 2022 Incentive Plan (incorporated by reference to Exhibit 10.1 to the Registrant’s Current Report on Form</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8-K filed on June 17, 2024).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30</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Amended and Restated Warrant Agreement, dated March 31, 2023, by and between TG Therapeutics, Inc. and Hercules Capital Inc. (incorporated</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by reference to Exhibit 10.2 to the Registrant’s Form 10-Q for the quarter ended March 31, 2023).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31</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Amended and Restated Warrant Agreement, dated March 31, 2023, by and between TG Therapeutics, Inc. and Hercules Funding IV, LLC.</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(incorporated by reference to Exhibit 10.3 to the Registrant’s Form 10-Q for the quarter ended March 31, 2023).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32</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Amended and Restated Warrant Agreement, dated March 31, 2023, by and between TG Therapeutics, Inc. and Hercules Private Credit Fund 1 L.P.</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(incorporated by reference to Exhibit 10.4 to the Registrant’s Form 10-Q for the quarter ended March 31, 2023).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33</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Amended and Restated Warrant Agreement, dated March 31, 2023, by and between TG Therapeutics, Inc. and Hercules Private Global Venture</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Growth Fund I L.P. (incorporated by reference to Exhibit 10.5 to the Registrant’s Form 10-Q for the quarter ended March 31, 2023).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34</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Warrant Agreement, dated March 31, 2023, by and between TG Therapeutics, Inc. and Hercules Capital Inc. (incorporated by reference to Exhibit</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10.6 to the Registrant’s Form 10-Q for the quarter ended March 31, 2023).*</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35</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Warrant Agreement, dated March 31, 2023, by and between TG Therapeutics, Inc. and Hercules Private Credit Fund 1 L.P. (incorporated by</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reference to Exhibit 10.7 to the Registrant’s Form 10-Q for the quarter ended March 31, 2023).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36</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Warrant Agreement, dated March 31, 2023, by and between TG Therapeutics, Inc. and Hercules Private Global Venture Growth Fund I L.P.</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(incorporated by reference to Exhibit 10.8 to the Registrant’s Form 10-Q for the quarter ended March 31, 2023).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37</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Commercialization Agreement by and between TG Therapeutics, Inc. and Neuraxpharm Pharmaceuticals, S.L., dated as of July 28, 2023</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(incorporated by reference to Exhibit 10.1 to the Registrant’s Form 10-Q for the quarter ended June 30, 2023). *</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38</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License Agreement, dated January 7, 2024, by and between TG Therapeutics, Inc., TG Cell Therapy, Inc., and Precision BioSciences, Inc.</w:t>
            </w:r>
          </w:p>
        </w:tc>
      </w:tr>
      <w:tr>
        <w:trPr>
          <w:trHeight w:val="219"/>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(incorporated by reference to Exhibit 10.38 to the Registrant’s Form 10-K for the year ended December 31, 2023).*</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39</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Financing Agreement, dated August 2, 2024, by and among TG Therapeutics, Inc., certain subsidiaries of TG Therapeutics, Inc., various lenders</w:t>
            </w:r>
          </w:p>
        </w:tc>
      </w:tr>
      <w:tr>
        <w:trPr>
          <w:trHeight w:val="203"/>
        </w:trPr>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from time to time party thereto, and Blue Owl Capital Corporation (incorporated by reference to Exhibit 10.2 to the Registrant’s Form 10-Q for the</w:t>
            </w: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quarter ended June 30, 2024).*</w:t>
            </w:r>
          </w:p>
        </w:tc>
      </w:tr>
      <w:tr>
        <w:trPr>
          <w:trHeight w:val="366"/>
        </w:trPr>
        <w:tc>
          <w:tcPr>
            <w:tcW w:w="800" w:type="dxa"/>
            <w:vAlign w:val="bottom"/>
            <w:gridSpan w:val="3"/>
          </w:tcPr>
          <w:p>
            <w:pPr>
              <w:spacing w:after="0"/>
              <w:rPr>
                <w:rFonts w:ascii="Times New Roman" w:cs="Times New Roman" w:eastAsia="Times New Roman" w:hAnsi="Times New Roman"/>
                <w:sz w:val="17"/>
                <w:szCs w:val="17"/>
                <w:color w:val="0000EE"/>
              </w:rPr>
            </w:pPr>
            <w:hyperlink r:id="rId15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40</w:t>
              </w:r>
            </w:hyperlink>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Master Services Agreement, effective October 8, 2024, by and among TG Therapeutics, Inc., Fujifilm Diosynth Biotechnologies North Carolina,</w:t>
            </w:r>
          </w:p>
        </w:tc>
      </w:tr>
      <w:tr>
        <w:trPr>
          <w:trHeight w:val="203"/>
        </w:trPr>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Inc. and Fujifilm Diosynth Biotechnologies Denmark Aps (incorporated by reference to Exhibit 10.1 to the Registrant’s Form 10-Q for the quarter</w:t>
            </w: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ended September 30, 2024).*</w:t>
            </w:r>
          </w:p>
        </w:tc>
      </w:tr>
      <w:tr>
        <w:trPr>
          <w:trHeight w:val="366"/>
        </w:trPr>
        <w:tc>
          <w:tcPr>
            <w:tcW w:w="30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r:id="rId159">
              <w:r>
                <w:rPr>
                  <w:rFonts w:ascii="Times New Roman" w:cs="Times New Roman" w:eastAsia="Times New Roman" w:hAnsi="Times New Roman"/>
                  <w:sz w:val="17"/>
                  <w:szCs w:val="17"/>
                  <w:color w:val="0000EE"/>
                  <w:w w:val="93"/>
                </w:rPr>
                <w:t>19.</w:t>
              </w:r>
              <w:r>
                <w:rPr>
                  <w:rFonts w:ascii="Times New Roman" w:cs="Times New Roman" w:eastAsia="Times New Roman" w:hAnsi="Times New Roman"/>
                  <w:sz w:val="17"/>
                  <w:szCs w:val="17"/>
                  <w:u w:val="single" w:color="auto"/>
                  <w:color w:val="0000EE"/>
                  <w:w w:val="93"/>
                </w:rPr>
                <w:t>1</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TG Therapeutics, Inc. Insider Trading Policy (incorporated by reference to Exhibit 19.1 to the Registrant’s Form 10-K for the year ended December</w:t>
            </w:r>
          </w:p>
        </w:tc>
      </w:tr>
      <w:tr>
        <w:trPr>
          <w:trHeight w:val="219"/>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31, 2023).</w:t>
            </w:r>
          </w:p>
        </w:tc>
      </w:tr>
      <w:tr>
        <w:trPr>
          <w:trHeight w:val="366"/>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21.</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Subsidiaries of TG Therapeutics, Inc. #</w:t>
            </w:r>
          </w:p>
        </w:tc>
      </w:tr>
      <w:tr>
        <w:trPr>
          <w:trHeight w:val="383"/>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 (KPMG, LLP). #</w:t>
            </w:r>
          </w:p>
        </w:tc>
      </w:tr>
      <w:tr>
        <w:trPr>
          <w:trHeight w:val="383"/>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24.</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Power of Attorney (included in signature page).</w:t>
            </w:r>
          </w:p>
        </w:tc>
      </w:tr>
      <w:tr>
        <w:trPr>
          <w:trHeight w:val="383"/>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31.</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Certification of Principal Executive Officer. #</w:t>
            </w:r>
          </w:p>
        </w:tc>
      </w:tr>
      <w:tr>
        <w:trPr>
          <w:trHeight w:val="383"/>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31.</w:t>
            </w:r>
            <w:r>
              <w:rPr>
                <w:rFonts w:ascii="Times New Roman" w:cs="Times New Roman" w:eastAsia="Times New Roman" w:hAnsi="Times New Roman"/>
                <w:sz w:val="17"/>
                <w:szCs w:val="17"/>
                <w:u w:val="single" w:color="auto"/>
                <w:color w:val="0000EE"/>
                <w:w w:val="93"/>
              </w:rPr>
              <w:t>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Certification of Principal Financial Officer. #</w:t>
            </w:r>
          </w:p>
        </w:tc>
      </w:tr>
      <w:tr>
        <w:trPr>
          <w:trHeight w:val="383"/>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32.</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Certification of Chief Executive Officer pursuant to Section 906 of the Sarbanes-Oxley Act of 2002. #</w:t>
            </w:r>
          </w:p>
        </w:tc>
      </w:tr>
      <w:tr>
        <w:trPr>
          <w:trHeight w:val="383"/>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32.</w:t>
            </w:r>
            <w:r>
              <w:rPr>
                <w:rFonts w:ascii="Times New Roman" w:cs="Times New Roman" w:eastAsia="Times New Roman" w:hAnsi="Times New Roman"/>
                <w:sz w:val="17"/>
                <w:szCs w:val="17"/>
                <w:u w:val="single" w:color="auto"/>
                <w:color w:val="0000EE"/>
                <w:w w:val="93"/>
              </w:rPr>
              <w:t>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Certification of Chief Financial Officer pursuant to Section 906 of the Sarbanes-Oxley Act of 2002. #</w:t>
            </w:r>
          </w:p>
        </w:tc>
      </w:tr>
    </w:tbl>
    <w:p>
      <w:pPr>
        <w:spacing w:after="0" w:line="200" w:lineRule="exact"/>
        <w:rPr>
          <w:sz w:val="20"/>
          <w:szCs w:val="20"/>
          <w:color w:val="auto"/>
        </w:rPr>
      </w:pPr>
    </w:p>
    <w:p>
      <w:pPr>
        <w:sectPr>
          <w:pgSz w:w="11900" w:h="16838" w:orient="portrait"/>
          <w:cols w:equalWidth="0" w:num="1">
            <w:col w:w="11240"/>
          </w:cols>
          <w:pgMar w:left="320" w:top="123" w:right="339" w:bottom="837" w:gutter="0" w:footer="0" w:header="0"/>
        </w:sectPr>
      </w:pP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14121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837"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gridSpan w:val="2"/>
          </w:tcPr>
          <w:p>
            <w:pPr>
              <w:jc w:val="right"/>
              <w:ind w:right="420"/>
              <w:spacing w:after="0"/>
              <w:rPr>
                <w:rFonts w:ascii="Times New Roman" w:cs="Times New Roman" w:eastAsia="Times New Roman" w:hAnsi="Times New Roman"/>
                <w:sz w:val="17"/>
                <w:szCs w:val="17"/>
                <w:color w:val="0000EE"/>
                <w:w w:val="93"/>
              </w:rPr>
            </w:pPr>
            <w:hyperlink r:id="rId161">
              <w:r>
                <w:rPr>
                  <w:rFonts w:ascii="Times New Roman" w:cs="Times New Roman" w:eastAsia="Times New Roman" w:hAnsi="Times New Roman"/>
                  <w:sz w:val="17"/>
                  <w:szCs w:val="17"/>
                  <w:color w:val="0000EE"/>
                  <w:w w:val="93"/>
                </w:rPr>
                <w:t>97.</w:t>
              </w:r>
              <w:r>
                <w:rPr>
                  <w:rFonts w:ascii="Times New Roman" w:cs="Times New Roman" w:eastAsia="Times New Roman" w:hAnsi="Times New Roman"/>
                  <w:sz w:val="17"/>
                  <w:szCs w:val="17"/>
                  <w:u w:val="single" w:color="auto"/>
                  <w:color w:val="0000EE"/>
                  <w:w w:val="93"/>
                </w:rPr>
                <w:t>1</w:t>
              </w:r>
            </w:hyperlink>
          </w:p>
        </w:tc>
        <w:tc>
          <w:tcPr>
            <w:tcW w:w="102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8"/>
              </w:rPr>
              <w:t>TG Therapeutics, Inc. Clawback Policy (incorporated by reference to Exhibit 97.1 to the Registrant’s Form 10-K for the year ended December 31,</w:t>
            </w:r>
          </w:p>
        </w:tc>
      </w:tr>
      <w:tr>
        <w:trPr>
          <w:trHeight w:val="219"/>
        </w:trPr>
        <w:tc>
          <w:tcPr>
            <w:tcW w:w="30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2023).</w:t>
            </w:r>
          </w:p>
        </w:tc>
      </w:tr>
    </w:tbl>
    <w:p>
      <w:pPr>
        <w:spacing w:after="0" w:line="186" w:lineRule="exact"/>
        <w:rPr>
          <w:sz w:val="20"/>
          <w:szCs w:val="20"/>
          <w:color w:val="auto"/>
        </w:rPr>
      </w:pPr>
    </w:p>
    <w:p>
      <w:pPr>
        <w:jc w:val="both"/>
        <w:ind w:left="1140" w:hanging="1139"/>
        <w:spacing w:after="0" w:line="261" w:lineRule="auto"/>
        <w:tabs>
          <w:tab w:leader="none" w:pos="11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TG Therapeutics, Inc.’s Annual Report on Form 10-K for the year ended December 31, 2024, formatted in iXBRL (Inline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16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712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13" w:lineRule="exact"/>
        <w:rPr>
          <w:sz w:val="20"/>
          <w:szCs w:val="20"/>
          <w:color w:val="auto"/>
        </w:rPr>
      </w:pPr>
    </w:p>
    <w:p>
      <w:pPr>
        <w:ind w:left="340" w:hanging="339"/>
        <w:spacing w:after="0"/>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2" w:lineRule="exact"/>
        <w:rPr>
          <w:sz w:val="20"/>
          <w:szCs w:val="20"/>
          <w:color w:val="auto"/>
        </w:rPr>
      </w:pPr>
    </w:p>
    <w:p>
      <w:pPr>
        <w:ind w:left="340" w:hanging="339"/>
        <w:spacing w:after="0"/>
        <w:tabs>
          <w:tab w:leader="none" w:pos="3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or arrangement.</w:t>
      </w:r>
    </w:p>
    <w:p>
      <w:pPr>
        <w:spacing w:after="0" w:line="6" w:lineRule="exact"/>
        <w:rPr>
          <w:sz w:val="20"/>
          <w:szCs w:val="20"/>
          <w:color w:val="auto"/>
        </w:rPr>
      </w:pPr>
    </w:p>
    <w:p>
      <w:pPr>
        <w:ind w:left="340" w:hanging="339"/>
        <w:spacing w:after="0"/>
        <w:tabs>
          <w:tab w:leader="none" w:pos="3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omitted pursuant to Item 601(b)(10) of Regulation S-K.</w:t>
      </w:r>
    </w:p>
    <w:p>
      <w:pPr>
        <w:spacing w:after="0" w:line="6"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6"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TG Therapeutics, Inc.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36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3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(KPMG LLP, New York, NY, Audit Firm ID: 185)</w:t>
            </w: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57"/>
        </w:trPr>
        <w:tc>
          <w:tcPr>
            <w:tcW w:w="10360" w:type="dxa"/>
            <w:vAlign w:val="bottom"/>
            <w:gridSpan w:val="7"/>
            <w:vMerge w:val="continue"/>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7"/>
                <w:szCs w:val="17"/>
                <w:color w:val="0000EE"/>
              </w:rPr>
              <w:t>F-1</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036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Consolidated Balance Sheets as of December 31, 2024 and 2023</w:t>
            </w:r>
          </w:p>
        </w:tc>
        <w:tc>
          <w:tcPr>
            <w:tcW w:w="320" w:type="dxa"/>
            <w:vAlign w:val="bottom"/>
          </w:tcPr>
          <w:p>
            <w:pPr>
              <w:spacing w:after="0"/>
              <w:rPr>
                <w:sz w:val="24"/>
                <w:szCs w:val="24"/>
                <w:color w:val="auto"/>
              </w:rPr>
            </w:pPr>
          </w:p>
        </w:tc>
        <w:tc>
          <w:tcPr>
            <w:tcW w:w="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0000EE"/>
              </w:rPr>
              <w:t>F-4</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8"/>
              </w:rPr>
              <w:t>Consolidated Statements of Operations for the years ended December 31, 2024, 2023 and 2022</w:t>
            </w:r>
          </w:p>
        </w:tc>
        <w:tc>
          <w:tcPr>
            <w:tcW w:w="396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0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8"/>
              </w:rPr>
              <w:t>Consolidated Statements of Stockholders’ Equity for the years ended December 31, 2024, 2023 and 2022</w:t>
            </w: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8"/>
              </w:rPr>
              <w:t>Consolidated Statements of Cash Flows for the years ended December 31, 2024, 2023 and 2022</w:t>
            </w:r>
          </w:p>
        </w:tc>
        <w:tc>
          <w:tcPr>
            <w:tcW w:w="39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036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320" w:type="dxa"/>
            <w:vAlign w:val="bottom"/>
          </w:tcPr>
          <w:p>
            <w:pPr>
              <w:spacing w:after="0"/>
              <w:rPr>
                <w:sz w:val="24"/>
                <w:szCs w:val="24"/>
                <w:color w:val="auto"/>
              </w:rPr>
            </w:pPr>
          </w:p>
        </w:tc>
        <w:tc>
          <w:tcPr>
            <w:tcW w:w="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0000EE"/>
              </w:rPr>
              <w:t>F-8</w:t>
            </w:r>
          </w:p>
        </w:tc>
        <w:tc>
          <w:tcPr>
            <w:tcW w:w="0" w:type="dxa"/>
            <w:vAlign w:val="bottom"/>
          </w:tcPr>
          <w:p>
            <w:pPr>
              <w:spacing w:after="0"/>
              <w:rPr>
                <w:sz w:val="1"/>
                <w:szCs w:val="1"/>
                <w:color w:val="auto"/>
              </w:rPr>
            </w:pPr>
          </w:p>
        </w:tc>
      </w:tr>
      <w:tr>
        <w:trPr>
          <w:trHeight w:val="203"/>
        </w:trPr>
        <w:tc>
          <w:tcPr>
            <w:tcW w:w="294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4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0" w:type="dxa"/>
            <w:vAlign w:val="bottom"/>
            <w:gridSpan w:val="4"/>
          </w:tcPr>
          <w:p>
            <w:pPr>
              <w:ind w:left="5540"/>
              <w:spacing w:after="0"/>
              <w:rPr>
                <w:sz w:val="20"/>
                <w:szCs w:val="20"/>
                <w:color w:val="auto"/>
              </w:rPr>
            </w:pPr>
            <w:r>
              <w:rPr>
                <w:rFonts w:ascii="Times New Roman" w:cs="Times New Roman" w:eastAsia="Times New Roman" w:hAnsi="Times New Roman"/>
                <w:sz w:val="17"/>
                <w:szCs w:val="17"/>
                <w:color w:val="auto"/>
              </w:rPr>
              <w:t>96</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TG Therapeutics,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Consolidated Financial Statements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TG Therapeutics, Inc. and subsidiaries (the Company) as of December 31, 2024 and 2023, the related consolidated statements of operations,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March 3, 2025 expressed an unqualified opinion on the effectiveness of the Company’s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Estimate of certain product revenue reserves</w:t>
      </w:r>
    </w:p>
    <w:p>
      <w:pPr>
        <w:spacing w:after="0" w:line="212"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As discussed in Note 1 to the consolidated financial statements, the Company records product revenue reserves, which are classified as a reduction in product revenues, to account for the components of variable consideration. Variable consideration includes chargebacks, government rebates, trade discounts and allowances, commercial payer rebates, product returns, and co-payment assistance. These reserves are based on estimates of the amounts earned or to be claimed on the related sales and are classified as reductions of accounts receivable or a liability. The Company's estimates of reserves established for variable consideration are calculated based on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w:t>
      </w:r>
    </w:p>
    <w:p>
      <w:pPr>
        <w:spacing w:after="0" w:line="176" w:lineRule="exact"/>
        <w:rPr>
          <w:sz w:val="20"/>
          <w:szCs w:val="20"/>
          <w:color w:val="auto"/>
        </w:rPr>
      </w:pPr>
    </w:p>
    <w:p>
      <w:pPr>
        <w:jc w:val="both"/>
        <w:ind w:left="20" w:firstLine="605"/>
        <w:spacing w:after="0" w:line="254" w:lineRule="auto"/>
        <w:rPr>
          <w:sz w:val="20"/>
          <w:szCs w:val="20"/>
          <w:color w:val="auto"/>
        </w:rPr>
      </w:pPr>
      <w:r>
        <w:rPr>
          <w:rFonts w:ascii="Times New Roman" w:cs="Times New Roman" w:eastAsia="Times New Roman" w:hAnsi="Times New Roman"/>
          <w:sz w:val="17"/>
          <w:szCs w:val="17"/>
          <w:color w:val="auto"/>
        </w:rPr>
        <w:t>We identified the estimate of product revenue reserves related to co-payment assistance rebates and government rebates for Medicaid as a critical audit matter. The evaluation of these reserves involved especially challenging auditor judgment due to measurement uncertainty and limited historical data. The reserves are calculated by estimating which of the Company’s product revenue transactions will ultimately be subject to a related rebate and the amount of such rebate. There was limited historical data available for the Company to use in its determination of these key assumptions as the Company’s only product, BRIUMVI, was launched commercially in January 2023.</w:t>
      </w:r>
    </w:p>
    <w:p>
      <w:pPr>
        <w:spacing w:after="0" w:line="176" w:lineRule="exact"/>
        <w:rPr>
          <w:sz w:val="20"/>
          <w:szCs w:val="20"/>
          <w:color w:val="auto"/>
        </w:rPr>
      </w:pPr>
    </w:p>
    <w:p>
      <w:pPr>
        <w:jc w:val="both"/>
        <w:ind w:left="20" w:firstLine="605"/>
        <w:spacing w:after="0" w:line="254"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over the Company’s product revenue reserves process, including controls over determination of the key assumptions noted above. We evaluated the reserves related to co-payment assistance rebates and Medicaid rebates by developing an independent expectation based on external and internal information and comparing the result to the Company’s estimated reserves. For a sample of claims related to co-payment assistance rebates and Medicaid rebates, we inspected underlying documentation and related disbursements made by the Company.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KPMG LLP</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3, 2025</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TG Therapeutics, Inc.:</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Internal Control Over Financial Reporting</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have audited TG Therapeutics,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7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operations, stockholders’ equity, and cash flows for each of the years in the three-year period ended December 31, 2024, and the related notes (collectively, the consolidated financial statements), and our report dated March 3, 2025 expressed an unqualified opinion on those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firstLine="605"/>
        <w:spacing w:after="0" w:line="25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9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effectiveness to future periods are subject to the risk that controls may become inadequate because of changes in conditions, or that the degree of compliance with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policies or procedures may deteriorate.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tbl>
      <w:tblPr>
        <w:tblLayout w:type="fixed"/>
        <w:tblInd w:w="16" w:type="dxa"/>
        <w:tblCellMar>
          <w:top w:w="0" w:type="dxa"/>
          <w:left w:w="0" w:type="dxa"/>
          <w:bottom w:w="0" w:type="dxa"/>
          <w:right w:w="0" w:type="dxa"/>
        </w:tblCellMar>
      </w:tblPr>
      <w:tr>
        <w:trPr>
          <w:trHeight w:val="195"/>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6800" w:type="dxa"/>
            <w:vAlign w:val="bottom"/>
          </w:tcPr>
          <w:p>
            <w:pPr>
              <w:jc w:val="center"/>
              <w:ind w:left="1976"/>
              <w:spacing w:after="0"/>
              <w:rPr>
                <w:sz w:val="20"/>
                <w:szCs w:val="20"/>
                <w:color w:val="auto"/>
              </w:rPr>
            </w:pPr>
            <w:r>
              <w:rPr>
                <w:rFonts w:ascii="Times New Roman" w:cs="Times New Roman" w:eastAsia="Times New Roman" w:hAnsi="Times New Roman"/>
                <w:sz w:val="17"/>
                <w:szCs w:val="17"/>
                <w:b w:val="1"/>
                <w:bCs w:val="1"/>
                <w:color w:val="auto"/>
                <w:w w:val="98"/>
              </w:rPr>
              <w:t>TG Therapeutics, Inc. and Subsidiaries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0" w:type="dxa"/>
            <w:vAlign w:val="bottom"/>
          </w:tcPr>
          <w:p>
            <w:pPr>
              <w:jc w:val="center"/>
              <w:ind w:left="1956"/>
              <w:spacing w:after="0"/>
              <w:rPr>
                <w:sz w:val="20"/>
                <w:szCs w:val="20"/>
                <w:color w:val="auto"/>
              </w:rPr>
            </w:pPr>
            <w:r>
              <w:rPr>
                <w:rFonts w:ascii="Times New Roman" w:cs="Times New Roman" w:eastAsia="Times New Roman" w:hAnsi="Times New Roman"/>
                <w:sz w:val="17"/>
                <w:szCs w:val="17"/>
                <w:b w:val="1"/>
                <w:bCs w:val="1"/>
                <w:color w:val="auto"/>
                <w:w w:val="98"/>
              </w:rPr>
              <w:t>Consolidated Balance Sheets as of December 31</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0" w:type="dxa"/>
            <w:vAlign w:val="bottom"/>
          </w:tcPr>
          <w:p>
            <w:pPr>
              <w:jc w:val="center"/>
              <w:ind w:left="1956"/>
              <w:spacing w:after="0"/>
              <w:rPr>
                <w:sz w:val="20"/>
                <w:szCs w:val="20"/>
                <w:color w:val="auto"/>
              </w:rPr>
            </w:pPr>
            <w:r>
              <w:rPr>
                <w:rFonts w:ascii="Times New Roman" w:cs="Times New Roman" w:eastAsia="Times New Roman" w:hAnsi="Times New Roman"/>
                <w:sz w:val="17"/>
                <w:szCs w:val="17"/>
                <w:b w:val="1"/>
                <w:bCs w:val="1"/>
                <w:color w:val="auto"/>
                <w:w w:val="98"/>
              </w:rPr>
              <w:t>(in thousands, except share and per share amounts)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179,894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92,933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investment securities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131,106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129,185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51,093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110,458</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15,716</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gridSpan w:val="2"/>
          </w:tcPr>
          <w:p>
            <w:pPr>
              <w:ind w:left="580"/>
              <w:spacing w:after="0" w:line="194" w:lineRule="exact"/>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566,359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317,943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investment securities</w:t>
            </w: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808</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Noncurrent Assets(1)</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2"/>
            <w:shd w:val="clear" w:color="auto" w:fill="CCEEFF"/>
          </w:tcPr>
          <w:p>
            <w:pPr>
              <w:ind w:left="580"/>
              <w:spacing w:after="0" w:line="194" w:lineRule="exact"/>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577,690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329,587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68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58,296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38,471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current liabilities(1)</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 – current portion</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 - current portion(1)</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15,185</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gridSpan w:val="2"/>
          </w:tcPr>
          <w:p>
            <w:pPr>
              <w:ind w:left="580"/>
              <w:spacing w:after="0" w:line="194" w:lineRule="exact"/>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6"/>
                <w:szCs w:val="16"/>
                <w:color w:val="auto"/>
              </w:rPr>
            </w:pPr>
          </w:p>
        </w:tc>
        <w:tc>
          <w:tcPr>
            <w:tcW w:w="154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90,679</w:t>
            </w:r>
          </w:p>
        </w:tc>
        <w:tc>
          <w:tcPr>
            <w:tcW w:w="160" w:type="dxa"/>
            <w:vAlign w:val="bottom"/>
          </w:tcPr>
          <w:p>
            <w:pPr>
              <w:spacing w:after="0"/>
              <w:rPr>
                <w:sz w:val="16"/>
                <w:szCs w:val="16"/>
                <w:color w:val="auto"/>
              </w:rPr>
            </w:pPr>
          </w:p>
        </w:tc>
        <w:tc>
          <w:tcPr>
            <w:tcW w:w="13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53,720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non-current portion</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12,085</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Loan payable</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244,429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 – non-current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gridSpan w:val="2"/>
          </w:tcPr>
          <w:p>
            <w:pPr>
              <w:ind w:left="580"/>
              <w:spacing w:after="0" w:line="194" w:lineRule="exact"/>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355,326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169,085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Commitments and contingencies</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Common stock, $0.001 par value per share (190,000,000 and 175,000,000 shares authorized, 156,204,159 and</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151,465,598 shares issued, 155,836,256 and 151,424,289 shares outstanding at December 31, 2024 and December</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31, 2023, respectively</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1,760,396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Treasury stock, at cost, 367,903 and 41,309 shares at December 31, 2024 and December 31, 2023</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(8,994)</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(1,529,194)</w:t>
            </w:r>
          </w:p>
        </w:tc>
        <w:tc>
          <w:tcPr>
            <w:tcW w:w="16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(1,552,577)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gridSpan w:val="2"/>
            <w:shd w:val="clear" w:color="auto" w:fill="CCEEFF"/>
          </w:tcPr>
          <w:p>
            <w:pPr>
              <w:ind w:left="580"/>
              <w:spacing w:after="0" w:line="194" w:lineRule="exact"/>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222,364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160,502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gridSpan w:val="2"/>
          </w:tcPr>
          <w:p>
            <w:pPr>
              <w:ind w:left="580"/>
              <w:spacing w:after="0" w:line="194" w:lineRule="exact"/>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577,690</w:t>
            </w:r>
          </w:p>
        </w:tc>
        <w:tc>
          <w:tcPr>
            <w:tcW w:w="2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329,587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8" w:lineRule="exact"/>
        <w:rPr>
          <w:sz w:val="20"/>
          <w:szCs w:val="20"/>
          <w:color w:val="auto"/>
        </w:rPr>
      </w:pPr>
    </w:p>
    <w:p>
      <w:pPr>
        <w:ind w:left="236" w:hanging="236"/>
        <w:spacing w:after="0"/>
        <w:tabs>
          <w:tab w:leader="none" w:pos="236"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Amounts as of December 31, 2023 have been reclassified to conform to current period presentation.</w:t>
      </w:r>
    </w:p>
    <w:p>
      <w:pPr>
        <w:spacing w:after="0" w:line="26" w:lineRule="exact"/>
        <w:rPr>
          <w:rFonts w:ascii="Times New Roman" w:cs="Times New Roman" w:eastAsia="Times New Roman" w:hAnsi="Times New Roman"/>
          <w:sz w:val="17"/>
          <w:szCs w:val="17"/>
          <w:i w:val="1"/>
          <w:iCs w:val="1"/>
          <w:color w:val="auto"/>
        </w:rPr>
      </w:pPr>
    </w:p>
    <w:p>
      <w:pPr>
        <w:ind w:left="56"/>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4121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56"/>
          </w:cols>
          <w:pgMar w:left="304" w:top="108"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5"/>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450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TG Therapeutics, Inc. and Subsidiaries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20" w:type="dxa"/>
            <w:vAlign w:val="bottom"/>
            <w:gridSpan w:val="7"/>
          </w:tcPr>
          <w:p>
            <w:pPr>
              <w:jc w:val="center"/>
              <w:ind w:left="1556"/>
              <w:spacing w:after="0"/>
              <w:rPr>
                <w:sz w:val="20"/>
                <w:szCs w:val="20"/>
                <w:color w:val="auto"/>
              </w:rPr>
            </w:pPr>
            <w:r>
              <w:rPr>
                <w:rFonts w:ascii="Times New Roman" w:cs="Times New Roman" w:eastAsia="Times New Roman" w:hAnsi="Times New Roman"/>
                <w:sz w:val="17"/>
                <w:szCs w:val="17"/>
                <w:b w:val="1"/>
                <w:bCs w:val="1"/>
                <w:color w:val="auto"/>
                <w:w w:val="98"/>
              </w:rPr>
              <w:t>Consolidated Statements of Operations for the Years Ended December 31</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5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(in thousands, except share and per share amounts)</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revenue, net</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313,728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92,005</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milestone, royalty and other revenue</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15,276</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141,657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Total revenue</w:t>
            </w:r>
          </w:p>
        </w:tc>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329,004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233,662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2,785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38,486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14,131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compensation</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11,160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13,010</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research and development</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83,131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63,182</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gridSpan w:val="2"/>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Total research and development</w:t>
            </w:r>
          </w:p>
        </w:tc>
        <w:tc>
          <w:tcPr>
            <w:tcW w:w="2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94,291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76,192</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125,352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2220" w:type="dxa"/>
            <w:vAlign w:val="bottom"/>
            <w:tcBorders>
              <w:top w:val="single" w:sz="8" w:color="CCEEFF"/>
            </w:tcBorders>
          </w:tcPr>
          <w:p>
            <w:pPr>
              <w:spacing w:after="0"/>
              <w:rPr>
                <w:sz w:val="16"/>
                <w:szCs w:val="16"/>
                <w:color w:val="auto"/>
              </w:rPr>
            </w:pPr>
          </w:p>
        </w:tc>
        <w:tc>
          <w:tcPr>
            <w:tcW w:w="28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Noncash compensation</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31,381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24,923</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selling, general and administrative</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97,783</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7"/>
                <w:szCs w:val="17"/>
                <w:color w:val="auto"/>
              </w:rPr>
              <w:t>Total selling, general and administrative</w:t>
            </w:r>
          </w:p>
        </w:tc>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154,298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122,706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95,484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287,075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213,029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221,101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41,929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20,633</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(218,316)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24,028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12,615</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(7,693)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(5,044)</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other expense (income), net</w:t>
            </w:r>
          </w:p>
        </w:tc>
        <w:tc>
          <w:tcPr>
            <w:tcW w:w="2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16,335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7,571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5,496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2220" w:type="dxa"/>
            <w:vAlign w:val="bottom"/>
            <w:tcBorders>
              <w:top w:val="single" w:sz="8" w:color="CCEEFF"/>
            </w:tcBorders>
          </w:tcPr>
          <w:p>
            <w:pPr>
              <w:spacing w:after="0"/>
              <w:rPr>
                <w:sz w:val="16"/>
                <w:szCs w:val="16"/>
                <w:color w:val="auto"/>
              </w:rPr>
            </w:pPr>
          </w:p>
        </w:tc>
        <w:tc>
          <w:tcPr>
            <w:tcW w:w="28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before taxes</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25,594</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13,062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(223,812)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0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Income taxes</w:t>
            </w:r>
          </w:p>
        </w:tc>
        <w:tc>
          <w:tcPr>
            <w:tcW w:w="2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2,211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7"/>
                <w:szCs w:val="17"/>
                <w:color w:val="auto"/>
              </w:rPr>
              <w:t>390</w:t>
            </w:r>
          </w:p>
        </w:tc>
        <w:tc>
          <w:tcPr>
            <w:tcW w:w="32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income (loss)</w:t>
            </w:r>
          </w:p>
        </w:tc>
        <w:tc>
          <w:tcPr>
            <w:tcW w:w="28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23,383</w:t>
            </w:r>
          </w:p>
        </w:tc>
        <w:tc>
          <w:tcPr>
            <w:tcW w:w="500" w:type="dxa"/>
            <w:vAlign w:val="bottom"/>
            <w:gridSpan w:val="2"/>
            <w:shd w:val="clear" w:color="auto" w:fill="CCEEFF"/>
          </w:tcPr>
          <w:p>
            <w:pPr>
              <w:jc w:val="right"/>
              <w:ind w:right="3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12,672</w:t>
            </w:r>
          </w:p>
        </w:tc>
        <w:tc>
          <w:tcPr>
            <w:tcW w:w="32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(223,812)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per common share:</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Basic</w:t>
            </w:r>
          </w:p>
        </w:tc>
        <w:tc>
          <w:tcPr>
            <w:tcW w:w="322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0.16</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Diluted</w:t>
            </w:r>
          </w:p>
        </w:tc>
        <w:tc>
          <w:tcPr>
            <w:tcW w:w="3220" w:type="dxa"/>
            <w:vAlign w:val="bottom"/>
            <w:gridSpan w:val="2"/>
            <w:shd w:val="clear" w:color="auto" w:fill="CCEEFF"/>
          </w:tcPr>
          <w:p>
            <w:pPr>
              <w:jc w:val="right"/>
              <w:ind w:right="176"/>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7"/>
                <w:szCs w:val="17"/>
                <w:color w:val="auto"/>
              </w:rPr>
              <w:t>0.15</w:t>
            </w:r>
          </w:p>
        </w:tc>
        <w:tc>
          <w:tcPr>
            <w:tcW w:w="50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7"/>
                <w:szCs w:val="17"/>
                <w:color w:val="auto"/>
              </w:rPr>
              <w:t>0.09</w:t>
            </w:r>
          </w:p>
        </w:tc>
        <w:tc>
          <w:tcPr>
            <w:tcW w:w="320" w:type="dxa"/>
            <w:vAlign w:val="bottom"/>
            <w:shd w:val="clear" w:color="auto" w:fill="CCEEFF"/>
          </w:tcPr>
          <w:p>
            <w:pPr>
              <w:jc w:val="right"/>
              <w:ind w:right="15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220" w:type="dxa"/>
            <w:vAlign w:val="bottom"/>
            <w:tcBorders>
              <w:top w:val="single" w:sz="8" w:color="CCEEFF"/>
            </w:tcBorders>
          </w:tcPr>
          <w:p>
            <w:pPr>
              <w:spacing w:after="0"/>
              <w:rPr>
                <w:sz w:val="15"/>
                <w:szCs w:val="15"/>
                <w:color w:val="auto"/>
              </w:rPr>
            </w:pPr>
          </w:p>
        </w:tc>
        <w:tc>
          <w:tcPr>
            <w:tcW w:w="28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145,317,418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141,955,112</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135,411,258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160,336,051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148,508,465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135,411,258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3280" w:type="dxa"/>
            <w:vAlign w:val="bottom"/>
            <w:gridSpan w:val="9"/>
          </w:tcPr>
          <w:p>
            <w:pPr>
              <w:jc w:val="center"/>
              <w:ind w:left="216"/>
              <w:spacing w:after="0"/>
              <w:rPr>
                <w:sz w:val="20"/>
                <w:szCs w:val="20"/>
                <w:color w:val="auto"/>
              </w:rPr>
            </w:pPr>
            <w:r>
              <w:rPr>
                <w:rFonts w:ascii="Times New Roman" w:cs="Times New Roman" w:eastAsia="Times New Roman" w:hAnsi="Times New Roman"/>
                <w:sz w:val="17"/>
                <w:szCs w:val="17"/>
                <w:b w:val="1"/>
                <w:bCs w:val="1"/>
                <w:color w:val="auto"/>
                <w:w w:val="98"/>
              </w:rPr>
              <w:t>TG Therapeutics, Inc. and Subsidiaries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60" w:type="dxa"/>
            <w:vAlign w:val="bottom"/>
            <w:gridSpan w:val="15"/>
          </w:tcPr>
          <w:p>
            <w:pPr>
              <w:jc w:val="center"/>
              <w:ind w:left="916"/>
              <w:spacing w:after="0"/>
              <w:rPr>
                <w:sz w:val="20"/>
                <w:szCs w:val="20"/>
                <w:color w:val="auto"/>
              </w:rPr>
            </w:pPr>
            <w:r>
              <w:rPr>
                <w:rFonts w:ascii="Times New Roman" w:cs="Times New Roman" w:eastAsia="Times New Roman" w:hAnsi="Times New Roman"/>
                <w:sz w:val="17"/>
                <w:szCs w:val="17"/>
                <w:b w:val="1"/>
                <w:bCs w:val="1"/>
                <w:color w:val="auto"/>
                <w:w w:val="98"/>
              </w:rPr>
              <w:t>Consolidated Statements of Stockholders</w:t>
            </w:r>
            <w:r>
              <w:rPr>
                <w:rFonts w:ascii="Times New Roman" w:cs="Times New Roman" w:eastAsia="Times New Roman" w:hAnsi="Times New Roman"/>
                <w:sz w:val="17"/>
                <w:szCs w:val="17"/>
                <w:color w:val="auto"/>
                <w:w w:val="98"/>
              </w:rPr>
              <w:t>’</w:t>
            </w:r>
            <w:r>
              <w:rPr>
                <w:rFonts w:ascii="Times New Roman" w:cs="Times New Roman" w:eastAsia="Times New Roman" w:hAnsi="Times New Roman"/>
                <w:sz w:val="17"/>
                <w:szCs w:val="17"/>
                <w:b w:val="1"/>
                <w:bCs w:val="1"/>
                <w:color w:val="auto"/>
                <w:w w:val="98"/>
              </w:rPr>
              <w:t xml:space="preserve"> Equity for the Years Ended December 31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80" w:type="dxa"/>
            <w:vAlign w:val="bottom"/>
            <w:gridSpan w:val="9"/>
          </w:tcPr>
          <w:p>
            <w:pPr>
              <w:jc w:val="center"/>
              <w:ind w:left="216"/>
              <w:spacing w:after="0"/>
              <w:rPr>
                <w:sz w:val="20"/>
                <w:szCs w:val="20"/>
                <w:color w:val="auto"/>
              </w:rPr>
            </w:pPr>
            <w:r>
              <w:rPr>
                <w:rFonts w:ascii="Times New Roman" w:cs="Times New Roman" w:eastAsia="Times New Roman" w:hAnsi="Times New Roman"/>
                <w:sz w:val="17"/>
                <w:szCs w:val="17"/>
                <w:b w:val="1"/>
                <w:bCs w:val="1"/>
                <w:color w:val="auto"/>
                <w:w w:val="98"/>
              </w:rPr>
              <w:t>(in thousands, except share amounts)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0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9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0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paid-in</w:t>
            </w:r>
          </w:p>
        </w:tc>
        <w:tc>
          <w:tcPr>
            <w:tcW w:w="1940" w:type="dxa"/>
            <w:vAlign w:val="bottom"/>
            <w:gridSpan w:val="5"/>
            <w:vMerge w:val="continue"/>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156"/>
              <w:spacing w:after="0" w:line="194" w:lineRule="exact"/>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6"/>
              <w:spacing w:after="0" w:line="194" w:lineRule="exact"/>
              <w:rPr>
                <w:sz w:val="20"/>
                <w:szCs w:val="20"/>
                <w:color w:val="auto"/>
              </w:rPr>
            </w:pPr>
            <w:r>
              <w:rPr>
                <w:rFonts w:ascii="Times New Roman" w:cs="Times New Roman" w:eastAsia="Times New Roman" w:hAnsi="Times New Roman"/>
                <w:sz w:val="17"/>
                <w:szCs w:val="17"/>
                <w:b w:val="1"/>
                <w:bCs w:val="1"/>
                <w:color w:val="auto"/>
                <w:w w:val="97"/>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w w:val="97"/>
              </w:rPr>
              <w:t>capital</w:t>
            </w:r>
          </w:p>
        </w:tc>
        <w:tc>
          <w:tcPr>
            <w:tcW w:w="2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56"/>
              <w:spacing w:after="0" w:line="194" w:lineRule="exact"/>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7"/>
              </w:rPr>
              <w:t>Amount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6"/>
              <w:spacing w:after="0" w:line="194" w:lineRule="exact"/>
              <w:rPr>
                <w:sz w:val="20"/>
                <w:szCs w:val="20"/>
                <w:color w:val="auto"/>
              </w:rPr>
            </w:pPr>
            <w:r>
              <w:rPr>
                <w:rFonts w:ascii="Times New Roman" w:cs="Times New Roman" w:eastAsia="Times New Roman" w:hAnsi="Times New Roman"/>
                <w:sz w:val="17"/>
                <w:szCs w:val="17"/>
                <w:b w:val="1"/>
                <w:bCs w:val="1"/>
                <w:color w:val="auto"/>
              </w:rPr>
              <w:t>Deficit</w:t>
            </w:r>
          </w:p>
        </w:tc>
        <w:tc>
          <w:tcPr>
            <w:tcW w:w="200" w:type="dxa"/>
            <w:vAlign w:val="bottom"/>
          </w:tcPr>
          <w:p>
            <w:pPr>
              <w:spacing w:after="0"/>
              <w:rPr>
                <w:sz w:val="16"/>
                <w:szCs w:val="16"/>
                <w:color w:val="auto"/>
              </w:rPr>
            </w:pPr>
          </w:p>
        </w:tc>
        <w:tc>
          <w:tcPr>
            <w:tcW w:w="760" w:type="dxa"/>
            <w:vAlign w:val="bottom"/>
            <w:tcBorders>
              <w:bottom w:val="single" w:sz="8" w:color="auto"/>
            </w:tcBorders>
          </w:tcPr>
          <w:p>
            <w:pPr>
              <w:ind w:left="200"/>
              <w:spacing w:after="0" w:line="194" w:lineRule="exact"/>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January 1, 2022</w:t>
            </w:r>
          </w:p>
        </w:tc>
        <w:tc>
          <w:tcPr>
            <w:tcW w:w="9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143,292,043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143</w:t>
            </w:r>
          </w:p>
        </w:tc>
        <w:tc>
          <w:tcPr>
            <w:tcW w:w="9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1,578,681</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41,309</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(234)</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(1,341,437)</w:t>
            </w:r>
          </w:p>
        </w:tc>
        <w:tc>
          <w:tcPr>
            <w:tcW w:w="86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237,153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2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in connection with exercise</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options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142,409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584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5,179,201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Forfeiture of restricted stock</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(2,186,956)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Compensation in respect of restricted stock granted to</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directors and consultants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44,662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(223,812)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(223,812)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2022</w:t>
            </w:r>
          </w:p>
        </w:tc>
        <w:tc>
          <w:tcPr>
            <w:tcW w:w="9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146,426,697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146</w:t>
            </w:r>
          </w:p>
        </w:tc>
        <w:tc>
          <w:tcPr>
            <w:tcW w:w="9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1,623,924</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41,309</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(234)</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(1,565,249)</w:t>
            </w:r>
          </w:p>
        </w:tc>
        <w:tc>
          <w:tcPr>
            <w:tcW w:w="86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58,587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2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in connection with exercise</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options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246,156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3,620,237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 issued with debt financing</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595</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restricted stock</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(213,192)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2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in At-the-Market offerings</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of offering costs of $0.8 million)</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46,295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46,296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Compensation in respect of restricted stock granted to</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directors and consultants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40,818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12,672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151,465,598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1,713,162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41,309</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(234)</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(1,552,577)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160,502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tcBorders>
              <w:top w:val="single" w:sz="8" w:color="CCEEFF"/>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Issuance of common stock in connection with exercise</w:t>
            </w: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options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151,813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914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4,751,729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2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stock in connection with cashless</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129,792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restricted stock</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(294,773)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326,594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(8,760)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(8,760)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Compensation in respect of restricted stock granted to</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directors and consultants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46,325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23,383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2024</w:t>
            </w:r>
          </w:p>
        </w:tc>
        <w:tc>
          <w:tcPr>
            <w:tcW w:w="9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156,204,159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156</w:t>
            </w:r>
          </w:p>
        </w:tc>
        <w:tc>
          <w:tcPr>
            <w:tcW w:w="9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1,760,396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367,903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(8,994)</w:t>
            </w:r>
          </w:p>
        </w:tc>
        <w:tc>
          <w:tcPr>
            <w:tcW w:w="200" w:type="dxa"/>
            <w:vAlign w:val="bottom"/>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(1,529,194)</w:t>
            </w:r>
          </w:p>
        </w:tc>
        <w:tc>
          <w:tcPr>
            <w:tcW w:w="86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222,364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12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Amount less than one thousand dollars.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for the Years Ended December 31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8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23,383</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12,672</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(223,812)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income (loss) to net cash used in operating activities: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Noncash stock compensation expense</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42,541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37,933</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211</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discount on investment securities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(6,984)</w:t>
            </w: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(2,236)</w:t>
            </w:r>
          </w:p>
        </w:tc>
        <w:tc>
          <w:tcPr>
            <w:tcW w:w="2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2,378</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leasehold interest</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212</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change in lease liability and right of use asset</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1,963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of equity investments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of notes payable</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113</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in inventory</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(66,851)</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(36,938)</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(Increase) decrease in other current assets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(6,316)</w:t>
            </w: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(2,831)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decrease in accounts receivable</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(78,092)</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(51,093)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Increase (decrease) in accounts payable and accrued expenses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22,838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192</w:t>
            </w:r>
          </w:p>
        </w:tc>
        <w:tc>
          <w:tcPr>
            <w:tcW w:w="2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(11,010)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Decrease in lease liabilities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(2,388)</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(2,375)</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(2,332)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Increase in other current liabilities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2,675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(decrease) in deferred revenue</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17,483</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5,711</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(40,517)</w:t>
            </w:r>
          </w:p>
        </w:tc>
        <w:tc>
          <w:tcPr>
            <w:tcW w:w="2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(31,413)</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(176,170)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maturity of short-term securities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310,900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96,229</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Investment in held-to-maturity securities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(310,516)</w:t>
            </w: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(146,880)</w:t>
            </w:r>
          </w:p>
        </w:tc>
        <w:tc>
          <w:tcPr>
            <w:tcW w:w="2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(107,274)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in long-term securities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(1,375)</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Purchases of PPE</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(45)</w:t>
            </w: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(1,036)</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(50,651)</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(20,013)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Payment of loan payable</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(107,553)</w:t>
            </w: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 of common stock, net</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46,296</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exercise of options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1,534</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debt financings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244,815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25,000</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Financing costs paid</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(889)</w:t>
            </w: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(125)</w:t>
            </w:r>
          </w:p>
        </w:tc>
        <w:tc>
          <w:tcPr>
            <w:tcW w:w="2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(8,760)</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128,527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72,705</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(391)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86,974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(9,359)</w:t>
            </w:r>
          </w:p>
        </w:tc>
        <w:tc>
          <w:tcPr>
            <w:tcW w:w="2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(196,574)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94,218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103,577</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300,151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8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181,192</w:t>
            </w:r>
          </w:p>
        </w:tc>
        <w:tc>
          <w:tcPr>
            <w:tcW w:w="22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94,218</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103,577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restart"/>
          </w:tcPr>
          <w:p>
            <w:pPr>
              <w:spacing w:after="0"/>
              <w:rPr>
                <w:sz w:val="14"/>
                <w:szCs w:val="14"/>
                <w:color w:val="auto"/>
              </w:rPr>
            </w:pPr>
          </w:p>
        </w:tc>
        <w:tc>
          <w:tcPr>
            <w:tcW w:w="6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Reconciliation to amounts on consolidated balance sheets: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179,894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92,933</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102,304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Restricted cash</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1,285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181,192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94,218</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644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Interest</w:t>
            </w:r>
          </w:p>
        </w:tc>
        <w:tc>
          <w:tcPr>
            <w:tcW w:w="8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18,470</w:t>
            </w:r>
          </w:p>
        </w:tc>
        <w:tc>
          <w:tcPr>
            <w:tcW w:w="22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8,771</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taxes</w:t>
            </w:r>
          </w:p>
        </w:tc>
        <w:tc>
          <w:tcPr>
            <w:tcW w:w="8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TRANSACTIONS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8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1,238</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 issued with debt financing</w:t>
            </w:r>
          </w:p>
        </w:tc>
        <w:tc>
          <w:tcPr>
            <w:tcW w:w="8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595</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 consolidated financial statements.</w:t>
      </w:r>
    </w:p>
    <w:p>
      <w:pPr>
        <w:sectPr>
          <w:pgSz w:w="11900" w:h="16838" w:orient="portrait"/>
          <w:cols w:equalWidth="0" w:num="1">
            <w:col w:w="11240"/>
          </w:cols>
          <w:pgMar w:left="320" w:top="123" w:right="3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04" w:name="page105"/>
    <w:bookmarkEnd w:id="10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 xml:space="preserve">Unless the context requires otherwise, references in this report to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refer to TG Therapeutics, Inc. and our subsidiaries.</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NOTE 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ORGANIZATION AND SUMMARY OF SIGNIFICANT ACCOUNTING POLICIES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DESCRIPTION OF BUSINESS</w:t>
      </w:r>
    </w:p>
    <w:p>
      <w:pPr>
        <w:spacing w:after="0" w:line="212" w:lineRule="exact"/>
        <w:rPr>
          <w:sz w:val="20"/>
          <w:szCs w:val="20"/>
          <w:color w:val="auto"/>
        </w:rPr>
      </w:pPr>
    </w:p>
    <w:p>
      <w:pPr>
        <w:jc w:val="both"/>
        <w:ind w:left="40" w:firstLine="605"/>
        <w:spacing w:after="0" w:line="271" w:lineRule="auto"/>
        <w:rPr>
          <w:sz w:val="20"/>
          <w:szCs w:val="20"/>
          <w:color w:val="auto"/>
        </w:rPr>
      </w:pPr>
      <w:r>
        <w:rPr>
          <w:rFonts w:ascii="Times New Roman" w:cs="Times New Roman" w:eastAsia="Times New Roman" w:hAnsi="Times New Roman"/>
          <w:sz w:val="16"/>
          <w:szCs w:val="16"/>
          <w:color w:val="auto"/>
        </w:rPr>
        <w:t>TG Therapeutics is a fully-integrated, commercial stage, biopharmaceutical company focused on the acquisition, development and commercialization of novel treatments for B-cell mediated diseases. TG has received approval from the U.S. Food and Drug Administration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and the Medicines and Healthcare products Regulatory Agency (MHRA) for BRIUMVI to treat adult patients with RMS who have active disease defined by clinical or imaging features in Europe and the United Kingdom (UK), respectively. We also actively evaluate complementary products, technologies and companies for in-licensing, partnership, acquisition and/or investment opportunities.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Historically, we have incurred operating losses since our inception; however, during the years ended December 31, 2024, and December 31, 2023 the Company generated net income. During the years ended December 31, 2023, the Company experienced a net profit due to a $140.0 million non-refundable upfront payment recognized as license revenue in the third quarter of 2023 as part of our Commercialization Agreement with Neuraxpharm (see Note 2 for more information). While we have recently generated net income, we have incurred significant operating losses since our inception, and we may incur losses in the future. As of December 31, 2024, we have an accumulated deficit of $1.5 billion.</w:t>
      </w:r>
    </w:p>
    <w:p>
      <w:pPr>
        <w:spacing w:after="0" w:line="176" w:lineRule="exact"/>
        <w:rPr>
          <w:sz w:val="20"/>
          <w:szCs w:val="20"/>
          <w:color w:val="auto"/>
        </w:rPr>
      </w:pPr>
    </w:p>
    <w:p>
      <w:pPr>
        <w:jc w:val="both"/>
        <w:ind w:left="40" w:firstLine="605"/>
        <w:spacing w:after="0" w:line="250" w:lineRule="auto"/>
        <w:rPr>
          <w:sz w:val="20"/>
          <w:szCs w:val="20"/>
          <w:color w:val="auto"/>
        </w:rPr>
      </w:pPr>
      <w:r>
        <w:rPr>
          <w:rFonts w:ascii="Times New Roman" w:cs="Times New Roman" w:eastAsia="Times New Roman" w:hAnsi="Times New Roman"/>
          <w:sz w:val="17"/>
          <w:szCs w:val="17"/>
          <w:color w:val="auto"/>
        </w:rPr>
        <w:t>Our major sources of cash have been proceeds from private placements and public offerings of equity securities, from our loan and security agreements, the upfront payment from the Commercialization Agreement (see Note 2 for more information), and from product revenue from drug sales of BRIUMVI. Substantially all our operating losses have resulted from costs incurred in connection with our research and development programs and from selling, general and administrative costs associated with our operations, including our commercialization activities. For the year ended December 31, 2024, we generated $313.7 million in product revenue from drug sales of BRIUMVI. BRIUMVI first became commercially available in the United States in January of 2023. We also began shipping BRIUMVI to our ex-U.S. licensing partner, Neuraxpharm, in November 2023. Even with the commercialization of BRIUMVI and the possible future commercialization of our other drug candidates, we may not realize continued profitability. Our ability to achieve continued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may incur operating losses even now that we are generating revenues from BRIUMVI.</w:t>
      </w:r>
    </w:p>
    <w:p>
      <w:pPr>
        <w:spacing w:after="0" w:line="183" w:lineRule="exact"/>
        <w:rPr>
          <w:sz w:val="20"/>
          <w:szCs w:val="20"/>
          <w:color w:val="auto"/>
        </w:rPr>
      </w:pPr>
    </w:p>
    <w:p>
      <w:pPr>
        <w:jc w:val="both"/>
        <w:ind w:left="20" w:firstLine="605"/>
        <w:spacing w:after="0" w:line="271" w:lineRule="auto"/>
        <w:rPr>
          <w:sz w:val="20"/>
          <w:szCs w:val="20"/>
          <w:color w:val="auto"/>
        </w:rPr>
      </w:pPr>
      <w:r>
        <w:rPr>
          <w:rFonts w:ascii="Times New Roman" w:cs="Times New Roman" w:eastAsia="Times New Roman" w:hAnsi="Times New Roman"/>
          <w:sz w:val="16"/>
          <w:szCs w:val="16"/>
          <w:color w:val="auto"/>
        </w:rPr>
        <w:t>As of December 31, 2024, we had $311.0 million in cash and cash equivalents, and short-term investment securities. We anticipate that our cash, cash equivalents, and investment securities as of December 31, 2024, combined with projected revenues associated with the sale of BRIUMVI in the U.S. and ex-U.S., will provide sufficient liquidity for more than a twelve-month period from the date of filing this Annual Report on Form 10-K. The actual amount of cash that we will need to operate is subject to many factors, including, but not limited to, our commercialization efforts for BRIUMVI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common stock is quoted on the Nasdaq Capital Market and trades under the symbol “TGTX.”</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212" w:lineRule="exact"/>
        <w:rPr>
          <w:sz w:val="20"/>
          <w:szCs w:val="20"/>
          <w:color w:val="auto"/>
        </w:rPr>
      </w:pPr>
    </w:p>
    <w:p>
      <w:pPr>
        <w:jc w:val="both"/>
        <w:ind w:left="40" w:firstLine="605"/>
        <w:spacing w:after="0" w:line="274" w:lineRule="auto"/>
        <w:rPr>
          <w:sz w:val="20"/>
          <w:szCs w:val="20"/>
          <w:color w:val="auto"/>
        </w:rPr>
      </w:pPr>
      <w:r>
        <w:rPr>
          <w:rFonts w:ascii="Times New Roman" w:cs="Times New Roman" w:eastAsia="Times New Roman" w:hAnsi="Times New Roman"/>
          <w:sz w:val="17"/>
          <w:szCs w:val="17"/>
          <w:color w:val="auto"/>
        </w:rPr>
        <w:t>Management does not believe that any recently issued, but not yet effective, accounting pronouncements, if currently adopted, would have a material effect on the Company’s financial statements.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78740</wp:posOffset>
            </wp:positionV>
            <wp:extent cx="714121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2" w:lineRule="exact"/>
        <w:rPr>
          <w:sz w:val="20"/>
          <w:szCs w:val="20"/>
          <w:color w:val="auto"/>
        </w:rPr>
      </w:pPr>
    </w:p>
    <w:p>
      <w:pPr>
        <w:jc w:val="both"/>
        <w:ind w:left="20" w:firstLine="605"/>
        <w:spacing w:after="0" w:line="254"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revenue, accrued clinical trial expenses and stock-based compensation. Actual results could differ from those estimates. Such differences could be material to the financial statements.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treat liquid investments with original maturities of less than three months when purchased as cash and cash equivalents.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212"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7"/>
          <w:szCs w:val="17"/>
          <w:color w:val="auto"/>
        </w:rPr>
        <w:t>We record cash pledged or held in trust as restricted cash. As of December 31, 2024 and 2023, we have approximately $1.3 million of restricted cash pledged to secure a line of credit as a security deposit for an Office Agreement (see Note 7).</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INVESTMENT SECURITIES</w:t>
      </w:r>
    </w:p>
    <w:p>
      <w:pPr>
        <w:spacing w:after="0" w:line="212"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Investment securities at December 31, 2024 and 2023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5"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spacing w:after="0" w:line="169" w:lineRule="exact"/>
        <w:rPr>
          <w:sz w:val="20"/>
          <w:szCs w:val="20"/>
          <w:color w:val="auto"/>
        </w:rPr>
      </w:pPr>
    </w:p>
    <w:p>
      <w:pPr>
        <w:ind w:right="120" w:firstLine="605"/>
        <w:spacing w:after="0" w:line="261" w:lineRule="auto"/>
        <w:rPr>
          <w:sz w:val="20"/>
          <w:szCs w:val="20"/>
          <w:color w:val="auto"/>
        </w:rPr>
      </w:pPr>
      <w:r>
        <w:rPr>
          <w:rFonts w:ascii="Times New Roman" w:cs="Times New Roman" w:eastAsia="Times New Roman" w:hAnsi="Times New Roman"/>
          <w:sz w:val="17"/>
          <w:szCs w:val="17"/>
          <w:color w:val="auto"/>
        </w:rPr>
        <w:t>Our equity securities consist of common stock of Precision BioSciences, Inc. (Precision). Equity securities are recognized at their fair value in accordance with ASC 321, Investments – Equity Securities. Forward contracts to purchase equity securities that do not qualify as derivatives under ASC 815 are accounted for in accordance with ASC 321. These forward contracts are recorded at fair value at the balance sheet date. See Note 5 for further details.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212"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2"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75"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jc w:val="both"/>
        <w:ind w:left="20"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Product Revenue, Net </w:t>
      </w:r>
      <w:r>
        <w:rPr>
          <w:rFonts w:ascii="Times New Roman" w:cs="Times New Roman" w:eastAsia="Times New Roman" w:hAnsi="Times New Roman"/>
          <w:sz w:val="17"/>
          <w:szCs w:val="17"/>
          <w:color w:val="auto"/>
        </w:rPr>
        <w:t>– The Company recognizes product revenues, net of variable consideration related to certain allowances and accruals, when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commercial payer rebates, product returns, and co-payment assistance.</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80"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75"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69"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Commercial Payer Rebates: The Company contracts with various private payer organizations, primarily insurance companies and pharmacy benefit managers, for the payment of rebates with respect to utilization of our product and contracted formulary status. The Company estimates these rebates and records such estimates in the same period the related revenue is recognized, resulting in a reduction of product revenue and the establishment of a current liability.</w:t>
      </w:r>
    </w:p>
    <w:p>
      <w:pPr>
        <w:spacing w:after="0" w:line="169"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75"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7"/>
          <w:szCs w:val="17"/>
          <w:color w:val="auto"/>
        </w:rPr>
        <w:t>Subject to certain limitations, the Company’s return policy allows for eligible returns of commercial products sold for credit under the following circumstances:</w:t>
      </w:r>
    </w:p>
    <w:p>
      <w:pPr>
        <w:spacing w:after="0" w:line="159" w:lineRule="exact"/>
        <w:rPr>
          <w:sz w:val="20"/>
          <w:szCs w:val="20"/>
          <w:color w:val="auto"/>
        </w:rPr>
      </w:pPr>
    </w:p>
    <w:p>
      <w:pPr>
        <w:ind w:left="320" w:hanging="299"/>
        <w:spacing w:after="0"/>
        <w:tabs>
          <w:tab w:leader="none" w:pos="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damaged product;</w:t>
      </w:r>
    </w:p>
    <w:p>
      <w:pPr>
        <w:spacing w:after="0" w:line="22" w:lineRule="exact"/>
        <w:rPr>
          <w:rFonts w:ascii="Times New Roman" w:cs="Times New Roman" w:eastAsia="Times New Roman" w:hAnsi="Times New Roman"/>
          <w:sz w:val="17"/>
          <w:szCs w:val="17"/>
          <w:color w:val="auto"/>
        </w:rPr>
      </w:pPr>
    </w:p>
    <w:p>
      <w:pPr>
        <w:ind w:left="320" w:hanging="299"/>
        <w:spacing w:after="0"/>
        <w:tabs>
          <w:tab w:leader="none" w:pos="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shipment errors that were a result of an error by the Company;</w:t>
      </w:r>
    </w:p>
    <w:p>
      <w:pPr>
        <w:spacing w:after="0" w:line="6" w:lineRule="exact"/>
        <w:rPr>
          <w:rFonts w:ascii="Times New Roman" w:cs="Times New Roman" w:eastAsia="Times New Roman" w:hAnsi="Times New Roman"/>
          <w:sz w:val="17"/>
          <w:szCs w:val="17"/>
          <w:color w:val="auto"/>
        </w:rPr>
      </w:pPr>
    </w:p>
    <w:p>
      <w:pPr>
        <w:ind w:left="320" w:hanging="299"/>
        <w:spacing w:after="0"/>
        <w:tabs>
          <w:tab w:leader="none" w:pos="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expired product that is returned during the period beginning three months prior to the product’s expiration and ending six months after the expiration date;</w:t>
      </w:r>
    </w:p>
    <w:p>
      <w:pPr>
        <w:spacing w:after="0" w:line="6" w:lineRule="exact"/>
        <w:rPr>
          <w:rFonts w:ascii="Times New Roman" w:cs="Times New Roman" w:eastAsia="Times New Roman" w:hAnsi="Times New Roman"/>
          <w:sz w:val="17"/>
          <w:szCs w:val="17"/>
          <w:color w:val="auto"/>
        </w:rPr>
      </w:pPr>
    </w:p>
    <w:p>
      <w:pPr>
        <w:ind w:left="320" w:hanging="299"/>
        <w:spacing w:after="0"/>
        <w:tabs>
          <w:tab w:leader="none" w:pos="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subject to a recall; and</w:t>
      </w:r>
    </w:p>
    <w:p>
      <w:pPr>
        <w:spacing w:after="0" w:line="6" w:lineRule="exact"/>
        <w:rPr>
          <w:rFonts w:ascii="Times New Roman" w:cs="Times New Roman" w:eastAsia="Times New Roman" w:hAnsi="Times New Roman"/>
          <w:sz w:val="17"/>
          <w:szCs w:val="17"/>
          <w:color w:val="auto"/>
        </w:rPr>
      </w:pPr>
    </w:p>
    <w:p>
      <w:pPr>
        <w:ind w:left="320" w:hanging="299"/>
        <w:spacing w:after="0"/>
        <w:tabs>
          <w:tab w:leader="none" w:pos="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that the Company, at its sole discretion, has specified can be returned for credit.</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December 31, 2024, the Company has $0.1 million in returns related to sales of BRIUMVI.</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left="40" w:firstLine="605"/>
        <w:spacing w:after="0" w:line="251" w:lineRule="auto"/>
        <w:rPr>
          <w:sz w:val="20"/>
          <w:szCs w:val="20"/>
          <w:color w:val="auto"/>
        </w:rPr>
      </w:pPr>
      <w:r>
        <w:rPr>
          <w:rFonts w:ascii="Times New Roman" w:cs="Times New Roman" w:eastAsia="Times New Roman" w:hAnsi="Times New Roman"/>
          <w:sz w:val="17"/>
          <w:szCs w:val="17"/>
          <w:color w:val="auto"/>
        </w:rPr>
        <w:t>Co-Payment Assistance Programs: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 xml:space="preserve">License Agreements </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left="20" w:firstLine="639"/>
        <w:spacing w:after="0" w:line="261" w:lineRule="auto"/>
        <w:rPr>
          <w:sz w:val="20"/>
          <w:szCs w:val="20"/>
          <w:color w:val="auto"/>
        </w:rPr>
      </w:pPr>
      <w:r>
        <w:rPr>
          <w:rFonts w:ascii="Times New Roman" w:cs="Times New Roman" w:eastAsia="Times New Roman" w:hAnsi="Times New Roman"/>
          <w:sz w:val="17"/>
          <w:szCs w:val="17"/>
          <w:color w:val="auto"/>
        </w:rPr>
        <w:t xml:space="preserve">The Company generates revenue from license or similar agreements with pharmaceutical companies for the development and commercialization of certain products. Such agreements </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xml:space="preserve"> include the transfer of intellectual property rights in the form of licenses. Payments made by the customer </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xml:space="preserve"> include non-refundable upfront fees, payments based upon the achievement of defined milestones, and royalties on sales of products.</w:t>
      </w:r>
    </w:p>
    <w:p>
      <w:pPr>
        <w:spacing w:after="0" w:line="169" w:lineRule="exact"/>
        <w:rPr>
          <w:sz w:val="20"/>
          <w:szCs w:val="20"/>
          <w:color w:val="auto"/>
        </w:rPr>
      </w:pPr>
    </w:p>
    <w:p>
      <w:pPr>
        <w:jc w:val="both"/>
        <w:ind w:left="20" w:firstLine="639"/>
        <w:spacing w:after="0" w:line="256" w:lineRule="auto"/>
        <w:rPr>
          <w:sz w:val="20"/>
          <w:szCs w:val="20"/>
          <w:color w:val="auto"/>
        </w:rPr>
      </w:pPr>
      <w:r>
        <w:rPr>
          <w:rFonts w:ascii="Times New Roman" w:cs="Times New Roman" w:eastAsia="Times New Roman" w:hAnsi="Times New Roman"/>
          <w:sz w:val="17"/>
          <w:szCs w:val="17"/>
          <w:u w:val="single" w:color="auto"/>
          <w:color w:val="auto"/>
        </w:rPr>
        <w:t>Licenses of intellectual property</w:t>
      </w:r>
      <w:r>
        <w:rPr>
          <w:rFonts w:ascii="Times New Roman" w:cs="Times New Roman" w:eastAsia="Times New Roman" w:hAnsi="Times New Roman"/>
          <w:sz w:val="17"/>
          <w:szCs w:val="17"/>
          <w:color w:val="auto"/>
        </w:rPr>
        <w:t xml:space="preserve">: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distinct, they are combined with other promised goods or services to create a bundle of promised goods or services that is distinct.</w:t>
      </w:r>
    </w:p>
    <w:p>
      <w:pPr>
        <w:spacing w:after="0" w:line="171"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u w:val="single" w:color="auto"/>
          <w:color w:val="auto"/>
        </w:rPr>
        <w:t>Milestone payments</w:t>
      </w:r>
      <w:r>
        <w:rPr>
          <w:rFonts w:ascii="Times New Roman" w:cs="Times New Roman" w:eastAsia="Times New Roman" w:hAnsi="Times New Roman"/>
          <w:sz w:val="17"/>
          <w:szCs w:val="17"/>
          <w:color w:val="auto"/>
        </w:rPr>
        <w:t xml:space="preserve">: Contingent milestones at contract inception are estimated at the amount which is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probable of a material reversal and included in the transaction price using the most likely amount method. Milestone payments that are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within the Company's control, such as regulatory approvals, are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w:t>
      </w:r>
      <w:r>
        <w:rPr>
          <w:rFonts w:ascii="Times New Roman" w:cs="Times New Roman" w:eastAsia="Times New Roman" w:hAnsi="Times New Roman"/>
          <w:sz w:val="17"/>
          <w:szCs w:val="17"/>
          <w:i w:val="1"/>
          <w:iCs w:val="1"/>
          <w:color w:val="auto"/>
        </w:rPr>
        <w:t xml:space="preserve">may not </w:t>
      </w:r>
      <w:r>
        <w:rPr>
          <w:rFonts w:ascii="Times New Roman" w:cs="Times New Roman" w:eastAsia="Times New Roman" w:hAnsi="Times New Roman"/>
          <w:sz w:val="17"/>
          <w:szCs w:val="17"/>
          <w:color w:val="auto"/>
        </w:rPr>
        <w:t>be subject to a material reversal and, if necessary, adjust the estimate of the overall transaction price. Any such adjustments are recorded on a cumulative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catch-up basis, which would affect license and other revenue, as well as earnings, in the period of adjustment.</w:t>
      </w:r>
    </w:p>
    <w:p>
      <w:pPr>
        <w:spacing w:after="0" w:line="175" w:lineRule="exact"/>
        <w:rPr>
          <w:sz w:val="20"/>
          <w:szCs w:val="20"/>
          <w:color w:val="auto"/>
        </w:rPr>
      </w:pPr>
    </w:p>
    <w:p>
      <w:pPr>
        <w:jc w:val="both"/>
        <w:ind w:left="180" w:firstLine="454"/>
        <w:spacing w:after="0" w:line="261" w:lineRule="auto"/>
        <w:rPr>
          <w:sz w:val="20"/>
          <w:szCs w:val="20"/>
          <w:color w:val="auto"/>
        </w:rPr>
      </w:pPr>
      <w:r>
        <w:rPr>
          <w:rFonts w:ascii="Times New Roman" w:cs="Times New Roman" w:eastAsia="Times New Roman" w:hAnsi="Times New Roman"/>
          <w:sz w:val="17"/>
          <w:szCs w:val="17"/>
          <w:u w:val="single" w:color="auto"/>
          <w:color w:val="auto"/>
        </w:rPr>
        <w:t>Sales-based royalties</w:t>
      </w:r>
      <w:r>
        <w:rPr>
          <w:rFonts w:ascii="Times New Roman" w:cs="Times New Roman" w:eastAsia="Times New Roman" w:hAnsi="Times New Roman"/>
          <w:sz w:val="17"/>
          <w:szCs w:val="17"/>
          <w:color w:val="auto"/>
        </w:rPr>
        <w:t>: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u w:val="single" w:color="auto"/>
          <w:color w:val="auto"/>
        </w:rPr>
        <w:t>Optional Purchases</w:t>
      </w:r>
      <w:r>
        <w:rPr>
          <w:rFonts w:ascii="Times New Roman" w:cs="Times New Roman" w:eastAsia="Times New Roman" w:hAnsi="Times New Roman"/>
          <w:sz w:val="17"/>
          <w:szCs w:val="17"/>
          <w:color w:val="auto"/>
        </w:rPr>
        <w:t>: The Company’s arrangements may provide the licensee the right to make optional purchases of the licensed product. These optional purchases are accounted for as separate contracts when the licensee determines that it will make such a purchase, unless the option conveys a material right.</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Other Revenue</w:t>
      </w:r>
    </w:p>
    <w:p>
      <w:pPr>
        <w:spacing w:after="0" w:line="212" w:lineRule="exact"/>
        <w:rPr>
          <w:sz w:val="20"/>
          <w:szCs w:val="20"/>
          <w:color w:val="auto"/>
        </w:rPr>
      </w:pPr>
    </w:p>
    <w:p>
      <w:pPr>
        <w:ind w:left="480" w:firstLine="151"/>
        <w:spacing w:after="0" w:line="274" w:lineRule="auto"/>
        <w:rPr>
          <w:sz w:val="20"/>
          <w:szCs w:val="20"/>
          <w:color w:val="auto"/>
        </w:rPr>
      </w:pPr>
      <w:r>
        <w:rPr>
          <w:rFonts w:ascii="Times New Roman" w:cs="Times New Roman" w:eastAsia="Times New Roman" w:hAnsi="Times New Roman"/>
          <w:sz w:val="17"/>
          <w:szCs w:val="17"/>
          <w:color w:val="auto"/>
        </w:rPr>
        <w:t>Revenue is also generated from service-based fees recognized for providing regulatory support and development services to customers. Service fee revenue is recognized overtime as the services are transferred to the customer.</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DEFERRED PRODUCT REVENUE</w:t>
      </w:r>
    </w:p>
    <w:p>
      <w:pPr>
        <w:spacing w:after="0" w:line="212"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12 months following the balance sheet date are classified as current liabilities. Deferred revenues not expected to be recognized as revenue within the 12 months following the balance sheet date are classified as long-term liabilities.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78740</wp:posOffset>
            </wp:positionV>
            <wp:extent cx="714121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12" w:lineRule="exact"/>
        <w:rPr>
          <w:sz w:val="20"/>
          <w:szCs w:val="20"/>
          <w:color w:val="auto"/>
        </w:rPr>
      </w:pPr>
    </w:p>
    <w:p>
      <w:pPr>
        <w:jc w:val="both"/>
        <w:ind w:left="20" w:firstLine="605"/>
        <w:spacing w:after="0" w:line="254" w:lineRule="auto"/>
        <w:rPr>
          <w:sz w:val="20"/>
          <w:szCs w:val="20"/>
          <w:color w:val="auto"/>
        </w:rPr>
      </w:pPr>
      <w:r>
        <w:rPr>
          <w:rFonts w:ascii="Times New Roman" w:cs="Times New Roman" w:eastAsia="Times New Roman" w:hAnsi="Times New Roman"/>
          <w:sz w:val="17"/>
          <w:szCs w:val="17"/>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December 31, 2024, we determined an allowance for expected credit losses related to outstanding accounts receivable was currently not required based upon our review of contractual payment terms and individual customer circumstances.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Cost of revenue consists primarily of third-party manufacturing costs, distribution, overhead and royalties owed to our licensing partner for BRIUMVI sales. Cost of revenue may also include costs related to excess or obsolete inventory adjustment charges, abnormal costs, unabsorbed manufacturing and overhead costs, and manufacturing variances. Based on our policy to expense costs associated with the manufacture of our products prior to regulatory approval, a portion of the costs of producing BRIUMVI sold to date was expensed as research and development prior to FDA approval of BRIUMVI and therefore it is not reflected in the cost of revenue. Our cost of revenue also relates to providing regulatory support &amp; development services to customers.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Inventories are stated at the lower of cost or estimated net realizable value with cost based on the first-in-first-out method (FIFO). We classify inventory costs as long-term, in other assets in our consolidated balance sheets, when we expect to utilize the inventory beyond our normal operating cycle. Prior to regulatory approval, we expense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w:t>
      </w:r>
    </w:p>
    <w:p>
      <w:pPr>
        <w:spacing w:after="0" w:line="176" w:lineRule="exact"/>
        <w:rPr>
          <w:sz w:val="20"/>
          <w:szCs w:val="20"/>
          <w:color w:val="auto"/>
        </w:rPr>
      </w:pPr>
    </w:p>
    <w:p>
      <w:pPr>
        <w:ind w:right="60" w:firstLine="605"/>
        <w:spacing w:after="0" w:line="274" w:lineRule="auto"/>
        <w:rPr>
          <w:sz w:val="20"/>
          <w:szCs w:val="20"/>
          <w:color w:val="auto"/>
        </w:rPr>
      </w:pPr>
      <w:r>
        <w:rPr>
          <w:rFonts w:ascii="Times New Roman" w:cs="Times New Roman" w:eastAsia="Times New Roman" w:hAnsi="Times New Roman"/>
          <w:sz w:val="17"/>
          <w:szCs w:val="17"/>
          <w:color w:val="auto"/>
        </w:rPr>
        <w:t>Prior to the approval of BRIUMVI, all manufacturing and other potential costs related to the commercial launch of BRIUMVI were expensed to research and development expense in the period incurred.</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RESEARCH AND DEVELOPMENT COSTS</w:t>
      </w:r>
    </w:p>
    <w:p>
      <w:pPr>
        <w:spacing w:after="0" w:line="212" w:lineRule="exact"/>
        <w:rPr>
          <w:sz w:val="20"/>
          <w:szCs w:val="20"/>
          <w:color w:val="auto"/>
        </w:rPr>
      </w:pPr>
    </w:p>
    <w:p>
      <w:pPr>
        <w:jc w:val="both"/>
        <w:ind w:left="20" w:firstLine="605"/>
        <w:spacing w:after="0" w:line="268" w:lineRule="auto"/>
        <w:rPr>
          <w:sz w:val="20"/>
          <w:szCs w:val="20"/>
          <w:color w:val="auto"/>
        </w:rPr>
      </w:pPr>
      <w:r>
        <w:rPr>
          <w:rFonts w:ascii="Times New Roman" w:cs="Times New Roman" w:eastAsia="Times New Roman" w:hAnsi="Times New Roman"/>
          <w:sz w:val="16"/>
          <w:szCs w:val="16"/>
          <w:color w:val="auto"/>
        </w:rPr>
        <w:t>Generally, research and development costs are expensed as incurred. Research and development expenses consist primarily of costs incurred to third-party service providers for the conduct of research, preclinical and clinical studies, contract manufacturing costs, license milestone fees, personnel costs for our research and development employees, consulting, and other related expenses. We recognize research, preclinical and clinical study expenses based on services performed, pursuant to contracts with third-party research and development organizations that conduct and manage research, preclinical and clinical activities on our behalf. We accrue these expenses based on the progress or stage of completion of services and the contracted fees to be paid for such services. If the actual timing of the performance of services or the level of effort varies from the original accrual, we will adjust the accrual accordingly. With respect to clinical trial costs, the financial terms of these agreements are subject to an initial negotiation and vary from contract to contract. Payments under these contracts may be uneven and depend on factors such as the achievement of certain events, the successful recruitment of patients, the completion of portions of the clinical trial or similar conditions. As such, certain expense accruals related to clinical site costs are recognized based on the degree of performance of the event or events specified in the specific clinical study or trial contract.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2"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76"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 Refer to Note 9 for further information.</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Stock-based compensation costs related to equity awards granted to employees and non-employees are measured at the date of grant based on the fair value of the award. We estimate the grant date fair value of options, and the resulting stock-based compensation expense, using the Black-Scholes option-pricing model. Equity awards with market conditions are valued using advanced option-pricing models, such as a Monte Carlo simulation. The effect of a market condition is reflected in the award’s fair value on the grant date. For time-based or performance-based restricted stock, the fair value is based on the market value of our common stock on the date of grant.</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Stock-based compensation expense for time-based restricted stock and options is recognized on a straight-line basis over the requisite service period. Stock-based compensation expense for awards that vest upon the achievement of milestones is recognized over the requisite service period when the achievement of such milestones becomes probable. Stock-based compensation expense for an award that has a market condition is recognized over the requisite service period, which is derived from the valuation model, even if the market condition is never satisfied. We recognize all stock-based payments to employees and non-employee directors (as compensation for service) as noncash compensation expense in the consolidated financial statements. Forfeitures are recognized as they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REPURCHASE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repurchases shares through open market purchases, privately-negotiated transactions, block purchases or otherwise in accordance with applicable federal securities laws, including Rule 10b-18 of the Securities Exchange Act of 1934, as amended (the Exchange Act). We account for shares repurchased under the treasury accounting method (ASC 505-30). We recognize the amount paid to repurchase the shares as a reduction of stockholders’ equity and include treasury stock on a separate line item in the equity section of our consolidated balance sheet. Treasury stock is excluded from shares outstanding.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Basic net income (loss) per share of our common stock is calculated by dividing net income (loss) applicable to the common stock by the weighted-average number of our common stock outstanding for the period. Diluted net income (loss) per share of common stock includes the effect, if any, from the potential exercise or conversion of securities, such as warrants, stock options, and restricted stock, which would result in the issuance of incremental shares of common stock. The impact of these items is anti-dilutive during periods of net loss, therefore, basic and diluted net loss per share were the same for the year ended December 31, 2022 in the consolidated statement of operations as a result of the Company’s net loss during the year ended December 31, 2022. During the years ended December 31, 2024 and December 31, 2023, the Company had net income and as such presents the dilutive effect of potential common shares in the computation of basic and diluted earnings per share in the table below.</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our potentially dilutive securities at December 31, 2024, 2023 and 2022:</w:t>
      </w:r>
    </w:p>
    <w:p>
      <w:pPr>
        <w:sectPr>
          <w:pgSz w:w="11900" w:h="16838" w:orient="portrait"/>
          <w:cols w:equalWidth="0" w:num="1">
            <w:col w:w="11280"/>
          </w:cols>
          <w:pgMar w:left="28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-113030</wp:posOffset>
            </wp:positionV>
            <wp:extent cx="7141210"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Options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-123190</wp:posOffset>
            </wp:positionV>
            <wp:extent cx="7141210"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Shares issuable upon note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12065</wp:posOffset>
            </wp:positionV>
            <wp:extent cx="7141210" cy="152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Total</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The computation of basic and diluted earnings per share (EPS) is as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thousands, except share and per share data)</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-123190</wp:posOffset>
            </wp:positionV>
            <wp:extent cx="7141210" cy="128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Weighted-average common shares outstanding</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Pr>
          <w:p>
            <w:pPr>
              <w:spacing w:after="0"/>
              <w:rPr>
                <w:sz w:val="16"/>
                <w:szCs w:val="16"/>
                <w:color w:val="auto"/>
              </w:rPr>
            </w:pPr>
          </w:p>
        </w:tc>
      </w:tr>
      <w:tr>
        <w:trPr>
          <w:trHeight w:val="178"/>
        </w:trPr>
        <w:tc>
          <w:tcPr>
            <w:tcW w:w="148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10,343,555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8,139,037</w:t>
            </w:r>
          </w:p>
        </w:tc>
        <w:tc>
          <w:tcPr>
            <w:tcW w:w="220" w:type="dxa"/>
            <w:vAlign w:val="bottom"/>
          </w:tcPr>
          <w:p>
            <w:pPr>
              <w:spacing w:after="0"/>
              <w:rPr>
                <w:sz w:val="15"/>
                <w:szCs w:val="15"/>
                <w:color w:val="auto"/>
              </w:rPr>
            </w:pP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7,232,254</w:t>
            </w:r>
          </w:p>
        </w:tc>
        <w:tc>
          <w:tcPr>
            <w:tcW w:w="20" w:type="dxa"/>
            <w:vAlign w:val="bottom"/>
          </w:tcPr>
          <w:p>
            <w:pPr>
              <w:spacing w:after="0"/>
              <w:rPr>
                <w:sz w:val="15"/>
                <w:szCs w:val="15"/>
                <w:color w:val="auto"/>
              </w:rPr>
            </w:pPr>
          </w:p>
        </w:tc>
      </w:tr>
      <w:tr>
        <w:trPr>
          <w:trHeight w:val="202"/>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4,470,216</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4,697,029</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5,135,685</w:t>
            </w:r>
          </w:p>
        </w:tc>
        <w:tc>
          <w:tcPr>
            <w:tcW w:w="20" w:type="dxa"/>
            <w:vAlign w:val="bottom"/>
          </w:tcPr>
          <w:p>
            <w:pPr>
              <w:spacing w:after="0"/>
              <w:rPr>
                <w:sz w:val="17"/>
                <w:szCs w:val="17"/>
                <w:color w:val="auto"/>
              </w:rPr>
            </w:pPr>
          </w:p>
        </w:tc>
      </w:tr>
      <w:tr>
        <w:trPr>
          <w:trHeight w:val="202"/>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165,214</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312,272</w:t>
            </w:r>
          </w:p>
        </w:tc>
        <w:tc>
          <w:tcPr>
            <w:tcW w:w="22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262,100</w:t>
            </w:r>
          </w:p>
        </w:tc>
      </w:tr>
      <w:tr>
        <w:trPr>
          <w:trHeight w:val="218"/>
        </w:trPr>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21,973</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20,902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20,619</w:t>
            </w:r>
          </w:p>
        </w:tc>
      </w:tr>
      <w:tr>
        <w:trPr>
          <w:trHeight w:val="195"/>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15,000,958</w:t>
            </w:r>
          </w:p>
        </w:tc>
        <w:tc>
          <w:tcPr>
            <w:tcW w:w="2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13,169,240</w:t>
            </w:r>
          </w:p>
        </w:tc>
        <w:tc>
          <w:tcPr>
            <w:tcW w:w="22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12,650,658</w:t>
            </w:r>
          </w:p>
        </w:tc>
        <w:tc>
          <w:tcPr>
            <w:tcW w:w="20" w:type="dxa"/>
            <w:vAlign w:val="bottom"/>
          </w:tcPr>
          <w:p>
            <w:pPr>
              <w:spacing w:after="0"/>
              <w:rPr>
                <w:sz w:val="16"/>
                <w:szCs w:val="16"/>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Pr>
          <w:p>
            <w:pPr>
              <w:spacing w:after="0"/>
              <w:rPr>
                <w:sz w:val="16"/>
                <w:szCs w:val="16"/>
                <w:color w:val="auto"/>
              </w:rPr>
            </w:pPr>
          </w:p>
        </w:tc>
      </w:tr>
      <w:tr>
        <w:trPr>
          <w:trHeight w:val="178"/>
        </w:trPr>
        <w:tc>
          <w:tcPr>
            <w:tcW w:w="148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23,383</w:t>
            </w:r>
          </w:p>
        </w:tc>
        <w:tc>
          <w:tcPr>
            <w:tcW w:w="220" w:type="dxa"/>
            <w:vAlign w:val="bottom"/>
          </w:tcPr>
          <w:p>
            <w:pPr>
              <w:spacing w:after="0"/>
              <w:rPr>
                <w:sz w:val="15"/>
                <w:szCs w:val="15"/>
                <w:color w:val="auto"/>
              </w:rPr>
            </w:pPr>
          </w:p>
        </w:tc>
        <w:tc>
          <w:tcPr>
            <w:tcW w:w="148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12,672</w:t>
            </w:r>
          </w:p>
        </w:tc>
        <w:tc>
          <w:tcPr>
            <w:tcW w:w="220" w:type="dxa"/>
            <w:vAlign w:val="bottom"/>
          </w:tcPr>
          <w:p>
            <w:pPr>
              <w:spacing w:after="0"/>
              <w:rPr>
                <w:sz w:val="15"/>
                <w:szCs w:val="15"/>
                <w:color w:val="auto"/>
              </w:rPr>
            </w:pPr>
          </w:p>
        </w:tc>
        <w:tc>
          <w:tcPr>
            <w:tcW w:w="14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(223,812)</w:t>
            </w:r>
          </w:p>
        </w:tc>
        <w:tc>
          <w:tcPr>
            <w:tcW w:w="60" w:type="dxa"/>
            <w:vAlign w:val="bottom"/>
          </w:tcPr>
          <w:p>
            <w:pPr>
              <w:spacing w:after="0"/>
              <w:rPr>
                <w:sz w:val="15"/>
                <w:szCs w:val="15"/>
                <w:color w:val="auto"/>
              </w:rPr>
            </w:pPr>
          </w:p>
        </w:tc>
      </w:tr>
      <w:tr>
        <w:trPr>
          <w:trHeight w:val="216"/>
        </w:trPr>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145,317,418</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141,955,112</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135,411,258</w:t>
            </w:r>
          </w:p>
        </w:tc>
      </w:tr>
    </w:tbl>
    <w:p>
      <w:pPr>
        <w:spacing w:after="0" w:line="8" w:lineRule="exact"/>
        <w:rPr>
          <w:sz w:val="20"/>
          <w:szCs w:val="20"/>
          <w:color w:val="auto"/>
        </w:rPr>
      </w:pPr>
    </w:p>
    <w:p>
      <w:pPr>
        <w:sectPr>
          <w:pgSz w:w="11900" w:h="16838" w:orient="portrait"/>
          <w:cols w:equalWidth="0" w:num="2">
            <w:col w:w="5780" w:space="560"/>
            <w:col w:w="4940"/>
          </w:cols>
          <w:pgMar w:left="280" w:top="123" w:right="339"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potential common shares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15,018,633</w:t>
            </w:r>
          </w:p>
        </w:tc>
        <w:tc>
          <w:tcPr>
            <w:tcW w:w="2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6,553,353</w:t>
            </w: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0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Weighted-average common shares outstanding assuming dilution</w:t>
            </w:r>
          </w:p>
        </w:tc>
        <w:tc>
          <w:tcPr>
            <w:tcW w:w="17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160,336,051</w:t>
            </w:r>
          </w:p>
        </w:tc>
        <w:tc>
          <w:tcPr>
            <w:tcW w:w="14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148,508,465</w:t>
            </w:r>
          </w:p>
        </w:tc>
        <w:tc>
          <w:tcPr>
            <w:tcW w:w="220" w:type="dxa"/>
            <w:vAlign w:val="bottom"/>
          </w:tcPr>
          <w:p>
            <w:pPr>
              <w:spacing w:after="0"/>
              <w:rPr>
                <w:sz w:val="16"/>
                <w:szCs w:val="16"/>
                <w:color w:val="auto"/>
              </w:rPr>
            </w:pPr>
          </w:p>
        </w:tc>
        <w:tc>
          <w:tcPr>
            <w:tcW w:w="154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135,411,258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per share - basic</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0.16</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0.09</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per share - diluted</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0.15</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0.09</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LONG-LIVED ASSETS AND GOODWILL</w:t>
      </w:r>
    </w:p>
    <w:p>
      <w:pPr>
        <w:spacing w:after="0" w:line="212" w:lineRule="exact"/>
        <w:rPr>
          <w:sz w:val="20"/>
          <w:szCs w:val="20"/>
          <w:color w:val="auto"/>
        </w:rPr>
      </w:pPr>
    </w:p>
    <w:p>
      <w:pPr>
        <w:jc w:val="both"/>
        <w:ind w:left="40" w:firstLine="605"/>
        <w:spacing w:after="0" w:line="256" w:lineRule="auto"/>
        <w:rPr>
          <w:sz w:val="20"/>
          <w:szCs w:val="20"/>
          <w:color w:val="auto"/>
        </w:rPr>
      </w:pPr>
      <w:r>
        <w:rPr>
          <w:rFonts w:ascii="Times New Roman" w:cs="Times New Roman" w:eastAsia="Times New Roman" w:hAnsi="Times New Roman"/>
          <w:sz w:val="17"/>
          <w:szCs w:val="17"/>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75"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Goodwill results from excess consideration in a business combination over the fair value of identifiable net assets acquired. Goodwill is not amortized but is reviewed for impairment at least annually, or more frequently if impairment indicators are present, by first assessing qualitative factors to determine whether it is more likely than not that the fair value is less than its carrying amount. If we conclude it is more likely than not that the fair value is less than the carrying amount, a quantitative test that compares the fair value to its carrying value is performed to determine the amount of any impairment.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78740</wp:posOffset>
            </wp:positionV>
            <wp:extent cx="714121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type w:val="continuous"/>
        </w:sectPr>
      </w:pPr>
    </w:p>
    <w:bookmarkStart w:id="111" w:name="page112"/>
    <w:bookmarkEnd w:id="11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All leases with a lease term greater than 12 months, regardless of lease type classification, are recorded as an obligation on the balance sheet with a corresponding right-of-use asset. Operating leases are reflected as lease liabilities on the commencement date of the lease based on the present value of the lease payments to be made over the lease term. Current operating lease liabilities are reflected in lease liabilities – current portion and noncurrent operating lease liabilities are reflected in lease liabilities – non-current on the consolidated balance sheet. Right-of-use assets are valued at the initial measurement of the lease liability, plus any initial direct costs or rent prepayments, minus lease incentives and any deferred lease payments. Operating lease assets are recorded to right of use assets on the consolidated balance sheet and lease cost is recognized on a straight-line basis.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that engage in business activities from which it may recognize revenues and incur expenses, and for which discrete financial information is available that is evaluated regularly by the chief operating decision maker (“CODM”) to allocate resources and assess performance.</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operates in one reportable segment, B-cell mediated disease therapy, which includes all activities related to the development and commercialization of novel treatments, including BRIUMVI, to address unmet medical needs and improve the lives of patients. The determination of a single reportable segment is consistent with the consolidated financial information regularly provided to the Company’s chief operating decision maker (CODM), which is its chief executive officer, who reviews and evaluates consolidated net income (loss) for purposes of assessing performance, making operating decisions, allocating resources and planning and forecasting for future periods. The measure of segment assets is reported on the balance sheet as total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IMMATERIAL CORRECTIONS OF PRIOR PERIOD FINANCIAL STATEMENTS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July of 2024, the Company identified an error related to the expense recognition of a single restricted stock award granted in 2021. The impact of the error was an understatement of non-cash compensation expense (SG&amp;A) in the years ended December 31, 2021 and 2022 and a corresponding understatement of additional paid in capital (APIC). The Company concluded the error did not result in a material misstatement of the Company’s previously issued consolidated financial statements. Accordingly, the Company corrected the relevant consolidated financial statements and related footnotes for the year ended December 31, 2022 within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NOTE 2 - REVENUE</w:t>
      </w:r>
    </w:p>
    <w:p>
      <w:pPr>
        <w:spacing w:after="0" w:line="212"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As discussed in Note 1, revenues are recognized under guidance within ASC 606. The following table presents our disaggregated revenue for the periods presented (in thousands):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8"/>
              </w:rPr>
              <w:t>Year ended December 31,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line="194" w:lineRule="exact"/>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line="194" w:lineRule="exact"/>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product revenue, net</w:t>
            </w:r>
          </w:p>
        </w:tc>
        <w:tc>
          <w:tcPr>
            <w:tcW w:w="940" w:type="dxa"/>
            <w:vAlign w:val="bottom"/>
            <w:shd w:val="clear" w:color="auto" w:fill="CCEEFF"/>
          </w:tcPr>
          <w:p>
            <w:pPr>
              <w:jc w:val="right"/>
              <w:ind w:right="7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313,728</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92,005</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2,633</w:t>
            </w:r>
          </w:p>
        </w:tc>
      </w:tr>
      <w:tr>
        <w:trPr>
          <w:trHeight w:val="202"/>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License Revenue</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140,153</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w:t>
            </w: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Milestone Revenue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Royalty Revenue</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3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Revenue</w:t>
            </w:r>
          </w:p>
        </w:tc>
        <w:tc>
          <w:tcPr>
            <w:tcW w:w="940" w:type="dxa"/>
            <w:vAlign w:val="bottom"/>
          </w:tcPr>
          <w:p>
            <w:pPr>
              <w:jc w:val="right"/>
              <w:ind w:right="7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329,004</w:t>
            </w:r>
          </w:p>
        </w:tc>
        <w:tc>
          <w:tcPr>
            <w:tcW w:w="52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233,662</w:t>
            </w:r>
          </w:p>
        </w:tc>
        <w:tc>
          <w:tcPr>
            <w:tcW w:w="340" w:type="dxa"/>
            <w:vAlign w:val="bottom"/>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2,785</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Product revenue, net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presents our disaggregated revenue by product and geography for the periods presented:</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8"/>
              </w:rPr>
              <w:t>Year ended December 31,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98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line="194" w:lineRule="exact"/>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line="194" w:lineRule="exact"/>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6"/>
                <w:szCs w:val="16"/>
                <w:color w:val="auto"/>
              </w:rPr>
            </w:pPr>
          </w:p>
        </w:tc>
      </w:tr>
      <w:tr>
        <w:trPr>
          <w:trHeight w:val="194"/>
        </w:trPr>
        <w:tc>
          <w:tcPr>
            <w:tcW w:w="3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BRIUMVI</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9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U.S.</w:t>
            </w:r>
          </w:p>
        </w:tc>
        <w:tc>
          <w:tcPr>
            <w:tcW w:w="94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310,023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88,786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3980" w:type="dxa"/>
            <w:vAlign w:val="bottom"/>
            <w:tcBorders>
              <w:bottom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7"/>
                <w:szCs w:val="17"/>
                <w:color w:val="auto"/>
              </w:rPr>
              <w:t>International</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4"/>
        </w:trPr>
        <w:tc>
          <w:tcPr>
            <w:tcW w:w="3980" w:type="dxa"/>
            <w:vAlign w:val="bottom"/>
          </w:tcPr>
          <w:p>
            <w:pPr>
              <w:ind w:left="2560"/>
              <w:spacing w:after="0" w:line="194" w:lineRule="exact"/>
              <w:rPr>
                <w:sz w:val="20"/>
                <w:szCs w:val="20"/>
                <w:color w:val="auto"/>
              </w:rPr>
            </w:pPr>
            <w:r>
              <w:rPr>
                <w:rFonts w:ascii="Times New Roman" w:cs="Times New Roman" w:eastAsia="Times New Roman" w:hAnsi="Times New Roman"/>
                <w:sz w:val="17"/>
                <w:szCs w:val="17"/>
                <w:color w:val="auto"/>
              </w:rPr>
              <w:t>Worldwide</w:t>
            </w:r>
          </w:p>
        </w:tc>
        <w:tc>
          <w:tcPr>
            <w:tcW w:w="940" w:type="dxa"/>
            <w:vAlign w:val="bottom"/>
          </w:tcPr>
          <w:p>
            <w:pPr>
              <w:jc w:val="right"/>
              <w:ind w:right="7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313,728</w:t>
            </w:r>
          </w:p>
        </w:tc>
        <w:tc>
          <w:tcPr>
            <w:tcW w:w="52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92,005</w:t>
            </w:r>
          </w:p>
        </w:tc>
        <w:tc>
          <w:tcPr>
            <w:tcW w:w="340" w:type="dxa"/>
            <w:vAlign w:val="bottom"/>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r>
      <w:tr>
        <w:trPr>
          <w:trHeight w:val="194"/>
        </w:trPr>
        <w:tc>
          <w:tcPr>
            <w:tcW w:w="3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UKONIQ</w:t>
            </w:r>
          </w:p>
        </w:tc>
        <w:tc>
          <w:tcPr>
            <w:tcW w:w="9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9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U.S.</w:t>
            </w:r>
          </w:p>
        </w:tc>
        <w:tc>
          <w:tcPr>
            <w:tcW w:w="94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2,633</w:t>
            </w:r>
          </w:p>
        </w:tc>
      </w:tr>
      <w:tr>
        <w:trPr>
          <w:trHeight w:val="202"/>
        </w:trPr>
        <w:tc>
          <w:tcPr>
            <w:tcW w:w="3980" w:type="dxa"/>
            <w:vAlign w:val="bottom"/>
            <w:tcBorders>
              <w:bottom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7"/>
                <w:szCs w:val="17"/>
                <w:color w:val="auto"/>
              </w:rPr>
              <w:t>International</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4"/>
        </w:trPr>
        <w:tc>
          <w:tcPr>
            <w:tcW w:w="3980" w:type="dxa"/>
            <w:vAlign w:val="bottom"/>
          </w:tcPr>
          <w:p>
            <w:pPr>
              <w:ind w:left="2560"/>
              <w:spacing w:after="0" w:line="194" w:lineRule="exact"/>
              <w:rPr>
                <w:sz w:val="20"/>
                <w:szCs w:val="20"/>
                <w:color w:val="auto"/>
              </w:rPr>
            </w:pPr>
            <w:r>
              <w:rPr>
                <w:rFonts w:ascii="Times New Roman" w:cs="Times New Roman" w:eastAsia="Times New Roman" w:hAnsi="Times New Roman"/>
                <w:sz w:val="17"/>
                <w:szCs w:val="17"/>
                <w:color w:val="auto"/>
              </w:rPr>
              <w:t>Worldwide</w:t>
            </w:r>
          </w:p>
        </w:tc>
        <w:tc>
          <w:tcPr>
            <w:tcW w:w="940" w:type="dxa"/>
            <w:vAlign w:val="bottom"/>
          </w:tcPr>
          <w:p>
            <w:pPr>
              <w:jc w:val="right"/>
              <w:ind w:right="7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2,633</w:t>
            </w:r>
          </w:p>
        </w:tc>
      </w:tr>
      <w:tr>
        <w:trPr>
          <w:trHeight w:val="194"/>
        </w:trPr>
        <w:tc>
          <w:tcPr>
            <w:tcW w:w="3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product revenue, net</w:t>
            </w:r>
          </w:p>
        </w:tc>
        <w:tc>
          <w:tcPr>
            <w:tcW w:w="9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9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U.S.</w:t>
            </w:r>
          </w:p>
        </w:tc>
        <w:tc>
          <w:tcPr>
            <w:tcW w:w="94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310,023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88,786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2,633</w:t>
            </w:r>
          </w:p>
        </w:tc>
      </w:tr>
      <w:tr>
        <w:trPr>
          <w:trHeight w:val="202"/>
        </w:trPr>
        <w:tc>
          <w:tcPr>
            <w:tcW w:w="3980" w:type="dxa"/>
            <w:vAlign w:val="bottom"/>
            <w:tcBorders>
              <w:bottom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7"/>
                <w:szCs w:val="17"/>
                <w:color w:val="auto"/>
              </w:rPr>
              <w:t>International</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4"/>
        </w:trPr>
        <w:tc>
          <w:tcPr>
            <w:tcW w:w="3980" w:type="dxa"/>
            <w:vAlign w:val="bottom"/>
          </w:tcPr>
          <w:p>
            <w:pPr>
              <w:ind w:left="2560"/>
              <w:spacing w:after="0" w:line="194" w:lineRule="exact"/>
              <w:rPr>
                <w:sz w:val="20"/>
                <w:szCs w:val="20"/>
                <w:color w:val="auto"/>
              </w:rPr>
            </w:pPr>
            <w:r>
              <w:rPr>
                <w:rFonts w:ascii="Times New Roman" w:cs="Times New Roman" w:eastAsia="Times New Roman" w:hAnsi="Times New Roman"/>
                <w:sz w:val="17"/>
                <w:szCs w:val="17"/>
                <w:color w:val="auto"/>
              </w:rPr>
              <w:t>Worldwide</w:t>
            </w:r>
          </w:p>
        </w:tc>
        <w:tc>
          <w:tcPr>
            <w:tcW w:w="940" w:type="dxa"/>
            <w:vAlign w:val="bottom"/>
          </w:tcPr>
          <w:p>
            <w:pPr>
              <w:jc w:val="right"/>
              <w:ind w:right="7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313,728</w:t>
            </w:r>
          </w:p>
        </w:tc>
        <w:tc>
          <w:tcPr>
            <w:tcW w:w="52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92,005</w:t>
            </w:r>
          </w:p>
        </w:tc>
        <w:tc>
          <w:tcPr>
            <w:tcW w:w="340" w:type="dxa"/>
            <w:vAlign w:val="bottom"/>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2,633</w:t>
            </w:r>
          </w:p>
        </w:tc>
      </w:tr>
      <w:tr>
        <w:trPr>
          <w:trHeight w:val="20"/>
        </w:trPr>
        <w:tc>
          <w:tcPr>
            <w:tcW w:w="3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right="160" w:firstLine="605"/>
        <w:spacing w:after="0" w:line="274" w:lineRule="auto"/>
        <w:rPr>
          <w:sz w:val="20"/>
          <w:szCs w:val="20"/>
          <w:color w:val="auto"/>
        </w:rPr>
      </w:pPr>
      <w:r>
        <w:rPr>
          <w:rFonts w:ascii="Times New Roman" w:cs="Times New Roman" w:eastAsia="Times New Roman" w:hAnsi="Times New Roman"/>
          <w:sz w:val="17"/>
          <w:szCs w:val="17"/>
          <w:color w:val="auto"/>
        </w:rPr>
        <w:t>We began shipping BRIUMVI to our U.S. customers in January 2023. We also began shipping BRIUMVI to our ex-U.S. licensing partner, Neuraxpharm, in November 2023. UKONIQ was voluntarily withdrawn from the U.S. market effective May 31, 2022.</w:t>
      </w:r>
    </w:p>
    <w:p>
      <w:pPr>
        <w:spacing w:after="0" w:line="159" w:lineRule="exact"/>
        <w:rPr>
          <w:sz w:val="20"/>
          <w:szCs w:val="20"/>
          <w:color w:val="auto"/>
        </w:rPr>
      </w:pPr>
    </w:p>
    <w:p>
      <w:pPr>
        <w:ind w:right="440" w:firstLine="605"/>
        <w:spacing w:after="0" w:line="307" w:lineRule="auto"/>
        <w:rPr>
          <w:sz w:val="20"/>
          <w:szCs w:val="20"/>
          <w:color w:val="auto"/>
        </w:rPr>
      </w:pPr>
      <w:r>
        <w:rPr>
          <w:rFonts w:ascii="Times New Roman" w:cs="Times New Roman" w:eastAsia="Times New Roman" w:hAnsi="Times New Roman"/>
          <w:sz w:val="16"/>
          <w:szCs w:val="16"/>
          <w:color w:val="auto"/>
        </w:rPr>
        <w:t>As of December 31, 2024 and 2023, approximately $32.0 million and $9.2 million, respectively, of gross-to-net accruals entirely related to U.S. sales of BRIUMVI have been recorded as a reduction of accounts receivable, net and within accounts payable and accrued expenses on the consolidated balance sheets.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u w:val="single" w:color="auto"/>
          <w:color w:val="auto"/>
        </w:rPr>
        <w:t>Neuraxpharm Commercialization Agreement</w:t>
      </w:r>
    </w:p>
    <w:p>
      <w:pPr>
        <w:spacing w:after="0" w:line="212"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On July 28, 2023, 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and excluding certain Asian countries subject to previously existing partnerships (the Territory). In addition, the Company will perform certain development and regulatory activities for Neuraxpharm to support its obligations under the Commercialization Agreement to secure and maintain the regulatory approvals required to sell BRIUMVI in the Territory. As part of the overall arrangement, the Company has agreed to supply BRIUMVI to Neuraxpharm throughout the term of the Commercialization Agreement.</w:t>
      </w:r>
    </w:p>
    <w:p>
      <w:pPr>
        <w:spacing w:after="0" w:line="176"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In consideration for entering the Commercialization Agreement, the Company received a non-refundable upfront payment of $140.0 million. The Company will also receive tiered double-digit royalties up to 30% on net product sales in the Territory and is eligible to receive sales-based or other milestone payments totaling up to $505.0 million.</w:t>
      </w:r>
    </w:p>
    <w:p>
      <w:pPr>
        <w:spacing w:after="0" w:line="169"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The Company evaluated the Commercialization Agreement under ASC 606 and concluded that Neuraxpharm represents a customer in the transaction. In accordance with this guidance, the Company identified the following commitments under the arrangement: (i) grant the exclusive right to develop, sell, offer to sell and import BRIUMVI in the Territory (the “License”); and (ii) perform certain development and regulatory activities (“Development and Regulatory Activities”).</w:t>
      </w:r>
    </w:p>
    <w:p>
      <w:pPr>
        <w:spacing w:after="0" w:line="169"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7"/>
          <w:szCs w:val="17"/>
          <w:color w:val="auto"/>
        </w:rPr>
        <w:t>The License to the Company’s intellectual property represents a distinct performance obligation, therefore, the $140.0 million non-refundable upfront payment related to this performance obligation was recognized as License Revenue in 2023.</w:t>
      </w:r>
    </w:p>
    <w:p>
      <w:pPr>
        <w:spacing w:after="0" w:line="159"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The Development and Regulatory Activities also represent a distinct performance obligation and are satisfied over time because Neuraxpharm simultaneously receives and consumes the benefits provided by the Company’s performance of the services. Therefore, revenue is recognized as the activities are completed by the Company. During 2024 the Company recognized Other Revenue of $1.8 million related to the Development and Regulatory Activities.</w:t>
      </w:r>
    </w:p>
    <w:p>
      <w:pPr>
        <w:spacing w:after="0" w:line="169"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of BRIUMVI by Neuraxpharm approximates the price that a customer in the Territory would be willing to pay for these goods.</w:t>
      </w:r>
    </w:p>
    <w:p>
      <w:pPr>
        <w:spacing w:after="0" w:line="169" w:lineRule="exact"/>
        <w:rPr>
          <w:sz w:val="20"/>
          <w:szCs w:val="20"/>
          <w:color w:val="auto"/>
        </w:rPr>
      </w:pPr>
    </w:p>
    <w:p>
      <w:pPr>
        <w:jc w:val="both"/>
        <w:ind w:left="20" w:firstLine="605"/>
        <w:spacing w:after="0" w:line="252" w:lineRule="auto"/>
        <w:rPr>
          <w:sz w:val="20"/>
          <w:szCs w:val="20"/>
          <w:color w:val="auto"/>
        </w:rPr>
      </w:pPr>
      <w:r>
        <w:rPr>
          <w:rFonts w:ascii="Times New Roman" w:cs="Times New Roman" w:eastAsia="Times New Roman" w:hAnsi="Times New Roman"/>
          <w:sz w:val="17"/>
          <w:szCs w:val="17"/>
          <w:color w:val="auto"/>
        </w:rPr>
        <w:t>The performance obligation related to the Supply of Licensed Product is satisfied when control of the product passes to Neuraxpharm. The consideration received from Neuraxpharm for the supply of BRIUMVI is recognized by the Company as a component of product revenue, net. As of December 31, 2024, the Company has an unconditional right to receive $1.5 million in consideration from Neuraxpharm related to the performance obligation to supply BRIUMVI, which is recorded as accounts receivable, net. A portion of the performance obligation to supply BRIUMVI has not yet been satisfied, therefore, as of December 31, 2024, $23.5 million has been recorded as deferred revenue. During 2024 the Company recognized $3.7 million in BRIUMVI product sales, net related to performance obligations that were satisfied during the year ended December 31, 2024. The Company will reevaluate the consideration received, and performance obligations satisfied at the end of each reporting period. Such reevaluations may result in a change to the amount of product revenue, net, recognized and deferred revenue.</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remaining forms of consideration are variable because they are dependent on the achievement of sales-based or other milestones. The Company evaluated the constraint on variable consideration and concluded that the milestone payments are highly dependent on factors outside of the Company’s control.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milestones will be recognized as revenue immediately in the period the achievement of the underlying milestone is probable. In 2024, the Company received a $12.5 million milestone payment for the first key market commercial launch of BRIUMVI in the EU. Any consideration related to sales-based royalties will be recognized when the related sales occur. For the period ended December 31, 2024, the Company recognized royalty revenue of $0.8 million.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78740</wp:posOffset>
            </wp:positionV>
            <wp:extent cx="714121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sectPr>
      </w:pPr>
    </w:p>
    <w:bookmarkStart w:id="114" w:name="page115"/>
    <w:bookmarkEnd w:id="114"/>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NOTE 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INVESTMENT SECURITIES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short-term investments as of December 31, 2024 and 2023 are classified as held-to-maturity. Held-to-maturity investments are recorded at amortized</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summarize our investment securities at December 31, 2024 and 2023:</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7"/>
                <w:szCs w:val="17"/>
                <w:b w:val="1"/>
                <w:bCs w:val="1"/>
                <w:color w:val="auto"/>
                <w:w w:val="98"/>
              </w:rPr>
              <w:t>Amortized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6"/>
              <w:spacing w:after="0" w:line="174"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cost,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9"/>
              </w:rPr>
              <w:t>unrealized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unrealized</w:t>
            </w:r>
          </w:p>
        </w:tc>
        <w:tc>
          <w:tcPr>
            <w:tcW w:w="16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9"/>
              </w:rPr>
              <w:t>holding gains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holding losses</w:t>
            </w:r>
          </w:p>
        </w:tc>
        <w:tc>
          <w:tcPr>
            <w:tcW w:w="16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194"/>
        </w:trPr>
        <w:tc>
          <w:tcPr>
            <w:tcW w:w="5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Short-term investments:</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Obligations of domestic governmental agencies (maturing between January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131,106</w:t>
            </w:r>
          </w:p>
        </w:tc>
        <w:tc>
          <w:tcPr>
            <w:tcW w:w="100" w:type="dxa"/>
            <w:vAlign w:val="bottom"/>
            <w:vMerge w:val="restart"/>
          </w:tcPr>
          <w:p>
            <w:pPr>
              <w:spacing w:after="0"/>
              <w:rPr>
                <w:sz w:val="16"/>
                <w:szCs w:val="16"/>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131,170</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2025 and December 2025) (held-to-maturity)</w:t>
            </w:r>
          </w:p>
        </w:tc>
        <w:tc>
          <w:tcPr>
            <w:tcW w:w="1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7"/>
                <w:szCs w:val="17"/>
                <w:color w:val="auto"/>
              </w:rPr>
              <w:t>Total short-term investment securities</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131,106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64</w:t>
            </w:r>
          </w:p>
        </w:tc>
        <w:tc>
          <w:tcPr>
            <w:tcW w:w="34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ind w:left="9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131,170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7"/>
                <w:szCs w:val="17"/>
                <w:b w:val="1"/>
                <w:bCs w:val="1"/>
                <w:color w:val="auto"/>
                <w:w w:val="98"/>
              </w:rPr>
              <w:t>Amortized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6"/>
              <w:spacing w:after="0" w:line="174"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cost,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9"/>
              </w:rPr>
              <w:t>unrealized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unrealized</w:t>
            </w:r>
          </w:p>
        </w:tc>
        <w:tc>
          <w:tcPr>
            <w:tcW w:w="16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9"/>
              </w:rPr>
              <w:t>holding gains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holding losses</w:t>
            </w:r>
          </w:p>
        </w:tc>
        <w:tc>
          <w:tcPr>
            <w:tcW w:w="16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19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Obligations of domestic governmental agencies (maturing between January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124,575</w:t>
            </w:r>
          </w:p>
        </w:tc>
        <w:tc>
          <w:tcPr>
            <w:tcW w:w="100" w:type="dxa"/>
            <w:vAlign w:val="bottom"/>
            <w:vMerge w:val="restart"/>
          </w:tcPr>
          <w:p>
            <w:pPr>
              <w:spacing w:after="0"/>
              <w:rPr>
                <w:sz w:val="16"/>
                <w:szCs w:val="16"/>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auto"/>
              </w:rPr>
              <w:t>53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124,552</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2023 and December 2023) (held-to-maturity)</w:t>
            </w:r>
          </w:p>
        </w:tc>
        <w:tc>
          <w:tcPr>
            <w:tcW w:w="1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7"/>
                <w:szCs w:val="17"/>
                <w:color w:val="auto"/>
              </w:rPr>
              <w:t>Total short-term and long-term investment securities</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124,575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w:t>
            </w:r>
          </w:p>
        </w:tc>
        <w:tc>
          <w:tcPr>
            <w:tcW w:w="34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ind w:left="980"/>
              <w:spacing w:after="0" w:line="194" w:lineRule="exact"/>
              <w:rPr>
                <w:sz w:val="20"/>
                <w:szCs w:val="20"/>
                <w:color w:val="auto"/>
              </w:rPr>
            </w:pPr>
            <w:r>
              <w:rPr>
                <w:rFonts w:ascii="Times New Roman" w:cs="Times New Roman" w:eastAsia="Times New Roman" w:hAnsi="Times New Roman"/>
                <w:sz w:val="17"/>
                <w:szCs w:val="17"/>
                <w:color w:val="auto"/>
              </w:rPr>
              <w:t>53</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124,552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Our long-term investments as of December 31, 2024 include shares of common stock of Precision. The fair market value of the equity securities as of December 31, 2024 was $0.4 million. For the year ended December 31, 2024, we recorded unrealized losses of $0.8 million based on the change in fair value of Precision’s common stock during the period. See Note </w:t>
      </w:r>
      <w:r>
        <w:rPr>
          <w:rFonts w:ascii="Times New Roman" w:cs="Times New Roman" w:eastAsia="Times New Roman" w:hAnsi="Times New Roman"/>
          <w:sz w:val="17"/>
          <w:szCs w:val="17"/>
          <w:i w:val="1"/>
          <w:iCs w:val="1"/>
          <w:color w:val="auto"/>
        </w:rPr>
        <w:t>5</w:t>
      </w:r>
      <w:r>
        <w:rPr>
          <w:rFonts w:ascii="Times New Roman" w:cs="Times New Roman" w:eastAsia="Times New Roman" w:hAnsi="Times New Roman"/>
          <w:sz w:val="17"/>
          <w:szCs w:val="17"/>
          <w:color w:val="auto"/>
        </w:rPr>
        <w:t xml:space="preserve"> for further details.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5" w:name="page116"/>
    <w:bookmarkEnd w:id="115"/>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NOTE 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INVENTORY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inventory as of December 31, 2024 (in thousands):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8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28,151</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68,369</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31,242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13,938</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Inventory</w:t>
            </w: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110,458</w:t>
            </w:r>
          </w:p>
        </w:tc>
        <w:tc>
          <w:tcPr>
            <w:tcW w:w="180" w:type="dxa"/>
            <w:vAlign w:val="bottom"/>
          </w:tcPr>
          <w:p>
            <w:pPr>
              <w:spacing w:after="0"/>
              <w:rPr>
                <w:sz w:val="16"/>
                <w:szCs w:val="16"/>
                <w:color w:val="auto"/>
              </w:rPr>
            </w:pPr>
          </w:p>
        </w:tc>
        <w:tc>
          <w:tcPr>
            <w:tcW w:w="5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39,823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expense when consumed.</w:t>
      </w:r>
    </w:p>
    <w:p>
      <w:pPr>
        <w:spacing w:after="0" w:line="169"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At December 31,2024, all our inventory was solely related to BRIUMVI, which was approved by the FDA on December 28, 2022, at which time we began to capitalize costs to manufacture BRIUMVI. Prior to FDA approval of BRIUMVI, all costs related to the manufacturing of BRIUMVI and related material were charged to research and development expense in the period incurred.</w:t>
      </w:r>
    </w:p>
    <w:p>
      <w:pPr>
        <w:spacing w:after="0" w:line="169" w:lineRule="exact"/>
        <w:rPr>
          <w:sz w:val="20"/>
          <w:szCs w:val="20"/>
          <w:color w:val="auto"/>
        </w:rPr>
      </w:pPr>
    </w:p>
    <w:p>
      <w:pPr>
        <w:jc w:val="both"/>
        <w:ind w:left="20" w:firstLine="605"/>
        <w:spacing w:after="0" w:line="254" w:lineRule="auto"/>
        <w:rPr>
          <w:sz w:val="20"/>
          <w:szCs w:val="20"/>
          <w:color w:val="auto"/>
        </w:rPr>
      </w:pPr>
      <w:r>
        <w:rPr>
          <w:rFonts w:ascii="Times New Roman" w:cs="Times New Roman" w:eastAsia="Times New Roman" w:hAnsi="Times New Roman"/>
          <w:sz w:val="17"/>
          <w:szCs w:val="17"/>
          <w:color w:val="auto"/>
        </w:rPr>
        <w:t>The work in process materials consist primarily of bulk drug substance, which has a multi-year shelf life. When the bulk drug substance is manufactured into BRIUMVI finished goods, those finished goods have a shelf life of three years from the date of manufacture. Our expectation is to sell finished goods at least twelve months prior to expiration. Due to our long manufacturing lead time, it was necessary to buildup inventory in support of BRIUMVI forecasted sales, to ensure appropriate safety stock levels, and meet our commitment to supply BRIUMVI to Neuraxpharm related to the Commercialization Agreement. As a result of BRIUMVI being in the early stages of commercial launch, we continue to evaluate the length of our normal operating cycle.</w:t>
      </w:r>
    </w:p>
    <w:p>
      <w:pPr>
        <w:spacing w:after="0" w:line="176"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On a quarterly basis, the Company analyzes our inventory levels for excess quantities and obsolescence (expiration), taking into account factors such as historical and anticipated future sales compared to quantities on hand and the remaining shelf-life. At December 31, 2024, we determined that a reserve related to BRIUMVI inventory for excess quantities and obsolescence is not required. In addition, since FDA approval of BRIUMVI, the Company has not recorded any inventory write downs.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NOTE 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FAIR VALUE MEASUREMENTS</w:t>
      </w:r>
    </w:p>
    <w:p>
      <w:pPr>
        <w:spacing w:after="0" w:line="212"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69" w:lineRule="exact"/>
        <w:rPr>
          <w:sz w:val="20"/>
          <w:szCs w:val="20"/>
          <w:color w:val="auto"/>
        </w:rPr>
      </w:pPr>
    </w:p>
    <w:p>
      <w:pPr>
        <w:ind w:left="920" w:hanging="294"/>
        <w:spacing w:after="0"/>
        <w:tabs>
          <w:tab w:leader="none" w:pos="9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in active markets for identical assets and liabilities;</w:t>
      </w:r>
    </w:p>
    <w:p>
      <w:pPr>
        <w:spacing w:after="0" w:line="207" w:lineRule="exact"/>
        <w:rPr>
          <w:rFonts w:ascii="Times New Roman" w:cs="Times New Roman" w:eastAsia="Times New Roman" w:hAnsi="Times New Roman"/>
          <w:sz w:val="17"/>
          <w:szCs w:val="17"/>
          <w:color w:val="auto"/>
        </w:rPr>
      </w:pPr>
    </w:p>
    <w:p>
      <w:pPr>
        <w:ind w:left="920" w:hanging="294"/>
        <w:spacing w:after="0"/>
        <w:tabs>
          <w:tab w:leader="none" w:pos="9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Level 1 quoted prices that are directly or indirectly observable; and</w:t>
      </w:r>
    </w:p>
    <w:p>
      <w:pPr>
        <w:spacing w:after="0" w:line="207" w:lineRule="exact"/>
        <w:rPr>
          <w:rFonts w:ascii="Times New Roman" w:cs="Times New Roman" w:eastAsia="Times New Roman" w:hAnsi="Times New Roman"/>
          <w:sz w:val="17"/>
          <w:szCs w:val="17"/>
          <w:color w:val="auto"/>
        </w:rPr>
      </w:pPr>
    </w:p>
    <w:p>
      <w:pPr>
        <w:ind w:left="920" w:hanging="294"/>
        <w:spacing w:after="0"/>
        <w:tabs>
          <w:tab w:leader="none" w:pos="9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that are not corroborated by market data.</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Equity Investments and Forward Contract Liabilities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7, 2024, (the Precision Effective Date) the Company and its wholly-owned subsidiary, TG Cell Therapy, Inc., (TG Cell) entered into a License Agreement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Pursuant to the Precision License Agreement, the Company made an upfront payment to Precision of $7.5 million, consisting of (i) $5.25 million in cash and</w:t>
      </w:r>
    </w:p>
    <w:p>
      <w:pPr>
        <w:spacing w:after="0" w:line="34" w:lineRule="exact"/>
        <w:rPr>
          <w:sz w:val="20"/>
          <w:szCs w:val="20"/>
          <w:color w:val="auto"/>
        </w:rPr>
      </w:pPr>
    </w:p>
    <w:p>
      <w:pPr>
        <w:jc w:val="both"/>
        <w:ind w:firstLine="4"/>
        <w:spacing w:after="0" w:line="250" w:lineRule="auto"/>
        <w:tabs>
          <w:tab w:leader="none" w:pos="24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had a 30-to-1 reverse stock split in February 2024. The shares purchased with the Upfront Precision Stock Payment are classified as an equity investment and are recognized at fair market value as of December 31, 2024.</w:t>
      </w:r>
    </w:p>
    <w:p>
      <w:pPr>
        <w:spacing w:after="0" w:line="17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Within 12 months following the Precision Effective Date, the Company will make a one-time payment to Precision equal to $2.5 million (the Deferred Precision Stock Payment). Upon receipt of such payment, Precision shall issue to the Company the number of shares of Precision common stock (the Precision Shares) (rounded down to the nearest whole share) obtained by dividing the Deferred Precision Stock Payment by 200% of the weighted average share price of the Precision common stock (the Precision Share Price) for the thirty (30) trading days preceding the date on which Precision receives the payment. The Deferred Precision Stock Payment was recorded to research and development License Fees as part of the cost of the Precision License Agreement, and is classified as a forward contract liability recognized at fair market value in Other Current Liabilities as of December 31, 2024, in accordance with ASC 321.</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Upon the achievement of a clinical and regulatory milestone event (Milestone Event 1), the Company will make a one-time payment to Precision equal to $2.3 million (the Milestone 1 Precision Stock Payment). Upon receipt of such payment, Precision shall issue to the Company the Precision Shares (rounded down to the nearest whole share) obtained by dividing the Milestone 1 Precision Stock Payment by 200% of the weighted average share price of the Precision common stock (the Precision Share Price) for the thirty (30) trading days preceding the achievement of Milestone Event 1. The Milestone 1 Precision Stock Payment was recorded to research and development License Fees as part of the cost of the Precision License Agreement, and is classified as a forward contract liability recognized at fair market value in Other Current Liabilities as of December 31, 2024, in accordance with ASC 321.</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5% Notes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7" w:name="page118"/>
    <w:bookmarkEnd w:id="117"/>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Company’s financial instruments include cash, cash equivalents consisting of money market funds, accounts receivable, accounts payable and loan payable. As of December 31, 2024 and December 31, 2023,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provide the fair value measurements of applicable financial assets and liabilities as of December 31, 2024 and 2023:</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9"/>
              </w:rPr>
              <w:t>Financial liabilities at fair value as of December 31, 2024</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Equity Investments</w:t>
            </w:r>
          </w:p>
        </w:tc>
        <w:tc>
          <w:tcPr>
            <w:tcW w:w="1560" w:type="dxa"/>
            <w:vAlign w:val="bottom"/>
          </w:tcPr>
          <w:p>
            <w:pPr>
              <w:spacing w:after="0"/>
              <w:rPr>
                <w:sz w:val="17"/>
                <w:szCs w:val="17"/>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Assets</w:t>
            </w:r>
          </w:p>
        </w:tc>
        <w:tc>
          <w:tcPr>
            <w:tcW w:w="1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Forward Contract Liabilities</w:t>
            </w:r>
          </w:p>
        </w:tc>
        <w:tc>
          <w:tcPr>
            <w:tcW w:w="1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5% Notes</w:t>
            </w:r>
          </w:p>
        </w:tc>
        <w:tc>
          <w:tcPr>
            <w:tcW w:w="1560" w:type="dxa"/>
            <w:vAlign w:val="bottom"/>
          </w:tcPr>
          <w:p>
            <w:pPr>
              <w:spacing w:after="0"/>
              <w:rPr>
                <w:sz w:val="17"/>
                <w:szCs w:val="17"/>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3,129</w:t>
            </w:r>
          </w:p>
        </w:tc>
        <w:tc>
          <w:tcPr>
            <w:tcW w:w="360" w:type="dxa"/>
            <w:vAlign w:val="bottom"/>
            <w:gridSpan w:val="2"/>
            <w:shd w:val="clear" w:color="auto" w:fill="CCEEFF"/>
          </w:tcPr>
          <w:p>
            <w:pPr>
              <w:jc w:val="right"/>
              <w:ind w:right="1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661</w:t>
            </w:r>
          </w:p>
        </w:tc>
        <w:tc>
          <w:tcPr>
            <w:tcW w:w="520" w:type="dxa"/>
            <w:vAlign w:val="bottom"/>
            <w:gridSpan w:val="2"/>
            <w:shd w:val="clear" w:color="auto" w:fill="CCEEFF"/>
          </w:tcPr>
          <w:p>
            <w:pPr>
              <w:jc w:val="right"/>
              <w:ind w:right="3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3,790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9"/>
              </w:rPr>
              <w:t>Financial liabilities at fair value as of December 31, 2023</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2540" w:type="dxa"/>
            <w:vAlign w:val="bottom"/>
            <w:gridSpan w:val="2"/>
            <w:shd w:val="clear" w:color="auto" w:fill="CCEEFF"/>
          </w:tcPr>
          <w:p>
            <w:pPr>
              <w:spacing w:after="0"/>
              <w:rPr>
                <w:sz w:val="16"/>
                <w:szCs w:val="16"/>
                <w:color w:val="auto"/>
              </w:rPr>
            </w:pPr>
          </w:p>
        </w:tc>
        <w:tc>
          <w:tcPr>
            <w:tcW w:w="500" w:type="dxa"/>
            <w:vAlign w:val="bottom"/>
            <w:gridSpan w:val="2"/>
            <w:shd w:val="clear" w:color="auto" w:fill="CCEEFF"/>
          </w:tcPr>
          <w:p>
            <w:pPr>
              <w:spacing w:after="0"/>
              <w:rPr>
                <w:sz w:val="16"/>
                <w:szCs w:val="16"/>
                <w:color w:val="auto"/>
              </w:rPr>
            </w:pPr>
          </w:p>
        </w:tc>
        <w:tc>
          <w:tcPr>
            <w:tcW w:w="380" w:type="dxa"/>
            <w:vAlign w:val="bottom"/>
            <w:gridSpan w:val="2"/>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360" w:type="dxa"/>
            <w:vAlign w:val="bottom"/>
            <w:gridSpan w:val="2"/>
            <w:shd w:val="clear" w:color="auto" w:fill="CCEEFF"/>
          </w:tcPr>
          <w:p>
            <w:pPr>
              <w:spacing w:after="0"/>
              <w:rPr>
                <w:sz w:val="16"/>
                <w:szCs w:val="16"/>
                <w:color w:val="auto"/>
              </w:rPr>
            </w:pPr>
          </w:p>
        </w:tc>
        <w:tc>
          <w:tcPr>
            <w:tcW w:w="1200" w:type="dxa"/>
            <w:vAlign w:val="bottom"/>
            <w:gridSpan w:val="2"/>
            <w:shd w:val="clear" w:color="auto" w:fill="CCEEFF"/>
          </w:tcPr>
          <w:p>
            <w:pPr>
              <w:spacing w:after="0"/>
              <w:rPr>
                <w:sz w:val="16"/>
                <w:szCs w:val="16"/>
                <w:color w:val="auto"/>
              </w:rPr>
            </w:pPr>
          </w:p>
        </w:tc>
        <w:tc>
          <w:tcPr>
            <w:tcW w:w="520" w:type="dxa"/>
            <w:vAlign w:val="bottom"/>
            <w:gridSpan w:val="2"/>
            <w:shd w:val="clear" w:color="auto" w:fill="CCEEFF"/>
          </w:tcPr>
          <w:p>
            <w:pPr>
              <w:spacing w:after="0"/>
              <w:rPr>
                <w:sz w:val="16"/>
                <w:szCs w:val="16"/>
                <w:color w:val="auto"/>
              </w:rPr>
            </w:pPr>
          </w:p>
        </w:tc>
        <w:tc>
          <w:tcPr>
            <w:tcW w:w="10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5% Notes</w:t>
            </w:r>
          </w:p>
        </w:tc>
        <w:tc>
          <w:tcPr>
            <w:tcW w:w="1560" w:type="dxa"/>
            <w:vAlign w:val="bottom"/>
          </w:tcPr>
          <w:p>
            <w:pPr>
              <w:spacing w:after="0"/>
              <w:rPr>
                <w:sz w:val="17"/>
                <w:szCs w:val="17"/>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357</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1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357</w:t>
            </w:r>
          </w:p>
        </w:tc>
        <w:tc>
          <w:tcPr>
            <w:tcW w:w="520" w:type="dxa"/>
            <w:vAlign w:val="bottom"/>
            <w:gridSpan w:val="2"/>
            <w:shd w:val="clear" w:color="auto" w:fill="CCEEFF"/>
          </w:tcPr>
          <w:p>
            <w:pPr>
              <w:jc w:val="right"/>
              <w:ind w:right="3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equity investments classified as Level 1 were valued using their respective closing stock price on the Nasdaq Stock Market. We did not experience any transfers of financial instruments between the fair value hierarchy levels during the year ended December 31, 2024. Our forward contract liabilities classified as Level 2 were valued using Precision's closing stock price on the Nasdaq Stock Market. Our Level 3 instrument amounts represent the fair value of the 5% Notes and related accrued interest.</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change in the fair value of the Level 1 assets and Level 2 and Level 3 liabilities is reported in other (income) expense in the accompanying consolidated statements of operations.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8" w:name="page119"/>
    <w:bookmarkEnd w:id="11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NOTE 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12"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The TG Therapeutics, Inc. Amended and Restated 2012 Incentive Plan (the 2012 Incentive Plan) was approved by stockholders in June 2020. As of December 31, 2024, 3,803,752 shares of restricted stock and 2,202,716 options were outstanding, and no additional shares were available to be issued under the 2012 Incentive Plan.</w:t>
      </w:r>
    </w:p>
    <w:p>
      <w:pPr>
        <w:spacing w:after="0" w:line="169"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The TG Therapeutics, Inc. 2022 Incentive Plan (the 2022 Incentive Plan) was approved by stockholders in June 2022 with 17,000,000 shares available to be issued. As of December 31, 2024, 8,039,834 shares of restricted stock and 2,267,500 options were outstanding, and up to an additional 4,238,185 shares were available to be issued under the 2022 Incentive Plan.</w:t>
      </w:r>
    </w:p>
    <w:p>
      <w:pPr>
        <w:spacing w:after="0" w:line="169" w:lineRule="exact"/>
        <w:rPr>
          <w:sz w:val="20"/>
          <w:szCs w:val="20"/>
          <w:color w:val="auto"/>
        </w:rPr>
      </w:pPr>
    </w:p>
    <w:p>
      <w:pPr>
        <w:jc w:val="both"/>
        <w:ind w:left="20" w:firstLine="605"/>
        <w:spacing w:after="0" w:line="252" w:lineRule="auto"/>
        <w:rPr>
          <w:sz w:val="20"/>
          <w:szCs w:val="20"/>
          <w:color w:val="auto"/>
        </w:rPr>
      </w:pPr>
      <w:r>
        <w:rPr>
          <w:rFonts w:ascii="Times New Roman" w:cs="Times New Roman" w:eastAsia="Times New Roman" w:hAnsi="Times New Roman"/>
          <w:sz w:val="17"/>
          <w:szCs w:val="17"/>
          <w:color w:val="auto"/>
        </w:rPr>
        <w:t>During July of 2024, the Company identified an error related to the expense recognition of a single restricted stock award granted in 2021. The impact of the error was an understatement of non-cash compensation expense (SG&amp;A) in the years ended December 31, 2022, and 2021 and a corresponding understatement of additional paid in capital (APIC). The Company has concluded the error did not result in a material misstatement of the Company’s previously issued consolidated financial statements. The cumulative impact of the error has been corrected as an immaterial correction of the December 31, 2023 consolidated balance sheet by increasing accumulated deficit and APIC by approximately $38.2 million. In addition, the consolidated statement of operations for the year ended December 31, 2022 has been revised to reflect the immaterial correction by increasing noncash compensation (selling, general and administrative) by $25.5 million and basic and diluted net loss per common share increased from ($1.46) to ($1.65).</w:t>
      </w:r>
    </w:p>
    <w:p>
      <w:pPr>
        <w:spacing w:after="0" w:line="177" w:lineRule="exact"/>
        <w:rPr>
          <w:sz w:val="20"/>
          <w:szCs w:val="20"/>
          <w:color w:val="auto"/>
        </w:rPr>
      </w:pPr>
    </w:p>
    <w:p>
      <w:pPr>
        <w:jc w:val="both"/>
        <w:ind w:left="20" w:firstLine="605"/>
        <w:spacing w:after="0" w:line="261" w:lineRule="auto"/>
        <w:rPr>
          <w:sz w:val="20"/>
          <w:szCs w:val="20"/>
          <w:color w:val="auto"/>
        </w:rPr>
      </w:pPr>
      <w:r>
        <w:rPr>
          <w:rFonts w:ascii="Times New Roman" w:cs="Times New Roman" w:eastAsia="Times New Roman" w:hAnsi="Times New Roman"/>
          <w:sz w:val="17"/>
          <w:szCs w:val="17"/>
          <w:color w:val="auto"/>
        </w:rPr>
        <w:t>Total stock-based compensation expense included in the consolidated statements of operations was $42.5 million, $37.9 million and $44.6 million during the years ended December 31, 2024, 2023 and 2022, respectively. The $42.5 million and $37.9 million are net of $3.8 million and $2.9 million of stock-based compensation expense that was capitalized into inventory during the year ended December 31, 2024 and 2023,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Restricted Stock</w:t>
      </w:r>
    </w:p>
    <w:p>
      <w:pPr>
        <w:spacing w:after="0" w:line="208" w:lineRule="exact"/>
        <w:rPr>
          <w:sz w:val="20"/>
          <w:szCs w:val="20"/>
          <w:color w:val="auto"/>
        </w:rPr>
      </w:pPr>
    </w:p>
    <w:p>
      <w:pPr>
        <w:ind w:left="160" w:firstLine="605"/>
        <w:spacing w:after="0" w:line="274" w:lineRule="auto"/>
        <w:rPr>
          <w:sz w:val="20"/>
          <w:szCs w:val="20"/>
          <w:color w:val="auto"/>
        </w:rPr>
      </w:pPr>
      <w:r>
        <w:rPr>
          <w:rFonts w:ascii="Times New Roman" w:cs="Times New Roman" w:eastAsia="Times New Roman" w:hAnsi="Times New Roman"/>
          <w:sz w:val="17"/>
          <w:szCs w:val="17"/>
          <w:color w:val="auto"/>
        </w:rPr>
        <w:t>Certain employees, directors and consultants have been awarded restricted stock. The vesting terms associated with restricted stock may include service, performance, or market conditions. The following table summarizes restricted share activity for the years ended December 31, 2024, 2023 and 2022:</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Weighted-average</w:t>
            </w:r>
          </w:p>
        </w:tc>
        <w:tc>
          <w:tcPr>
            <w:tcW w:w="2240" w:type="dxa"/>
            <w:vAlign w:val="bottom"/>
          </w:tcPr>
          <w:p>
            <w:pPr>
              <w:spacing w:after="0"/>
              <w:rPr>
                <w:sz w:val="17"/>
                <w:szCs w:val="17"/>
                <w:color w:val="auto"/>
              </w:rPr>
            </w:pPr>
          </w:p>
        </w:tc>
      </w:tr>
      <w:tr>
        <w:trPr>
          <w:trHeight w:val="202"/>
        </w:trPr>
        <w:tc>
          <w:tcPr>
            <w:tcW w:w="3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grant date fair</w:t>
            </w:r>
          </w:p>
        </w:tc>
        <w:tc>
          <w:tcPr>
            <w:tcW w:w="2240" w:type="dxa"/>
            <w:vAlign w:val="bottom"/>
          </w:tcPr>
          <w:p>
            <w:pPr>
              <w:spacing w:after="0"/>
              <w:rPr>
                <w:sz w:val="17"/>
                <w:szCs w:val="17"/>
                <w:color w:val="auto"/>
              </w:rPr>
            </w:pPr>
          </w:p>
        </w:tc>
      </w:tr>
      <w:tr>
        <w:trPr>
          <w:trHeight w:val="222"/>
        </w:trPr>
        <w:tc>
          <w:tcPr>
            <w:tcW w:w="3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19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 2022</w:t>
            </w:r>
          </w:p>
        </w:tc>
        <w:tc>
          <w:tcPr>
            <w:tcW w:w="3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12,032,040</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18.67</w:t>
            </w:r>
          </w:p>
        </w:tc>
        <w:tc>
          <w:tcPr>
            <w:tcW w:w="2240" w:type="dxa"/>
            <w:vAlign w:val="bottom"/>
          </w:tcPr>
          <w:p>
            <w:pPr>
              <w:spacing w:after="0"/>
              <w:rPr>
                <w:sz w:val="16"/>
                <w:szCs w:val="16"/>
                <w:color w:val="auto"/>
              </w:rPr>
            </w:pP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34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5,179,201</w:t>
            </w:r>
          </w:p>
        </w:tc>
        <w:tc>
          <w:tcPr>
            <w:tcW w:w="1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12.75</w:t>
            </w:r>
          </w:p>
        </w:tc>
        <w:tc>
          <w:tcPr>
            <w:tcW w:w="2240" w:type="dxa"/>
            <w:vAlign w:val="bottom"/>
          </w:tcPr>
          <w:p>
            <w:pPr>
              <w:spacing w:after="0"/>
              <w:rPr>
                <w:sz w:val="17"/>
                <w:szCs w:val="17"/>
                <w:color w:val="auto"/>
              </w:rPr>
            </w:pPr>
          </w:p>
        </w:tc>
      </w:tr>
      <w:tr>
        <w:trPr>
          <w:trHeight w:val="20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3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(6,291,999)</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11.28</w:t>
            </w:r>
          </w:p>
        </w:tc>
        <w:tc>
          <w:tcPr>
            <w:tcW w:w="2240" w:type="dxa"/>
            <w:vAlign w:val="bottom"/>
          </w:tcPr>
          <w:p>
            <w:pPr>
              <w:spacing w:after="0"/>
              <w:rPr>
                <w:sz w:val="17"/>
                <w:szCs w:val="17"/>
                <w:color w:val="auto"/>
              </w:rPr>
            </w:pP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78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(2,186,956)</w:t>
            </w:r>
          </w:p>
        </w:tc>
        <w:tc>
          <w:tcPr>
            <w:tcW w:w="1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22.44</w:t>
            </w:r>
          </w:p>
        </w:tc>
        <w:tc>
          <w:tcPr>
            <w:tcW w:w="2240" w:type="dxa"/>
            <w:vAlign w:val="bottom"/>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4"/>
        </w:trPr>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December 31, 2022</w:t>
            </w:r>
          </w:p>
        </w:tc>
        <w:tc>
          <w:tcPr>
            <w:tcW w:w="17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8,732,286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16.12</w:t>
            </w:r>
          </w:p>
        </w:tc>
        <w:tc>
          <w:tcPr>
            <w:tcW w:w="2240" w:type="dxa"/>
            <w:vAlign w:val="bottom"/>
          </w:tcPr>
          <w:p>
            <w:pPr>
              <w:spacing w:after="0"/>
              <w:rPr>
                <w:sz w:val="16"/>
                <w:szCs w:val="16"/>
                <w:color w:val="auto"/>
              </w:rPr>
            </w:pP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34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3,620,237</w:t>
            </w:r>
          </w:p>
        </w:tc>
        <w:tc>
          <w:tcPr>
            <w:tcW w:w="1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13.77</w:t>
            </w:r>
          </w:p>
        </w:tc>
        <w:tc>
          <w:tcPr>
            <w:tcW w:w="2240" w:type="dxa"/>
            <w:vAlign w:val="bottom"/>
          </w:tcPr>
          <w:p>
            <w:pPr>
              <w:spacing w:after="0"/>
              <w:rPr>
                <w:sz w:val="17"/>
                <w:szCs w:val="17"/>
                <w:color w:val="auto"/>
              </w:rPr>
            </w:pPr>
          </w:p>
        </w:tc>
      </w:tr>
      <w:tr>
        <w:trPr>
          <w:trHeight w:val="20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3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(2,500,263)</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11.98</w:t>
            </w:r>
          </w:p>
        </w:tc>
        <w:tc>
          <w:tcPr>
            <w:tcW w:w="2240" w:type="dxa"/>
            <w:vAlign w:val="bottom"/>
          </w:tcPr>
          <w:p>
            <w:pPr>
              <w:spacing w:after="0"/>
              <w:rPr>
                <w:sz w:val="17"/>
                <w:szCs w:val="17"/>
                <w:color w:val="auto"/>
              </w:rPr>
            </w:pP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78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(213,192)</w:t>
            </w:r>
          </w:p>
        </w:tc>
        <w:tc>
          <w:tcPr>
            <w:tcW w:w="1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12.14</w:t>
            </w:r>
          </w:p>
        </w:tc>
        <w:tc>
          <w:tcPr>
            <w:tcW w:w="2240" w:type="dxa"/>
            <w:vAlign w:val="bottom"/>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4"/>
        </w:trPr>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December 31, 2023</w:t>
            </w:r>
          </w:p>
        </w:tc>
        <w:tc>
          <w:tcPr>
            <w:tcW w:w="17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9,639,068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17.05</w:t>
            </w:r>
          </w:p>
        </w:tc>
        <w:tc>
          <w:tcPr>
            <w:tcW w:w="2240" w:type="dxa"/>
            <w:vAlign w:val="bottom"/>
          </w:tcPr>
          <w:p>
            <w:pPr>
              <w:spacing w:after="0"/>
              <w:rPr>
                <w:sz w:val="16"/>
                <w:szCs w:val="16"/>
                <w:color w:val="auto"/>
              </w:rPr>
            </w:pP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34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4,751,729</w:t>
            </w:r>
          </w:p>
        </w:tc>
        <w:tc>
          <w:tcPr>
            <w:tcW w:w="1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18.27</w:t>
            </w:r>
          </w:p>
        </w:tc>
        <w:tc>
          <w:tcPr>
            <w:tcW w:w="2240" w:type="dxa"/>
            <w:vAlign w:val="bottom"/>
          </w:tcPr>
          <w:p>
            <w:pPr>
              <w:spacing w:after="0"/>
              <w:rPr>
                <w:sz w:val="17"/>
                <w:szCs w:val="17"/>
                <w:color w:val="auto"/>
              </w:rPr>
            </w:pPr>
          </w:p>
        </w:tc>
      </w:tr>
      <w:tr>
        <w:trPr>
          <w:trHeight w:val="20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3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(2,252,438)</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14.78</w:t>
            </w:r>
          </w:p>
        </w:tc>
        <w:tc>
          <w:tcPr>
            <w:tcW w:w="2240" w:type="dxa"/>
            <w:vAlign w:val="bottom"/>
          </w:tcPr>
          <w:p>
            <w:pPr>
              <w:spacing w:after="0"/>
              <w:rPr>
                <w:sz w:val="17"/>
                <w:szCs w:val="17"/>
                <w:color w:val="auto"/>
              </w:rPr>
            </w:pP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78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(294,773)</w:t>
            </w:r>
          </w:p>
        </w:tc>
        <w:tc>
          <w:tcPr>
            <w:tcW w:w="1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13.49</w:t>
            </w:r>
          </w:p>
        </w:tc>
        <w:tc>
          <w:tcPr>
            <w:tcW w:w="2240" w:type="dxa"/>
            <w:vAlign w:val="bottom"/>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4"/>
        </w:trPr>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December 31, 2024</w:t>
            </w:r>
          </w:p>
        </w:tc>
        <w:tc>
          <w:tcPr>
            <w:tcW w:w="17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11,843,586</w:t>
            </w: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18.22</w:t>
            </w:r>
          </w:p>
        </w:tc>
        <w:tc>
          <w:tcPr>
            <w:tcW w:w="2240" w:type="dxa"/>
            <w:vAlign w:val="bottom"/>
          </w:tcPr>
          <w:p>
            <w:pPr>
              <w:spacing w:after="0"/>
              <w:rPr>
                <w:sz w:val="18"/>
                <w:szCs w:val="18"/>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81"/>
        </w:trPr>
        <w:tc>
          <w:tcPr>
            <w:tcW w:w="3900" w:type="dxa"/>
            <w:vAlign w:val="bottom"/>
          </w:tcPr>
          <w:p>
            <w:pPr>
              <w:spacing w:after="0"/>
              <w:rPr>
                <w:sz w:val="24"/>
                <w:szCs w:val="24"/>
                <w:color w:val="auto"/>
              </w:rPr>
            </w:pPr>
          </w:p>
        </w:tc>
        <w:tc>
          <w:tcPr>
            <w:tcW w:w="3480" w:type="dxa"/>
            <w:vAlign w:val="bottom"/>
            <w:gridSpan w:val="3"/>
          </w:tcPr>
          <w:p>
            <w:pPr>
              <w:jc w:val="right"/>
              <w:ind w:right="1580"/>
              <w:spacing w:after="0"/>
              <w:rPr>
                <w:sz w:val="20"/>
                <w:szCs w:val="20"/>
                <w:color w:val="auto"/>
              </w:rPr>
            </w:pPr>
            <w:r>
              <w:rPr>
                <w:rFonts w:ascii="Times New Roman" w:cs="Times New Roman" w:eastAsia="Times New Roman" w:hAnsi="Times New Roman"/>
                <w:sz w:val="17"/>
                <w:szCs w:val="17"/>
                <w:color w:val="auto"/>
              </w:rPr>
              <w:t>F- 22</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7"/>
        </w:trPr>
        <w:tc>
          <w:tcPr>
            <w:tcW w:w="39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123" w:right="339" w:bottom="1440" w:gutter="0" w:footer="0" w:header="0"/>
        </w:sectPr>
      </w:pPr>
    </w:p>
    <w:bookmarkStart w:id="119" w:name="page120"/>
    <w:bookmarkEnd w:id="119"/>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7"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Total compensation expense associated with restricted stock grants was $40.1 million, $34.1 million and $41.3 million during the years ended December 31, 2024, 2023 and 2022, respectively. As of December 31, 2024, there was approximately $36.0 million of total unrecognized compensation expense related to unvested time-based restricted stock, which is expected to be recognized over a weighted-average period of 2.8 years. This amount does not include, as of December 31, 2024, 1,160,000 shares of restricted stock outstanding which are milestone-based and vest upon certain corporate milestones, and 3,067,678 shares of restricted stock that vest based on market conditions. Milestone-based noncash compensation expense will be measured and recorded if and when a milestone becomes probable. Equity awards with market conditions are valued using advanced option-pricing models, such as a Monte Carlo simulation. The effect of a market condition is reflected in the award’s fair value on the grant date. Stock-based compensation expense for an award that has a market condition is recognized over the requisite service period derived from the award valuation on the grant date, even if the market condition is never satisfied. As of December 31, 2024, there was approximately $22.0 million of total unrecognized compensation expense related to unvested milestone-based restricted stock. As of December 31, 2024, there was approximately $29.1 million of total unrecognized compensation expense related to restricted stock with market conditions, which is expected to be recognized over a weighted-average period of 3.5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 Options</w:t>
      </w:r>
    </w:p>
    <w:p>
      <w:pPr>
        <w:spacing w:after="0" w:line="208" w:lineRule="exact"/>
        <w:rPr>
          <w:sz w:val="20"/>
          <w:szCs w:val="20"/>
          <w:color w:val="auto"/>
        </w:rPr>
      </w:pPr>
    </w:p>
    <w:p>
      <w:pPr>
        <w:ind w:right="320" w:firstLine="605"/>
        <w:spacing w:after="0" w:line="274" w:lineRule="auto"/>
        <w:rPr>
          <w:sz w:val="20"/>
          <w:szCs w:val="20"/>
          <w:color w:val="auto"/>
        </w:rPr>
      </w:pPr>
      <w:r>
        <w:rPr>
          <w:rFonts w:ascii="Times New Roman" w:cs="Times New Roman" w:eastAsia="Times New Roman" w:hAnsi="Times New Roman"/>
          <w:sz w:val="17"/>
          <w:szCs w:val="17"/>
          <w:color w:val="auto"/>
        </w:rPr>
        <w:t>The estimated fair value of the options granted in the years ended December 31, 2024, 2023 and 2022 was determined utilizing the Black-Scholes option-pricing model at the date of grant. The following table summarizes stock option activity for the years ended December 31, 2024, 2023 and 2022:</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contractual</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term</w:t>
            </w:r>
          </w:p>
        </w:tc>
        <w:tc>
          <w:tcPr>
            <w:tcW w:w="1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exercise price</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 years)</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intrinsic value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2,467,537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29,503,551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2,975,000</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(142,409)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4.10</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(164,443)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7.84</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Outstanding at December 31, 2022</w:t>
            </w: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5,135,685</w:t>
            </w: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CCEEFF"/>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7.10</w:t>
            </w:r>
          </w:p>
        </w:tc>
        <w:tc>
          <w:tcPr>
            <w:tcW w:w="1360" w:type="dxa"/>
            <w:vAlign w:val="bottom"/>
            <w:tcBorders>
              <w:top w:val="single" w:sz="8" w:color="CCEEFF"/>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5.09</w:t>
            </w:r>
          </w:p>
        </w:tc>
        <w:tc>
          <w:tcPr>
            <w:tcW w:w="140" w:type="dxa"/>
            <w:vAlign w:val="bottom"/>
            <w:tcBorders>
              <w:top w:val="single" w:sz="8" w:color="CCEEFF"/>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CCEEFF"/>
            </w:tcBorders>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25,064,799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(246,156)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6.08</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(192,500)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11.30</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Expired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December 31, 2023</w:t>
            </w: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4,697,029</w:t>
            </w:r>
          </w:p>
        </w:tc>
        <w:tc>
          <w:tcPr>
            <w:tcW w:w="1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6.98</w:t>
            </w:r>
          </w:p>
        </w:tc>
        <w:tc>
          <w:tcPr>
            <w:tcW w:w="136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4.10</w:t>
            </w:r>
          </w:p>
        </w:tc>
        <w:tc>
          <w:tcPr>
            <w:tcW w:w="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47,607,209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(151,813)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6.02</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13.25</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Outstanding at December 31, 2024</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4,470,216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6.90</w:t>
            </w:r>
          </w:p>
        </w:tc>
        <w:tc>
          <w:tcPr>
            <w:tcW w:w="136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3.08</w:t>
            </w:r>
          </w:p>
        </w:tc>
        <w:tc>
          <w:tcPr>
            <w:tcW w:w="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103,691,060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Exercisable at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3,147,293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73,417,302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Total expense associated with stock options was approximately $2.5 million, $3.9 million and $3.3 million during the years ended December 31, 2024, 2023 and 2022, respectively. As of December 31, 2024, there was approximately $1.6 million of total unrecognized compensation cost related to unvested time-based stock options, which is expected to be recognized over a weighted-average period of 1.58 years. As of December 31, 2024, the stock options outstanding include options granted to both employees and non-employees which are both time-based and milestone-based. Stock-based compensation for milestone-based options will be recorded if and when a milestone becomes probable. We did not recognize stock-based compensation expense during the year ended December 31, 2024 for these stock options.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fair value of the Company’s option awards granted in each of the following years were estimated using the assumptions below:</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00"/>
        </w:trPr>
        <w:tc>
          <w:tcPr>
            <w:tcW w:w="564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4"/>
        </w:trPr>
        <w:tc>
          <w:tcPr>
            <w:tcW w:w="5640" w:type="dxa"/>
            <w:vAlign w:val="bottom"/>
          </w:tcPr>
          <w:p>
            <w:pPr>
              <w:spacing w:after="0"/>
              <w:rPr>
                <w:sz w:val="16"/>
                <w:szCs w:val="16"/>
                <w:color w:val="auto"/>
              </w:rPr>
            </w:pPr>
          </w:p>
        </w:tc>
        <w:tc>
          <w:tcPr>
            <w:tcW w:w="1680" w:type="dxa"/>
            <w:vAlign w:val="bottom"/>
            <w:tcBorders>
              <w:bottom w:val="single" w:sz="8" w:color="auto"/>
            </w:tcBorders>
          </w:tcPr>
          <w:p>
            <w:pPr>
              <w:ind w:left="160"/>
              <w:spacing w:after="0" w:line="194" w:lineRule="exact"/>
              <w:rPr>
                <w:sz w:val="20"/>
                <w:szCs w:val="20"/>
                <w:color w:val="auto"/>
              </w:rPr>
            </w:pPr>
            <w:r>
              <w:rPr>
                <w:rFonts w:ascii="Times New Roman" w:cs="Times New Roman" w:eastAsia="Times New Roman" w:hAnsi="Times New Roman"/>
                <w:sz w:val="17"/>
                <w:szCs w:val="17"/>
                <w:b w:val="1"/>
                <w:bCs w:val="1"/>
                <w:color w:val="auto"/>
              </w:rPr>
              <w:t>December 31, 2024</w:t>
            </w:r>
          </w:p>
        </w:tc>
        <w:tc>
          <w:tcPr>
            <w:tcW w:w="240" w:type="dxa"/>
            <w:vAlign w:val="bottom"/>
          </w:tcPr>
          <w:p>
            <w:pPr>
              <w:spacing w:after="0"/>
              <w:rPr>
                <w:sz w:val="16"/>
                <w:szCs w:val="16"/>
                <w:color w:val="auto"/>
              </w:rPr>
            </w:pPr>
          </w:p>
        </w:tc>
        <w:tc>
          <w:tcPr>
            <w:tcW w:w="1660" w:type="dxa"/>
            <w:vAlign w:val="bottom"/>
            <w:tcBorders>
              <w:bottom w:val="single" w:sz="8" w:color="auto"/>
            </w:tcBorders>
          </w:tcPr>
          <w:p>
            <w:pPr>
              <w:ind w:left="160"/>
              <w:spacing w:after="0" w:line="194" w:lineRule="exact"/>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right"/>
              <w:ind w:right="76"/>
              <w:spacing w:after="0" w:line="194" w:lineRule="exact"/>
              <w:rPr>
                <w:sz w:val="20"/>
                <w:szCs w:val="20"/>
                <w:color w:val="auto"/>
              </w:rPr>
            </w:pPr>
            <w:r>
              <w:rPr>
                <w:rFonts w:ascii="Times New Roman" w:cs="Times New Roman" w:eastAsia="Times New Roman" w:hAnsi="Times New Roman"/>
                <w:sz w:val="17"/>
                <w:szCs w:val="17"/>
                <w:b w:val="1"/>
                <w:bCs w:val="1"/>
                <w:color w:val="auto"/>
              </w:rPr>
              <w:t>December 31, 2022</w:t>
            </w:r>
          </w:p>
        </w:tc>
        <w:tc>
          <w:tcPr>
            <w:tcW w:w="140" w:type="dxa"/>
            <w:vAlign w:val="bottom"/>
          </w:tcPr>
          <w:p>
            <w:pPr>
              <w:spacing w:after="0"/>
              <w:rPr>
                <w:sz w:val="16"/>
                <w:szCs w:val="16"/>
                <w:color w:val="auto"/>
              </w:rPr>
            </w:pPr>
          </w:p>
        </w:tc>
      </w:tr>
      <w:tr>
        <w:trPr>
          <w:trHeight w:val="194"/>
        </w:trPr>
        <w:tc>
          <w:tcPr>
            <w:tcW w:w="5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Volatility</w:t>
            </w:r>
          </w:p>
        </w:tc>
        <w:tc>
          <w:tcPr>
            <w:tcW w:w="1680" w:type="dxa"/>
            <w:vAlign w:val="bottom"/>
            <w:shd w:val="clear" w:color="auto" w:fill="CCEEFF"/>
          </w:tcPr>
          <w:p>
            <w:pPr>
              <w:ind w:left="1400"/>
              <w:spacing w:after="0" w:line="194" w:lineRule="exact"/>
              <w:rPr>
                <w:sz w:val="20"/>
                <w:szCs w:val="20"/>
                <w:color w:val="auto"/>
              </w:rPr>
            </w:pPr>
            <w:r>
              <w:rPr>
                <w:rFonts w:ascii="Times New Roman" w:cs="Times New Roman" w:eastAsia="Times New Roman" w:hAnsi="Times New Roman"/>
                <w:sz w:val="17"/>
                <w:szCs w:val="17"/>
                <w:color w:val="auto"/>
                <w:w w:val="88"/>
              </w:rPr>
              <w:t>N/A</w:t>
            </w:r>
          </w:p>
        </w:tc>
        <w:tc>
          <w:tcPr>
            <w:tcW w:w="240" w:type="dxa"/>
            <w:vAlign w:val="bottom"/>
            <w:shd w:val="clear" w:color="auto" w:fill="CCEEFF"/>
          </w:tcPr>
          <w:p>
            <w:pPr>
              <w:spacing w:after="0"/>
              <w:rPr>
                <w:sz w:val="16"/>
                <w:szCs w:val="16"/>
                <w:color w:val="auto"/>
              </w:rPr>
            </w:pPr>
          </w:p>
        </w:tc>
        <w:tc>
          <w:tcPr>
            <w:tcW w:w="1660" w:type="dxa"/>
            <w:vAlign w:val="bottom"/>
            <w:shd w:val="clear" w:color="auto" w:fill="CCEEFF"/>
          </w:tcPr>
          <w:p>
            <w:pPr>
              <w:ind w:left="1380"/>
              <w:spacing w:after="0" w:line="194" w:lineRule="exact"/>
              <w:rPr>
                <w:sz w:val="20"/>
                <w:szCs w:val="20"/>
                <w:color w:val="auto"/>
              </w:rPr>
            </w:pPr>
            <w:r>
              <w:rPr>
                <w:rFonts w:ascii="Times New Roman" w:cs="Times New Roman" w:eastAsia="Times New Roman" w:hAnsi="Times New Roman"/>
                <w:sz w:val="17"/>
                <w:szCs w:val="17"/>
                <w:color w:val="auto"/>
                <w:w w:val="88"/>
              </w:rPr>
              <w:t>N/A</w:t>
            </w:r>
          </w:p>
        </w:tc>
        <w:tc>
          <w:tcPr>
            <w:tcW w:w="2020" w:type="dxa"/>
            <w:vAlign w:val="bottom"/>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88.37 - 89.67%</w:t>
            </w:r>
          </w:p>
        </w:tc>
      </w:tr>
      <w:tr>
        <w:trPr>
          <w:trHeight w:val="202"/>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680" w:type="dxa"/>
            <w:vAlign w:val="bottom"/>
          </w:tcPr>
          <w:p>
            <w:pPr>
              <w:ind w:left="1400"/>
              <w:spacing w:after="0"/>
              <w:rPr>
                <w:sz w:val="20"/>
                <w:szCs w:val="20"/>
                <w:color w:val="auto"/>
              </w:rPr>
            </w:pPr>
            <w:r>
              <w:rPr>
                <w:rFonts w:ascii="Times New Roman" w:cs="Times New Roman" w:eastAsia="Times New Roman" w:hAnsi="Times New Roman"/>
                <w:sz w:val="17"/>
                <w:szCs w:val="17"/>
                <w:color w:val="auto"/>
                <w:w w:val="88"/>
              </w:rPr>
              <w:t>N/A</w:t>
            </w:r>
          </w:p>
        </w:tc>
        <w:tc>
          <w:tcPr>
            <w:tcW w:w="240" w:type="dxa"/>
            <w:vAlign w:val="bottom"/>
          </w:tcPr>
          <w:p>
            <w:pPr>
              <w:spacing w:after="0"/>
              <w:rPr>
                <w:sz w:val="17"/>
                <w:szCs w:val="17"/>
                <w:color w:val="auto"/>
              </w:rPr>
            </w:pPr>
          </w:p>
        </w:tc>
        <w:tc>
          <w:tcPr>
            <w:tcW w:w="1660" w:type="dxa"/>
            <w:vAlign w:val="bottom"/>
          </w:tcPr>
          <w:p>
            <w:pPr>
              <w:ind w:left="1380"/>
              <w:spacing w:after="0"/>
              <w:rPr>
                <w:sz w:val="20"/>
                <w:szCs w:val="20"/>
                <w:color w:val="auto"/>
              </w:rPr>
            </w:pPr>
            <w:r>
              <w:rPr>
                <w:rFonts w:ascii="Times New Roman" w:cs="Times New Roman" w:eastAsia="Times New Roman" w:hAnsi="Times New Roman"/>
                <w:sz w:val="17"/>
                <w:szCs w:val="17"/>
                <w:color w:val="auto"/>
                <w:w w:val="88"/>
              </w:rPr>
              <w:t>N/A</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3.13 - 4.0</w:t>
            </w:r>
          </w:p>
        </w:tc>
      </w:tr>
      <w:tr>
        <w:trPr>
          <w:trHeight w:val="20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16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w w:val="88"/>
              </w:rPr>
              <w:t>N/A</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w w:val="88"/>
              </w:rPr>
              <w:t>N/A</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2.99 - 3.35%</w:t>
            </w:r>
          </w:p>
        </w:tc>
      </w:tr>
      <w:tr>
        <w:trPr>
          <w:trHeight w:val="218"/>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680" w:type="dxa"/>
            <w:vAlign w:val="bottom"/>
          </w:tcPr>
          <w:p>
            <w:pPr>
              <w:ind w:left="1400"/>
              <w:spacing w:after="0"/>
              <w:rPr>
                <w:sz w:val="20"/>
                <w:szCs w:val="20"/>
                <w:color w:val="auto"/>
              </w:rPr>
            </w:pPr>
            <w:r>
              <w:rPr>
                <w:rFonts w:ascii="Times New Roman" w:cs="Times New Roman" w:eastAsia="Times New Roman" w:hAnsi="Times New Roman"/>
                <w:sz w:val="17"/>
                <w:szCs w:val="17"/>
                <w:color w:val="auto"/>
                <w:w w:val="88"/>
              </w:rPr>
              <w:t>N/A</w:t>
            </w:r>
          </w:p>
        </w:tc>
        <w:tc>
          <w:tcPr>
            <w:tcW w:w="240" w:type="dxa"/>
            <w:vAlign w:val="bottom"/>
          </w:tcPr>
          <w:p>
            <w:pPr>
              <w:spacing w:after="0"/>
              <w:rPr>
                <w:sz w:val="18"/>
                <w:szCs w:val="18"/>
                <w:color w:val="auto"/>
              </w:rPr>
            </w:pPr>
          </w:p>
        </w:tc>
        <w:tc>
          <w:tcPr>
            <w:tcW w:w="1660" w:type="dxa"/>
            <w:vAlign w:val="bottom"/>
          </w:tcPr>
          <w:p>
            <w:pPr>
              <w:ind w:left="1380"/>
              <w:spacing w:after="0"/>
              <w:rPr>
                <w:sz w:val="20"/>
                <w:szCs w:val="20"/>
                <w:color w:val="auto"/>
              </w:rPr>
            </w:pPr>
            <w:r>
              <w:rPr>
                <w:rFonts w:ascii="Times New Roman" w:cs="Times New Roman" w:eastAsia="Times New Roman" w:hAnsi="Times New Roman"/>
                <w:sz w:val="17"/>
                <w:szCs w:val="17"/>
                <w:color w:val="auto"/>
                <w:w w:val="88"/>
              </w:rPr>
              <w:t>N/A</w:t>
            </w:r>
          </w:p>
        </w:tc>
        <w:tc>
          <w:tcPr>
            <w:tcW w:w="2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auto"/>
        </w:rPr>
        <w:t>Warrants</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Company’s only outstanding warrants are warrants issued to Hercules as part of the prior loan agreements to purchase 115,042 and 50,172 shares of our common stock with exercise prices of $17.95 and $14.70, respectively. During the year ended December 31, 2024, Hercules exercised a portion of their outstanding warrants from a prior loan agreement to purchase 147,058 shares via cashless exercise. The First Amendment (as defined below) also contains warrant coverage of 2.95% of each advance amount funded. A warrant was issued by the Company to Hercules to purchase 50,172 shares of common stock with an exercise price of $14.70 (the First Amendment Warrant). The First Amendment Warrant shall be exercisable for seven years from the date of issuance. Hercules may exercise the First Amendment Warrant either by (a) cash or check or (b) through a net issuance conversion. There will not be any ongoing stock compensation expense associated with these warrants.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estimated the fair value of the Warrant using the Black-Scholes model based on the following key assumptions:</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5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w w:val="99"/>
              </w:rPr>
              <w:t>Amended Term</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The Amended Loan</w:t>
            </w:r>
          </w:p>
        </w:tc>
      </w:tr>
      <w:tr>
        <w:trPr>
          <w:trHeight w:val="222"/>
        </w:trPr>
        <w:tc>
          <w:tcPr>
            <w:tcW w:w="5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Loan</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Agreement</w:t>
            </w:r>
          </w:p>
        </w:tc>
        <w:tc>
          <w:tcPr>
            <w:tcW w:w="140" w:type="dxa"/>
            <w:vAlign w:val="bottom"/>
          </w:tcPr>
          <w:p>
            <w:pPr>
              <w:spacing w:after="0"/>
              <w:rPr>
                <w:sz w:val="19"/>
                <w:szCs w:val="19"/>
                <w:color w:val="auto"/>
              </w:rPr>
            </w:pPr>
          </w:p>
        </w:tc>
      </w:tr>
      <w:tr>
        <w:trPr>
          <w:trHeight w:val="195"/>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14.70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17.95</w:t>
            </w:r>
          </w:p>
        </w:tc>
      </w:tr>
      <w:tr>
        <w:trPr>
          <w:trHeight w:val="202"/>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Common share price on date of issuance</w:t>
            </w:r>
          </w:p>
        </w:tc>
        <w:tc>
          <w:tcPr>
            <w:tcW w:w="2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15.04</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19.35</w:t>
            </w:r>
          </w:p>
        </w:tc>
      </w:tr>
      <w:tr>
        <w:trPr>
          <w:trHeight w:val="20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0.88%</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w:t>
            </w:r>
          </w:p>
        </w:tc>
      </w:tr>
      <w:tr>
        <w:trPr>
          <w:trHeight w:val="202"/>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w:t>
            </w:r>
          </w:p>
        </w:tc>
        <w:tc>
          <w:tcPr>
            <w:tcW w:w="2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Contractual term (in years)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7.00</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7.00</w:t>
            </w:r>
          </w:p>
        </w:tc>
      </w:tr>
    </w:tbl>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12" w:lineRule="exact"/>
        <w:rPr>
          <w:sz w:val="20"/>
          <w:szCs w:val="20"/>
          <w:color w:val="auto"/>
        </w:rPr>
      </w:pPr>
    </w:p>
    <w:p>
      <w:pPr>
        <w:jc w:val="both"/>
        <w:ind w:left="40" w:firstLine="605"/>
        <w:spacing w:after="0" w:line="256"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Stockholder Rights Plan</w:t>
      </w:r>
    </w:p>
    <w:p>
      <w:pPr>
        <w:spacing w:after="0" w:line="212" w:lineRule="exact"/>
        <w:rPr>
          <w:sz w:val="20"/>
          <w:szCs w:val="20"/>
          <w:color w:val="auto"/>
        </w:rPr>
      </w:pPr>
    </w:p>
    <w:p>
      <w:pPr>
        <w:jc w:val="both"/>
        <w:ind w:left="40" w:firstLine="605"/>
        <w:spacing w:after="0" w:line="261" w:lineRule="auto"/>
        <w:rPr>
          <w:sz w:val="20"/>
          <w:szCs w:val="20"/>
          <w:color w:val="auto"/>
        </w:rPr>
      </w:pPr>
      <w:r>
        <w:rPr>
          <w:rFonts w:ascii="Times New Roman" w:cs="Times New Roman" w:eastAsia="Times New Roman" w:hAnsi="Times New Roman"/>
          <w:sz w:val="17"/>
          <w:szCs w:val="17"/>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 The rights under the Rights Agreement expired at the close of business on July 18, 2024.</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78740</wp:posOffset>
            </wp:positionV>
            <wp:extent cx="714121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00"/>
          </w:cols>
          <w:pgMar w:left="260" w:top="123" w:right="339"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amended and restated certificate of incorporation authorizes the issuance of up to 190,000,000 shares of $0.001 par value common stock.</w:t>
      </w:r>
    </w:p>
    <w:p>
      <w:pPr>
        <w:spacing w:after="0" w:line="208"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year ended December 31, 2023, we sold a total of 1,385,700 shares of common stock under the 2022 ATM for aggregate total gross proceeds of approximately $47.1 million at an average selling price of $34.01 per share, resulting in net proceeds of approximately $46.3 million after deducting commissions and other transactions costs. We had no activity on the 2022 ATM during the year ended December 31, 2024. The 2022 WKSI Shelf is currently our only active shelf-registration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shelf-registration statements in the future to provide us with the flexibility to raise additional capital to finance our operations as needed.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 and Treasury Stock</w:t>
      </w:r>
    </w:p>
    <w:p>
      <w:pPr>
        <w:spacing w:after="0" w:line="212" w:lineRule="exact"/>
        <w:rPr>
          <w:sz w:val="20"/>
          <w:szCs w:val="20"/>
          <w:color w:val="auto"/>
        </w:rPr>
      </w:pPr>
    </w:p>
    <w:p>
      <w:pPr>
        <w:jc w:val="both"/>
        <w:ind w:left="40" w:firstLine="605"/>
        <w:spacing w:after="0" w:line="253" w:lineRule="auto"/>
        <w:rPr>
          <w:sz w:val="20"/>
          <w:szCs w:val="20"/>
          <w:color w:val="auto"/>
        </w:rPr>
      </w:pPr>
      <w:r>
        <w:rPr>
          <w:rFonts w:ascii="Times New Roman" w:cs="Times New Roman" w:eastAsia="Times New Roman" w:hAnsi="Times New Roman"/>
          <w:sz w:val="17"/>
          <w:szCs w:val="17"/>
          <w:color w:val="auto"/>
        </w:rPr>
        <w:t>On August 2, 2024, the Company announced that its Board of Directors (the Board) had authorized and approved a share repurchase program for up to $100 million of the currently outstanding shares of the Company’s common stock. Under the share repurchase program, the Company intends to repurchase shares through open market purchases, privately-negotiated transactions, block purchases or other methods in accordance with applicable federal securities laws, including Rule 10b-18 of the Securities Exchange Act of 1934, as amended (the Exchange Act). For the year ended December 31, 2024, the Company repurchased 326,594 shares of common stock at a cost of $8.8 million. As of December 31, 2024, 367,903 shares of common stock are being held in Treasury, at a cost of approximately $9.0 million, representing the fair market value on the date the shares were surrendered to the Company, mainly as part of our share repurchase program.</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LOAN PAYABLE</w:t>
      </w:r>
    </w:p>
    <w:p>
      <w:pPr>
        <w:spacing w:after="0" w:line="212" w:lineRule="exact"/>
        <w:rPr>
          <w:sz w:val="20"/>
          <w:szCs w:val="20"/>
          <w:color w:val="auto"/>
        </w:rPr>
      </w:pPr>
    </w:p>
    <w:p>
      <w:pPr>
        <w:jc w:val="both"/>
        <w:ind w:left="20" w:firstLine="605"/>
        <w:spacing w:after="0" w:line="250" w:lineRule="auto"/>
        <w:rPr>
          <w:sz w:val="20"/>
          <w:szCs w:val="20"/>
          <w:color w:val="auto"/>
        </w:rPr>
      </w:pPr>
      <w:r>
        <w:rPr>
          <w:rFonts w:ascii="Times New Roman" w:cs="Times New Roman" w:eastAsia="Times New Roman" w:hAnsi="Times New Roman"/>
          <w:sz w:val="17"/>
          <w:szCs w:val="17"/>
          <w:color w:val="auto"/>
        </w:rPr>
        <w:t>On March 31, 2023 (the First Amendment Effective Date), the Company entered into a First Amendment to the Amended and Restated Loan and Security Agreement (the First Amendment) with Hercules Capital, Inc. (Hercules). The First Amendment amended the terms of the Amended and Restated Loan and Security Agreement (Amended Loan Agreement) with Hercules that closed on December 30, 2021. The First Amendment amended the terms of the Amended Loan Agreement to, among other things: (i) issue an advance of $25.0 million drawn at the First Amendment Effective Date (the Tranche 3A Advance), (ii) provide for the formal expiration of Tranche 2, (iii) change the draw amounts and dates available under subsequent tranches, including splitting the remaining balance of Tranche 3 into two additional advances in an aggregate principal amount of up to $20.0 million, in increments of $10.0 million (a Tranche 3B Advance and a Tranche 3C Advance), decreasing the amount available under Tranche 4 from $65.0 million to $60.0 million, and adding a Tranche 5 of $25.0 million, subject to the achievement of revenue related performance milestones, (iv) extend the interest only period from February 1, 2025 to August 1, 2025 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as amended. The Amended Loan agreement, as amended, contains financial covenants that require the Company to maintain certain levels of unrestricted cash and additional financial covenants related to market capitalization.</w:t>
      </w:r>
    </w:p>
    <w:p>
      <w:pPr>
        <w:spacing w:after="0" w:line="179"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The First Amendment also contains warrant coverage of 2.95% of each advance amount funded. A warrant (the Warrant) was issued by the Company to Hercules to purchase 115,042 shares of common stock with an exercise price of $17.95 for the initial amount funded at the Closing Date. The Warrant shall be exercisable for seven years from the date of issuance. Hercules may exercise the Warrant either by (a) cash or check or (b) through a net issuance conversion. Additionally, a warrant was issued by the Company to Hercules to purchase 50,172 shares of common stock with an exercise price of $14.70 for the amount funded pertaining to the Tranche 3A Advance (the First Amendment Warrant). The First Amendment Warrant shall be exercisable for seven years from the date of issuance. Hercules may exercise the First Amendment Warrant either by (a) cash or check or (b) through a net issuance conversion.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78740</wp:posOffset>
            </wp:positionV>
            <wp:extent cx="714121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280" w:top="123" w:right="339" w:bottom="1440" w:gutter="0" w:footer="0" w:header="0"/>
        </w:sectPr>
      </w:pPr>
    </w:p>
    <w:bookmarkStart w:id="122" w:name="page123"/>
    <w:bookmarkEnd w:id="12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August 2, 2024 (the New Closing Date), the Company entered into a term loan facility of $250 million (the Initial Term Loan) with Blue Owl Capital Corporation, as administrative agent (the Administrative Agent), HealthCare Royalty and Blue Owl Capital under the Financing Agreement (as defined below). The Company repaid all outstanding principal and accrued interest and fees under the First Amendment with Hercules (such repayment, the Refinancing), which Refinancing was funded with the proceeds of the Initial Term Loan. The existing Amended Loan Agreement with Hercules was effectively terminated, and all guarantees and liens granted thereunder were released upon the consummation of the Refinancing.</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Initial Term Loan is governed by a financing agreement, dated as of the New Closing Date (the Financing Agreement), which provides for (i) a single draw of the Initial Term Loan on the New Closing Date and (ii) an uncommitted additional facility in an aggregate principal amount of up to $100 million. The Initial Term Loan will mature on August 2, 2029 (the Term Loan Maturity Date). The Initial Term Loan accrues interest at a per annum rate of interest equal to an applicable margin plus, at the Company’s option, either (a) at a base rate determined by reference to the highest of (1) the prime rate published by the Wall Street Journal, (2) the federal funds effective rate plus 0.50% and (3) Term SOFR, plus 1.00% or (b) Term SOFR, which, shall be no less than 1.00%. The applicable margin for borrowings of the Initial Term Loan is determined on a quarterly basis by reference to a pricing grid based on the achievement of US Net Sales (as defined in the Financing Agreement) for the most recently completed four consecutive fiscal quarters of the Company and its Subsidiaries (as defined in the Financing Agreement). The pricing grid commences at 5.50% for SOFR borrowings and 4.50% for base rate borrowings and is subject to a 25 basis point step-down upon achievement of a specified US Net Sales threshold. The Initial Term Loan requires scheduled quarterly amortization payments, commencing with the fiscal quarter ending June 30, 2028, in an amount equal to $12.5 million, with the balance due and payable on the Term Loan Maturity Date; provided that such amortization payments may be deferred to the Term Loan Maturity Date upon the achievement of a Total Net Leverage Ratio (as defined in the Financing Agreement) that is less than or equal to an agreed threshold.</w:t>
      </w:r>
    </w:p>
    <w:p>
      <w:pPr>
        <w:spacing w:after="0" w:line="17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Initial Term Loan is secured by a lien on substantially all of the assets of the Company and certain subsidiaries of the Company as guarantors and contains customary covenants and representations. As of December 31, 2024, we were in compliance with all financial covenants.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events of default under the Financing Agreement are customary for financings of this type. If an event of default occurs, the Administrative Agent is entitled to take enforcement action, including acceleration of amounts due under the Financing Agreement.</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evaluated whether the Initial Term Loan represented a debt modification or extinguishment of the First Amendment with Hercules with ASC 470-50, Debt – Modifications and Extinguishments. As a result of the Initial Term Loan and effective termination of the First Amendment with Hercules, this transaction was accounted for by the Company under the extinguishment accounting model. The Company recorded a loss on extinguishment of debt of approximately $4.6 million in the Company’s statement of operations for the three and nine months ended September 30, 2024, representing the write-off of unamortized debt issuance costs and a prepayment charge. The Company capitalized third party fees from the Initial Term Loan to debt issuance costs and capitalized the facility fee incurred with the Administrative Agent as part of the Initial Term Loan to debt discount.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3" w:name="page124"/>
    <w:bookmarkEnd w:id="123"/>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incurred total financing and upfront costs of $6.0 million related to the Initial Term Loan which are recorded as debt issuance costs and debt discount costs and as an offset to loan payable on the Company’s consolidated balance sheet. The debt issuance and debt discount costs are being amortized over the term of the debt using the straight-line method, which approximates the effective interest method, and will be included in interest expense in the Company’s consolidated statements of operations. Amortization of debt issuance and debt discount costs was $5.6 million (including write off of remaining debt issuance balance under the First Amendment with Hercules), $2.4 million and $1.8 million for the years ended December 31, 2024, 2023 and 2022, respectively. At December 31, 2024, the remaining unamortized balance of debt issuance and debt discount costs was $5.6 million.</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loan payable balance of the First Amendment as of December 31, 2024 and December 31, 2023, is as follows: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9"/>
                <w:szCs w:val="19"/>
                <w:color w:val="auto"/>
              </w:rPr>
            </w:pPr>
          </w:p>
        </w:tc>
      </w:tr>
      <w:tr>
        <w:trPr>
          <w:trHeight w:val="19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Loan payable</w:t>
            </w:r>
          </w:p>
        </w:tc>
        <w:tc>
          <w:tcPr>
            <w:tcW w:w="760" w:type="dxa"/>
            <w:vAlign w:val="bottom"/>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ind w:left="114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95,000</w:t>
            </w:r>
          </w:p>
        </w:tc>
      </w:tr>
      <w:tr>
        <w:trPr>
          <w:trHeight w:val="20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Add: Accreted Liability of final payment fee</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10,230</w:t>
            </w:r>
          </w:p>
        </w:tc>
      </w:tr>
      <w:tr>
        <w:trPr>
          <w:trHeight w:val="202"/>
        </w:trPr>
        <w:tc>
          <w:tcPr>
            <w:tcW w:w="7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105,230</w:t>
            </w:r>
          </w:p>
        </w:tc>
      </w:tr>
      <w:tr>
        <w:trPr>
          <w:trHeight w:val="20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(5,112)</w:t>
            </w:r>
          </w:p>
        </w:tc>
      </w:tr>
      <w:tr>
        <w:trPr>
          <w:trHeight w:val="20"/>
        </w:trPr>
        <w:tc>
          <w:tcPr>
            <w:tcW w:w="7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ind w:left="114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100,118</w:t>
            </w:r>
          </w:p>
        </w:tc>
      </w:tr>
      <w:tr>
        <w:trPr>
          <w:trHeight w:val="20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Less: principal payments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loan payable</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ind w:left="114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100,118</w:t>
            </w:r>
          </w:p>
        </w:tc>
      </w:tr>
      <w:tr>
        <w:trPr>
          <w:trHeight w:val="20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Loan payable non-current</w:t>
            </w:r>
          </w:p>
        </w:tc>
        <w:tc>
          <w:tcPr>
            <w:tcW w:w="760" w:type="dxa"/>
            <w:vAlign w:val="bottom"/>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ind w:left="114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100,118</w:t>
            </w:r>
          </w:p>
        </w:tc>
      </w:tr>
      <w:tr>
        <w:trPr>
          <w:trHeight w:val="381"/>
        </w:trPr>
        <w:tc>
          <w:tcPr>
            <w:tcW w:w="7400" w:type="dxa"/>
            <w:vAlign w:val="bottom"/>
            <w:tcBorders>
              <w:top w:val="single" w:sz="8" w:color="CCEEFF"/>
            </w:tcBorders>
          </w:tcPr>
          <w:p>
            <w:pPr>
              <w:ind w:left="740"/>
              <w:spacing w:after="0"/>
              <w:rPr>
                <w:sz w:val="20"/>
                <w:szCs w:val="20"/>
                <w:color w:val="auto"/>
              </w:rPr>
            </w:pPr>
            <w:r>
              <w:rPr>
                <w:rFonts w:ascii="Times New Roman" w:cs="Times New Roman" w:eastAsia="Times New Roman" w:hAnsi="Times New Roman"/>
                <w:sz w:val="17"/>
                <w:szCs w:val="17"/>
                <w:color w:val="auto"/>
              </w:rPr>
              <w:t>The loan payable balance of the Initial Term Loan as of December 31, 2024, is as follows:</w:t>
            </w:r>
          </w:p>
        </w:tc>
        <w:tc>
          <w:tcPr>
            <w:tcW w:w="6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83"/>
        </w:trPr>
        <w:tc>
          <w:tcPr>
            <w:tcW w:w="7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The Initial Term</w:t>
            </w:r>
          </w:p>
        </w:tc>
      </w:tr>
      <w:tr>
        <w:trPr>
          <w:trHeight w:val="222"/>
        </w:trPr>
        <w:tc>
          <w:tcPr>
            <w:tcW w:w="7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Loan</w:t>
            </w:r>
          </w:p>
        </w:tc>
      </w:tr>
      <w:tr>
        <w:trPr>
          <w:trHeight w:val="174"/>
        </w:trPr>
        <w:tc>
          <w:tcPr>
            <w:tcW w:w="7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36"/>
              <w:spacing w:after="0" w:line="175" w:lineRule="exact"/>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0" w:type="dxa"/>
            <w:vAlign w:val="bottom"/>
          </w:tcPr>
          <w:p>
            <w:pPr>
              <w:spacing w:after="0"/>
              <w:rPr>
                <w:sz w:val="15"/>
                <w:szCs w:val="15"/>
                <w:color w:val="auto"/>
              </w:rPr>
            </w:pPr>
          </w:p>
        </w:tc>
      </w:tr>
      <w:tr>
        <w:trPr>
          <w:trHeight w:val="22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r>
      <w:tr>
        <w:trPr>
          <w:trHeight w:val="19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Loan payable</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250,000</w:t>
            </w:r>
          </w:p>
        </w:tc>
      </w:tr>
      <w:tr>
        <w:trPr>
          <w:trHeight w:val="20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Add: Accreted Liability of final payment fee</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250,000</w:t>
            </w:r>
          </w:p>
        </w:tc>
      </w:tr>
      <w:tr>
        <w:trPr>
          <w:trHeight w:val="20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(5,571)</w:t>
            </w:r>
          </w:p>
        </w:tc>
      </w:tr>
      <w:tr>
        <w:trPr>
          <w:trHeight w:val="20"/>
        </w:trPr>
        <w:tc>
          <w:tcPr>
            <w:tcW w:w="7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244,429</w:t>
            </w:r>
          </w:p>
        </w:tc>
      </w:tr>
      <w:tr>
        <w:trPr>
          <w:trHeight w:val="20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Less: principal payments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loan payable</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244,429</w:t>
            </w:r>
          </w:p>
        </w:tc>
      </w:tr>
      <w:tr>
        <w:trPr>
          <w:trHeight w:val="20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Loan payable non-current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244,429</w:t>
            </w: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LEASES</w:t>
      </w:r>
    </w:p>
    <w:p>
      <w:pPr>
        <w:spacing w:after="0" w:line="212" w:lineRule="exact"/>
        <w:rPr>
          <w:sz w:val="20"/>
          <w:szCs w:val="20"/>
          <w:color w:val="auto"/>
        </w:rPr>
      </w:pPr>
    </w:p>
    <w:p>
      <w:pPr>
        <w:jc w:val="both"/>
        <w:ind w:left="20" w:firstLine="605"/>
        <w:spacing w:after="0" w:line="251" w:lineRule="auto"/>
        <w:rPr>
          <w:sz w:val="20"/>
          <w:szCs w:val="20"/>
          <w:color w:val="auto"/>
        </w:rPr>
      </w:pPr>
      <w:r>
        <w:rPr>
          <w:rFonts w:ascii="Times New Roman" w:cs="Times New Roman" w:eastAsia="Times New Roman" w:hAnsi="Times New Roman"/>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new space in April 2016, with rental payments beginning in the third quarter of 2016. 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$9.3 million and $7.2 million, respectively, as of December 31, 2024. Our leases have remaining lease terms of approximately one month to 7 years. One lease has a renewal option to extend the lease for an additional term of five years.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October 2019, we finalized a five-year lease for office space in New Jersey (the NJ Lease). We averaged annual rental obligation of $0.3 million under the NJ Lease. The NJ Lease expires on January 30, 2025 and will not be renewed.</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Operating lease cost was $2.3 million, $2.2 million and $2.7 million for the years ended December 31, 2024, 2023 and 2022, respectively.</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December 31, 2024, the weighted-average remaining operating lease term was 5.4 years and the weighted-average discount rate for operating leases was 10/04%. Cash paid for amounts included in the measurement of operating lease liabilities during the year ended December 31, 2024 was $2.4 million.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balance sheet classification of lease liabilities was as follows: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6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2"/>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Liabilities</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liability current portion</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1,446</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 non-current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9,231</w:t>
            </w:r>
          </w:p>
        </w:tc>
        <w:tc>
          <w:tcPr>
            <w:tcW w:w="0" w:type="dxa"/>
            <w:vAlign w:val="bottom"/>
          </w:tcPr>
          <w:p>
            <w:pPr>
              <w:spacing w:after="0"/>
              <w:rPr>
                <w:sz w:val="1"/>
                <w:szCs w:val="1"/>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60" w:type="dxa"/>
            <w:vAlign w:val="bottom"/>
          </w:tcPr>
          <w:p>
            <w:pPr>
              <w:ind w:left="460"/>
              <w:spacing w:after="0" w:line="194" w:lineRule="exact"/>
              <w:rPr>
                <w:sz w:val="20"/>
                <w:szCs w:val="20"/>
                <w:color w:val="auto"/>
              </w:rPr>
            </w:pPr>
            <w:r>
              <w:rPr>
                <w:rFonts w:ascii="Times New Roman" w:cs="Times New Roman" w:eastAsia="Times New Roman" w:hAnsi="Times New Roman"/>
                <w:sz w:val="17"/>
                <w:szCs w:val="17"/>
                <w:color w:val="auto"/>
              </w:rPr>
              <w:t>Total lease liability</w:t>
            </w:r>
          </w:p>
        </w:tc>
        <w:tc>
          <w:tcPr>
            <w:tcW w:w="130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9,290</w:t>
            </w:r>
          </w:p>
        </w:tc>
        <w:tc>
          <w:tcPr>
            <w:tcW w:w="40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10,677</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auto"/>
              </w:rPr>
              <w:t>As of December 31, 2024, the maturities of lease liabilities were as follows:</w:t>
            </w: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Operating</w:t>
            </w:r>
          </w:p>
        </w:tc>
        <w:tc>
          <w:tcPr>
            <w:tcW w:w="0" w:type="dxa"/>
            <w:vAlign w:val="bottom"/>
          </w:tcPr>
          <w:p>
            <w:pPr>
              <w:spacing w:after="0"/>
              <w:rPr>
                <w:sz w:val="1"/>
                <w:szCs w:val="1"/>
                <w:color w:val="auto"/>
              </w:rPr>
            </w:pPr>
          </w:p>
        </w:tc>
      </w:tr>
      <w:tr>
        <w:trPr>
          <w:trHeight w:val="222"/>
        </w:trPr>
        <w:tc>
          <w:tcPr>
            <w:tcW w:w="6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6"/>
              </w:rPr>
              <w:t>leases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202"/>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2,080</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1,913</w:t>
            </w:r>
          </w:p>
        </w:tc>
        <w:tc>
          <w:tcPr>
            <w:tcW w:w="0" w:type="dxa"/>
            <w:vAlign w:val="bottom"/>
          </w:tcPr>
          <w:p>
            <w:pPr>
              <w:spacing w:after="0"/>
              <w:rPr>
                <w:sz w:val="1"/>
                <w:szCs w:val="1"/>
                <w:color w:val="auto"/>
              </w:rPr>
            </w:pPr>
          </w:p>
        </w:tc>
      </w:tr>
      <w:tr>
        <w:trPr>
          <w:trHeight w:val="202"/>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1,827</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1,827</w:t>
            </w:r>
          </w:p>
        </w:tc>
        <w:tc>
          <w:tcPr>
            <w:tcW w:w="0" w:type="dxa"/>
            <w:vAlign w:val="bottom"/>
          </w:tcPr>
          <w:p>
            <w:pPr>
              <w:spacing w:after="0"/>
              <w:rPr>
                <w:sz w:val="1"/>
                <w:szCs w:val="1"/>
                <w:color w:val="auto"/>
              </w:rPr>
            </w:pPr>
          </w:p>
        </w:tc>
      </w:tr>
      <w:tr>
        <w:trPr>
          <w:trHeight w:val="202"/>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After 2029</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2,888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lease payments</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12,635</w:t>
            </w:r>
          </w:p>
        </w:tc>
        <w:tc>
          <w:tcPr>
            <w:tcW w:w="0" w:type="dxa"/>
            <w:vAlign w:val="bottom"/>
          </w:tcPr>
          <w:p>
            <w:pPr>
              <w:spacing w:after="0"/>
              <w:rPr>
                <w:sz w:val="1"/>
                <w:szCs w:val="1"/>
                <w:color w:val="auto"/>
              </w:rPr>
            </w:pPr>
          </w:p>
        </w:tc>
      </w:tr>
      <w:tr>
        <w:trPr>
          <w:trHeight w:val="202"/>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(3,345)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Present value of lease liabilities(*)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9,290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6"/>
        <w:spacing w:after="0" w:line="261" w:lineRule="auto"/>
        <w:tabs>
          <w:tab w:leader="none" w:pos="86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leases that commenced prior to that date through December 31, 2021. We used an incremental borrowing rate of 5.65% for the NC 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NOTE 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INCOME TAXES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$414.6 million and $418.3 million as of December 31, 2024 and 2023, respectively.</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Tax Cuts and Jobs Act of 2017 (“TCJA”) included changes to the treatment of research and development expenses under IRC Section 174. Formerly, a company could deduct research and development expenses under IRC Section 174 as incurred. Effective for tax years beginning after December 31, 2021, research and development expenses under IRC Section 174 are required to be capitalized, with an amortization period of 5 years for costs incurred in the US and 15 years for costs incurred in a non-US jurisdiction. The Company incurred approximately $78.9 million and $61.8 million of US research and development costs and approximately $6.2 million and $13.9 million of non-US research and development costs that were capitalized during the years ended December 31, 2024 and 2023, respectively.</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Inflation Reduction Act of 2022 (“IRA”) was enacted on August 16, 2022. The IRA provided for a Corporate Alternative Minimum Tax (“Corp AMT”), applicable to tax years beginning after December 31, 2022. The Corp AMT will impose a 15% tax on companies with adjusted financial statement income of over $1 billion for U.S. based organizations. At this time, it is not anticipated that the Corp AMT will be applicable for the Company.</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2024, we have U.S. net operating loss carryforwards of approximately $2.0 billion and research and development credit carryforwards</w:t>
      </w:r>
    </w:p>
    <w:p>
      <w:pPr>
        <w:spacing w:after="0" w:line="22" w:lineRule="exact"/>
        <w:rPr>
          <w:sz w:val="20"/>
          <w:szCs w:val="20"/>
          <w:color w:val="auto"/>
        </w:rPr>
      </w:pPr>
    </w:p>
    <w:p>
      <w:pPr>
        <w:spacing w:after="0"/>
        <w:tabs>
          <w:tab w:leader="none" w:pos="3560" w:val="left"/>
        </w:tabs>
        <w:rPr>
          <w:sz w:val="20"/>
          <w:szCs w:val="20"/>
          <w:color w:val="auto"/>
        </w:rPr>
      </w:pPr>
      <w:r>
        <w:rPr>
          <w:rFonts w:ascii="Times New Roman" w:cs="Times New Roman" w:eastAsia="Times New Roman" w:hAnsi="Times New Roman"/>
          <w:sz w:val="17"/>
          <w:szCs w:val="17"/>
          <w:color w:val="auto"/>
        </w:rPr>
        <w:t>(“R&amp;D credits”) of approximately $50.7 million.</w:t>
        <w:tab/>
        <w:t>For income tax purposes, these NOLs and R&amp;D credits will expire in various amounts through 2045. NOLs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generated after 2017 do not expire. The Tax Reform Act of 1986 contains provisions which limit the ability to utilize net operating loss carryforwards and R&amp;D credit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carryforwards in the case of certain events including significant changes in ownership interests. The exchange transaction with TG Bio may have resulted in a “change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ownership” as defined by IRC Section 382 of the Internal Revenue Code of 1986, as amended. Additionally, stock issuance activities may have resulted in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 in ownership” as defined by IRC Section 382 of the Internal Revenue Code of 1986, as amended. Accordingly, a substantial portion of the Company’s NOLs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above may be subject to annual limitations in reducing any future year’s taxable income, and a substantial portion of the R&amp;D Credit carryforwards may be subject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annual limitations in reducing any future year’s tax.</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4121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7" w:lineRule="exact"/>
        <w:rPr>
          <w:sz w:val="20"/>
          <w:szCs w:val="20"/>
          <w:color w:val="auto"/>
        </w:rPr>
      </w:pPr>
    </w:p>
    <w:p>
      <w:pPr>
        <w:jc w:val="both"/>
        <w:ind w:firstLine="605"/>
        <w:spacing w:after="0" w:line="257" w:lineRule="auto"/>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the deferred tax assets and deferred tax liabilities at December 31, 2024 and 2023 are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2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Deferred tax assets:</w:t>
            </w:r>
          </w:p>
        </w:tc>
        <w:tc>
          <w:tcPr>
            <w:tcW w:w="2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$294,046</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$316,962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credit</w:t>
            </w:r>
          </w:p>
        </w:tc>
        <w:tc>
          <w:tcPr>
            <w:tcW w:w="2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50,693</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45,806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Noncash compensation</w:t>
            </w: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12,267</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Disallowed interest</w:t>
            </w:r>
          </w:p>
        </w:tc>
        <w:tc>
          <w:tcPr>
            <w:tcW w:w="2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Capitalized R&amp;D Expenses</w:t>
            </w: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49,681</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36,613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Deferred tax asset, excluding valuation allowance</w:t>
            </w:r>
          </w:p>
        </w:tc>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414,614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418,317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Less valuation allowance</w:t>
            </w: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(414,614)</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(418,317)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deferred tax assets</w:t>
            </w:r>
          </w:p>
        </w:tc>
        <w:tc>
          <w:tcPr>
            <w:tcW w:w="264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3"/>
            <w:shd w:val="clear" w:color="auto" w:fill="CCEEFF"/>
          </w:tcPr>
          <w:p>
            <w:pPr>
              <w:ind w:left="98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122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firstLine="605"/>
        <w:spacing w:after="0" w:line="268" w:lineRule="auto"/>
        <w:rPr>
          <w:sz w:val="20"/>
          <w:szCs w:val="20"/>
          <w:color w:val="auto"/>
        </w:rPr>
      </w:pPr>
      <w:r>
        <w:rPr>
          <w:rFonts w:ascii="Times New Roman" w:cs="Times New Roman" w:eastAsia="Times New Roman" w:hAnsi="Times New Roman"/>
          <w:sz w:val="17"/>
          <w:szCs w:val="17"/>
          <w:color w:val="auto"/>
        </w:rPr>
        <w:t>There was approximately $2.2 million of current income tax expense for the year ended December 31, 2024. Income tax expense differed from amounts computed by applying the US federal income tax rate of 21% for the years ending December 31, 2024, 2023 and 2022, to pretax income (loss) as follows: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7"/>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0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line="194" w:lineRule="exact"/>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line="194" w:lineRule="exact"/>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line="194" w:lineRule="exact"/>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 as reported in the consolidated statements of operations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25,594</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13,062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Computed “expected” tax benefit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5,375</w:t>
            </w:r>
          </w:p>
        </w:tc>
        <w:tc>
          <w:tcPr>
            <w:tcW w:w="140" w:type="dxa"/>
            <w:vAlign w:val="bottom"/>
          </w:tcPr>
          <w:p>
            <w:pPr>
              <w:spacing w:after="0"/>
              <w:rPr>
                <w:sz w:val="17"/>
                <w:szCs w:val="17"/>
                <w:color w:val="auto"/>
              </w:rPr>
            </w:pP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w:t>
            </w:r>
          </w:p>
        </w:tc>
        <w:tc>
          <w:tcPr>
            <w:tcW w:w="22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 in income taxes resulting from:</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and local taxes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(700)</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(8,457)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(4,637)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(3,402)</w:t>
            </w:r>
          </w:p>
        </w:tc>
        <w:tc>
          <w:tcPr>
            <w:tcW w:w="3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Officer Compensation Limitation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(740)</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Provision-to-return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(9,235)</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Prior period state tax benefit</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(3,508)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3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(1,602)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(10,616)</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Change in state tax rates</w:t>
            </w:r>
          </w:p>
        </w:tc>
        <w:tc>
          <w:tcPr>
            <w:tcW w:w="34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the balance of the valuation allowance for deferred tax assets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17,954</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40" w:type="dxa"/>
            <w:vAlign w:val="bottom"/>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2,211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390</w:t>
            </w:r>
          </w:p>
        </w:tc>
        <w:tc>
          <w:tcPr>
            <w:tcW w:w="380" w:type="dxa"/>
            <w:vAlign w:val="bottom"/>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file income tax returns in the U.S Federal and various state and local jurisdictions. With certain exceptions, the Company is no longer subject to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and state income tax examinations by tax authorities for years prior to 2021. However, NOLs and tax credits generated from those prior years could still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adjusted upon audit.</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Company would recognize interest and penalties, if any, to uncertain tax position in income tax expense in the statement of operations. There was no accrual for interest and penalties related to uncertain tax positions for 2024. We do not believe that there will be a material change in our unrecognized tax positions over the next twelve months. All of the unrecognized tax benefits, if recognized, would be offset by the valuation allowance.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NOTE 10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LICENSE AGREEMENTS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BRIUMVI (Ublituximab)</w:t>
      </w:r>
    </w:p>
    <w:p>
      <w:pPr>
        <w:spacing w:after="0" w:line="212"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For the period ended December 31, 2024, we have incurred expenses of approximately $31.0 million related to the achievement of certain milestones of the LFB License Agreement. These expenses are included in other research and development expenses in the accompanying consolidated statements of operations. As of December 31, 2024, we had approximately zero recorded in accounts payable related to the LFB License Agreement.</w:t>
      </w:r>
    </w:p>
    <w:p>
      <w:pPr>
        <w:spacing w:after="0" w:line="176" w:lineRule="exact"/>
        <w:rPr>
          <w:sz w:val="20"/>
          <w:szCs w:val="20"/>
          <w:color w:val="auto"/>
        </w:rPr>
      </w:pPr>
    </w:p>
    <w:p>
      <w:pPr>
        <w:jc w:val="both"/>
        <w:ind w:left="20" w:firstLine="605"/>
        <w:spacing w:after="0" w:line="254" w:lineRule="auto"/>
        <w:rPr>
          <w:sz w:val="20"/>
          <w:szCs w:val="20"/>
          <w:color w:val="auto"/>
        </w:rPr>
      </w:pPr>
      <w:r>
        <w:rPr>
          <w:rFonts w:ascii="Times New Roman" w:cs="Times New Roman" w:eastAsia="Times New Roman" w:hAnsi="Times New Roman"/>
          <w:sz w:val="17"/>
          <w:szCs w:val="17"/>
          <w:color w:val="auto"/>
        </w:rPr>
        <w:t>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year ended December 31, 2024, the Company recorded $30.7 million related to the worldwide royalty due under the LFB License Agreement in cost of revenue based on U.S. sales of BRIUMVI and as of December 31, 2024, approximately $10.3 million in royalties were payable under the LFB License Agreement.</w:t>
      </w:r>
    </w:p>
    <w:p>
      <w:pPr>
        <w:spacing w:after="0" w:line="176" w:lineRule="exact"/>
        <w:rPr>
          <w:sz w:val="20"/>
          <w:szCs w:val="20"/>
          <w:color w:val="auto"/>
        </w:rPr>
      </w:pPr>
    </w:p>
    <w:p>
      <w:pPr>
        <w:jc w:val="both"/>
        <w:ind w:left="20" w:firstLine="605"/>
        <w:spacing w:after="0" w:line="256" w:lineRule="auto"/>
        <w:rPr>
          <w:sz w:val="20"/>
          <w:szCs w:val="20"/>
          <w:color w:val="auto"/>
        </w:rPr>
      </w:pPr>
      <w:r>
        <w:rPr>
          <w:rFonts w:ascii="Times New Roman" w:cs="Times New Roman" w:eastAsia="Times New Roman" w:hAnsi="Times New Roman"/>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75"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$0.2 million for each of the years ended December 31, 2024, 2023 and 2022, and at December 31, 2024 and 2023, have deferred revenue of approximately $0.2 million and $0.3 million, respectively, associated with this $2 million payment.</w:t>
      </w:r>
    </w:p>
    <w:p>
      <w:pPr>
        <w:spacing w:after="0" w:line="160"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7"/>
          <w:szCs w:val="17"/>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59"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In July 2023, 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and excluding certain Asian countries subject to previously existing partnerships. Under the terms of the Commercialization Agreement, the Company received a one-time, non-refundable payment of $140.0 million upon contract execution (please refer to Note 2 – Revenue). The Company received a $12.5 million milestone payment in 2024 upon the first key market commercial launch in the EU and is eligible to receive up to an additional $480.0 million in milestone-based payments on achievement of certain launch and commercial milestones. In addition, TG will receive tiered double-digit royalties on net product sales up to 30%. Royalty revenue of $0.8 million was recognized during the year ended December 31, 2024. In the event of a change of control of the Company (as defined in the Commercialization Agreement), the Company retains an option to buy back all rights under the Commercialization Agreement for a period of two years thereafter.</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8" w:name="page129"/>
    <w:bookmarkEnd w:id="12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TG Therapeutics,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TG-1701: BTK</w:t>
      </w:r>
    </w:p>
    <w:p>
      <w:pPr>
        <w:spacing w:after="0" w:line="212" w:lineRule="exact"/>
        <w:rPr>
          <w:sz w:val="20"/>
          <w:szCs w:val="20"/>
          <w:color w:val="auto"/>
        </w:rPr>
      </w:pPr>
    </w:p>
    <w:p>
      <w:pPr>
        <w:jc w:val="both"/>
        <w:ind w:left="20" w:firstLine="605"/>
        <w:spacing w:after="0" w:line="253" w:lineRule="auto"/>
        <w:rPr>
          <w:sz w:val="20"/>
          <w:szCs w:val="20"/>
          <w:color w:val="auto"/>
        </w:rPr>
      </w:pPr>
      <w:r>
        <w:rPr>
          <w:rFonts w:ascii="Times New Roman" w:cs="Times New Roman" w:eastAsia="Times New Roman" w:hAnsi="Times New Roman"/>
          <w:sz w:val="17"/>
          <w:szCs w:val="17"/>
          <w:color w:val="auto"/>
        </w:rPr>
        <w:t>In January 2018, we entered into a global exclusive license agreement with Jiangsu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NOTE 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RELATED PARTY TRANSACTIONS</w:t>
      </w:r>
    </w:p>
    <w:p>
      <w:pPr>
        <w:spacing w:after="0" w:line="212" w:lineRule="exact"/>
        <w:rPr>
          <w:sz w:val="20"/>
          <w:szCs w:val="20"/>
          <w:color w:val="auto"/>
        </w:rPr>
      </w:pPr>
    </w:p>
    <w:p>
      <w:pPr>
        <w:jc w:val="both"/>
        <w:ind w:left="20" w:firstLine="605"/>
        <w:spacing w:after="0" w:line="254" w:lineRule="auto"/>
        <w:rPr>
          <w:sz w:val="20"/>
          <w:szCs w:val="20"/>
          <w:color w:val="auto"/>
        </w:rPr>
      </w:pPr>
      <w:r>
        <w:rPr>
          <w:rFonts w:ascii="Times New Roman" w:cs="Times New Roman" w:eastAsia="Times New Roman" w:hAnsi="Times New Roman"/>
          <w:sz w:val="17"/>
          <w:szCs w:val="17"/>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$1.3 million, $0.9 million and $1.3 million for shared services for the years ended December 31, 2024, 2023 and 2022, respectively, primarily related to shared personnel. Mr. Weiss, our Chairman and Chief Executive Officer, also serves as a director and Executive Vice Chairman, Strategic Development of FBIO.</w:t>
      </w:r>
    </w:p>
    <w:p>
      <w:pPr>
        <w:spacing w:after="0" w:line="176" w:lineRule="exact"/>
        <w:rPr>
          <w:sz w:val="20"/>
          <w:szCs w:val="20"/>
          <w:color w:val="auto"/>
        </w:rPr>
      </w:pPr>
    </w:p>
    <w:p>
      <w:pPr>
        <w:ind w:left="20" w:firstLine="605"/>
        <w:spacing w:after="0" w:line="255" w:lineRule="auto"/>
        <w:rPr>
          <w:sz w:val="20"/>
          <w:szCs w:val="20"/>
          <w:color w:val="auto"/>
        </w:rPr>
      </w:pPr>
      <w:r>
        <w:rPr>
          <w:rFonts w:ascii="Times New Roman" w:cs="Times New Roman" w:eastAsia="Times New Roman" w:hAnsi="Times New Roman"/>
          <w:sz w:val="17"/>
          <w:szCs w:val="17"/>
          <w:color w:val="auto"/>
        </w:rPr>
        <w:t>In March 2015, we entered into the Collaboration Agreement with Checkpoint, a subsidiary of FBIO, for the development and commercialization of anti-PD-L1 and anti-GITR antibody research programs in the field of hematological malignancies. In May 2016, as part of a broader agreement with Jubilant, we entered into a sublicense agreement (JBET Agreement) with Checkpoint for the development and commercialization of Jubilant’s novel BET inhibitor program in the field of hematological malignancies. Mr. Weiss also serves as Chairman of the Board of Directors of Checkpoint. ​</w:t>
      </w:r>
    </w:p>
    <w:p>
      <w:pPr>
        <w:spacing w:after="0" w:line="194" w:lineRule="exact"/>
        <w:rPr>
          <w:sz w:val="20"/>
          <w:szCs w:val="20"/>
          <w:color w:val="auto"/>
        </w:rPr>
      </w:pPr>
    </w:p>
    <w:p>
      <w:pPr>
        <w:ind w:left="20" w:right="420" w:firstLine="605"/>
        <w:spacing w:after="0" w:line="255" w:lineRule="auto"/>
        <w:rPr>
          <w:sz w:val="20"/>
          <w:szCs w:val="20"/>
          <w:color w:val="auto"/>
        </w:rPr>
      </w:pPr>
      <w:r>
        <w:rPr>
          <w:rFonts w:ascii="Times New Roman" w:cs="Times New Roman" w:eastAsia="Times New Roman" w:hAnsi="Times New Roman"/>
          <w:sz w:val="17"/>
          <w:szCs w:val="17"/>
          <w:color w:val="auto"/>
        </w:rPr>
        <w:t>Please refer to Note 8 - Leases for details regarding the Office Agreement with FBIO, as well as Note 10 - License Agreements for details regarding the Collaboration Agreement with Checkpoint.</w:t>
      </w: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Commitments</w:t>
      </w:r>
    </w:p>
    <w:p>
      <w:pPr>
        <w:spacing w:after="0" w:line="212" w:lineRule="exact"/>
        <w:rPr>
          <w:sz w:val="20"/>
          <w:szCs w:val="20"/>
          <w:color w:val="auto"/>
        </w:rPr>
      </w:pPr>
    </w:p>
    <w:p>
      <w:pPr>
        <w:jc w:val="both"/>
        <w:ind w:left="20" w:firstLine="605"/>
        <w:spacing w:after="0" w:line="274" w:lineRule="auto"/>
        <w:rPr>
          <w:sz w:val="20"/>
          <w:szCs w:val="20"/>
          <w:color w:val="auto"/>
        </w:rPr>
      </w:pPr>
      <w:r>
        <w:rPr>
          <w:rFonts w:ascii="Times New Roman" w:cs="Times New Roman" w:eastAsia="Times New Roman" w:hAnsi="Times New Roman"/>
          <w:sz w:val="16"/>
          <w:szCs w:val="16"/>
          <w:color w:val="auto"/>
        </w:rPr>
        <w:t>We contract with various third parties to conduct certain activities including clinical operations and contract manufacturing, and for the clinical and commercial supply of BRIUMVI. Certain contracts contain non-cancellable features or require us to make binding forecasts for future purchases. As of December 31, 2024 the Company had aggregate non-cancelable purchase commitments of $214.7 million, of which $64.2 million, $74.4 million and $76.1 million are expected to be incurred in the years 2025, 2026 and 2027, respectively. These amounts do not represent the Company's entire anticipated purchases in the future as the amounts of such obligations are dependent on the timing of future orders, and the terms of the agreement, which we believe at this time cannot be reasonably estimated.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Loan Payable</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7 – for a detail description of our loan agreement.</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8 - for a detailed description of our lease arrangements in New York, New Jersey and North Carolina.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7141210"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7"/>
                <w:szCs w:val="17"/>
                <w:b w:val="1"/>
                <w:bCs w:val="1"/>
                <w:color w:val="auto"/>
              </w:rPr>
              <w:t>TG THERAPEUTICS, INC.</w:t>
            </w:r>
          </w:p>
        </w:tc>
        <w:tc>
          <w:tcPr>
            <w:tcW w:w="100" w:type="dxa"/>
            <w:vAlign w:val="bottom"/>
          </w:tcPr>
          <w:p>
            <w:pPr>
              <w:spacing w:after="0"/>
              <w:rPr>
                <w:sz w:val="19"/>
                <w:szCs w:val="19"/>
                <w:color w:val="auto"/>
              </w:rPr>
            </w:pPr>
          </w:p>
        </w:tc>
      </w:tr>
      <w:tr>
        <w:trPr>
          <w:trHeight w:val="404"/>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Date: March 3, 2025</w:t>
            </w: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7"/>
                <w:szCs w:val="17"/>
                <w:color w:val="auto"/>
              </w:rPr>
              <w:t>By: /s/ Michael S. Weiss</w:t>
            </w:r>
          </w:p>
        </w:tc>
        <w:tc>
          <w:tcPr>
            <w:tcW w:w="100" w:type="dxa"/>
            <w:vAlign w:val="bottom"/>
          </w:tcPr>
          <w:p>
            <w:pPr>
              <w:spacing w:after="0"/>
              <w:rPr>
                <w:sz w:val="24"/>
                <w:szCs w:val="24"/>
                <w:color w:val="auto"/>
              </w:rPr>
            </w:pPr>
          </w:p>
        </w:tc>
      </w:tr>
      <w:tr>
        <w:trPr>
          <w:trHeight w:val="178"/>
        </w:trPr>
        <w:tc>
          <w:tcPr>
            <w:tcW w:w="3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1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Michael S. Weiss</w:t>
            </w:r>
          </w:p>
        </w:tc>
        <w:tc>
          <w:tcPr>
            <w:tcW w:w="100" w:type="dxa"/>
            <w:vAlign w:val="bottom"/>
          </w:tcPr>
          <w:p>
            <w:pPr>
              <w:spacing w:after="0"/>
              <w:rPr>
                <w:sz w:val="15"/>
                <w:szCs w:val="15"/>
                <w:color w:val="auto"/>
              </w:rPr>
            </w:pPr>
          </w:p>
        </w:tc>
      </w:tr>
      <w:tr>
        <w:trPr>
          <w:trHeight w:val="218"/>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100" w:type="dxa"/>
            <w:vAlign w:val="bottom"/>
          </w:tcPr>
          <w:p>
            <w:pPr>
              <w:spacing w:after="0"/>
              <w:rPr>
                <w:sz w:val="18"/>
                <w:szCs w:val="18"/>
                <w:color w:val="auto"/>
              </w:rPr>
            </w:pPr>
          </w:p>
        </w:tc>
      </w:tr>
      <w:tr>
        <w:trPr>
          <w:trHeight w:val="403"/>
        </w:trPr>
        <w:tc>
          <w:tcPr>
            <w:tcW w:w="3480" w:type="dxa"/>
            <w:vAlign w:val="bottom"/>
          </w:tcPr>
          <w:p>
            <w:pPr>
              <w:spacing w:after="0"/>
              <w:rPr>
                <w:sz w:val="24"/>
                <w:szCs w:val="24"/>
                <w:color w:val="auto"/>
              </w:rPr>
            </w:pPr>
          </w:p>
        </w:tc>
        <w:tc>
          <w:tcPr>
            <w:tcW w:w="7660" w:type="dxa"/>
            <w:vAlign w:val="bottom"/>
            <w:gridSpan w:val="2"/>
          </w:tcPr>
          <w:p>
            <w:pPr>
              <w:ind w:left="1980"/>
              <w:spacing w:after="0"/>
              <w:rPr>
                <w:sz w:val="20"/>
                <w:szCs w:val="20"/>
                <w:color w:val="auto"/>
              </w:rPr>
            </w:pPr>
            <w:r>
              <w:rPr>
                <w:rFonts w:ascii="Times New Roman" w:cs="Times New Roman" w:eastAsia="Times New Roman" w:hAnsi="Times New Roman"/>
                <w:sz w:val="17"/>
                <w:szCs w:val="17"/>
                <w:color w:val="auto"/>
              </w:rPr>
              <w:t>F-33</w:t>
            </w:r>
          </w:p>
        </w:tc>
        <w:tc>
          <w:tcPr>
            <w:tcW w:w="100" w:type="dxa"/>
            <w:vAlign w:val="bottom"/>
          </w:tcPr>
          <w:p>
            <w:pPr>
              <w:spacing w:after="0"/>
              <w:rPr>
                <w:sz w:val="24"/>
                <w:szCs w:val="24"/>
                <w:color w:val="auto"/>
              </w:rPr>
            </w:pPr>
          </w:p>
        </w:tc>
      </w:tr>
      <w:tr>
        <w:trPr>
          <w:trHeight w:val="107"/>
        </w:trPr>
        <w:tc>
          <w:tcPr>
            <w:tcW w:w="348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Form 10-K has been signed by the following persons on behalf of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Registrant on March 3, 2025, and in the capacities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Borders>
              <w:bottom w:val="single" w:sz="8" w:color="auto"/>
            </w:tcBorders>
          </w:tcPr>
          <w:p>
            <w:pPr>
              <w:jc w:val="center"/>
              <w:ind w:left="916"/>
              <w:spacing w:after="0"/>
              <w:rPr>
                <w:sz w:val="20"/>
                <w:szCs w:val="20"/>
                <w:color w:val="auto"/>
              </w:rPr>
            </w:pPr>
            <w:r>
              <w:rPr>
                <w:rFonts w:ascii="Times New Roman" w:cs="Times New Roman" w:eastAsia="Times New Roman" w:hAnsi="Times New Roman"/>
                <w:sz w:val="17"/>
                <w:szCs w:val="17"/>
                <w:b w:val="1"/>
                <w:bCs w:val="1"/>
                <w:color w:val="auto"/>
                <w:w w:val="98"/>
              </w:rPr>
              <w:t>Signatures</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178"/>
        </w:trPr>
        <w:tc>
          <w:tcPr>
            <w:tcW w:w="4520" w:type="dxa"/>
            <w:vAlign w:val="bottom"/>
          </w:tcPr>
          <w:p>
            <w:pPr>
              <w:jc w:val="center"/>
              <w:ind w:left="956"/>
              <w:spacing w:after="0" w:line="178" w:lineRule="exact"/>
              <w:rPr>
                <w:sz w:val="20"/>
                <w:szCs w:val="20"/>
                <w:color w:val="auto"/>
              </w:rPr>
            </w:pPr>
            <w:r>
              <w:rPr>
                <w:rFonts w:ascii="Times New Roman" w:cs="Times New Roman" w:eastAsia="Times New Roman" w:hAnsi="Times New Roman"/>
                <w:sz w:val="17"/>
                <w:szCs w:val="17"/>
                <w:color w:val="auto"/>
                <w:w w:val="97"/>
              </w:rPr>
              <w:t>/s/ Michael S. Weiss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Pr>
          <w:p>
            <w:pPr>
              <w:spacing w:after="0"/>
              <w:rPr>
                <w:sz w:val="15"/>
                <w:szCs w:val="15"/>
                <w:color w:val="auto"/>
              </w:rPr>
            </w:pPr>
          </w:p>
        </w:tc>
      </w:tr>
      <w:tr>
        <w:trPr>
          <w:trHeight w:val="218"/>
        </w:trPr>
        <w:tc>
          <w:tcPr>
            <w:tcW w:w="4520" w:type="dxa"/>
            <w:vAlign w:val="bottom"/>
          </w:tcPr>
          <w:p>
            <w:pPr>
              <w:jc w:val="center"/>
              <w:ind w:left="956"/>
              <w:spacing w:after="0"/>
              <w:rPr>
                <w:sz w:val="20"/>
                <w:szCs w:val="20"/>
                <w:color w:val="auto"/>
              </w:rPr>
            </w:pPr>
            <w:r>
              <w:rPr>
                <w:rFonts w:ascii="Times New Roman" w:cs="Times New Roman" w:eastAsia="Times New Roman" w:hAnsi="Times New Roman"/>
                <w:sz w:val="17"/>
                <w:szCs w:val="17"/>
                <w:color w:val="auto"/>
                <w:w w:val="97"/>
              </w:rPr>
              <w:t>Michael S. Weiss</w:t>
            </w:r>
          </w:p>
        </w:tc>
        <w:tc>
          <w:tcPr>
            <w:tcW w:w="10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Chairman, Chief Executive Officer and President</w:t>
            </w:r>
          </w:p>
        </w:tc>
      </w:tr>
      <w:tr>
        <w:trPr>
          <w:trHeight w:val="387"/>
        </w:trPr>
        <w:tc>
          <w:tcPr>
            <w:tcW w:w="4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w w:val="98"/>
              </w:rPr>
              <w:t>/s/ Sean A. Power</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8"/>
        </w:trPr>
        <w:tc>
          <w:tcPr>
            <w:tcW w:w="4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w w:val="98"/>
              </w:rPr>
              <w:t>Sean A. Power</w:t>
            </w:r>
          </w:p>
        </w:tc>
        <w:tc>
          <w:tcPr>
            <w:tcW w:w="10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Financial Officer, Treasurer and Corporate Secretary</w:t>
            </w:r>
          </w:p>
        </w:tc>
      </w:tr>
      <w:tr>
        <w:trPr>
          <w:trHeight w:val="387"/>
        </w:trPr>
        <w:tc>
          <w:tcPr>
            <w:tcW w:w="4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w w:val="98"/>
              </w:rPr>
              <w:t>/s/ Laurence N. Charney</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8"/>
        </w:trPr>
        <w:tc>
          <w:tcPr>
            <w:tcW w:w="4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w w:val="98"/>
              </w:rPr>
              <w:t>Laurence N. Charney</w:t>
            </w:r>
          </w:p>
        </w:tc>
        <w:tc>
          <w:tcPr>
            <w:tcW w:w="10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387"/>
        </w:trPr>
        <w:tc>
          <w:tcPr>
            <w:tcW w:w="4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w w:val="98"/>
              </w:rPr>
              <w:t>/s/ Yann Echelard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8"/>
        </w:trPr>
        <w:tc>
          <w:tcPr>
            <w:tcW w:w="4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w w:val="98"/>
              </w:rPr>
              <w:t>Yann Echelard</w:t>
            </w:r>
          </w:p>
        </w:tc>
        <w:tc>
          <w:tcPr>
            <w:tcW w:w="10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387"/>
        </w:trPr>
        <w:tc>
          <w:tcPr>
            <w:tcW w:w="4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w w:val="98"/>
              </w:rPr>
              <w:t>/s/ Kenneth Hoberman</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8"/>
        </w:trPr>
        <w:tc>
          <w:tcPr>
            <w:tcW w:w="4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w w:val="98"/>
              </w:rPr>
              <w:t>Kenneth Hoberman</w:t>
            </w:r>
          </w:p>
        </w:tc>
        <w:tc>
          <w:tcPr>
            <w:tcW w:w="10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387"/>
        </w:trPr>
        <w:tc>
          <w:tcPr>
            <w:tcW w:w="4520" w:type="dxa"/>
            <w:vAlign w:val="bottom"/>
          </w:tcPr>
          <w:p>
            <w:pPr>
              <w:jc w:val="center"/>
              <w:ind w:left="936"/>
              <w:spacing w:after="0"/>
              <w:rPr>
                <w:sz w:val="20"/>
                <w:szCs w:val="20"/>
                <w:color w:val="auto"/>
              </w:rPr>
            </w:pPr>
            <w:r>
              <w:rPr>
                <w:rFonts w:ascii="Times New Roman" w:cs="Times New Roman" w:eastAsia="Times New Roman" w:hAnsi="Times New Roman"/>
                <w:sz w:val="17"/>
                <w:szCs w:val="17"/>
                <w:color w:val="auto"/>
                <w:w w:val="98"/>
              </w:rPr>
              <w:t>/s/ Daniel Hume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8"/>
        </w:trPr>
        <w:tc>
          <w:tcPr>
            <w:tcW w:w="4520" w:type="dxa"/>
            <w:vAlign w:val="bottom"/>
          </w:tcPr>
          <w:p>
            <w:pPr>
              <w:jc w:val="center"/>
              <w:ind w:left="936"/>
              <w:spacing w:after="0"/>
              <w:rPr>
                <w:sz w:val="20"/>
                <w:szCs w:val="20"/>
                <w:color w:val="auto"/>
              </w:rPr>
            </w:pPr>
            <w:r>
              <w:rPr>
                <w:rFonts w:ascii="Times New Roman" w:cs="Times New Roman" w:eastAsia="Times New Roman" w:hAnsi="Times New Roman"/>
                <w:sz w:val="17"/>
                <w:szCs w:val="17"/>
                <w:color w:val="auto"/>
                <w:w w:val="98"/>
              </w:rPr>
              <w:t>Daniel Hume</w:t>
            </w:r>
          </w:p>
        </w:tc>
        <w:tc>
          <w:tcPr>
            <w:tcW w:w="10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387"/>
        </w:trPr>
        <w:tc>
          <w:tcPr>
            <w:tcW w:w="4520" w:type="dxa"/>
            <w:vAlign w:val="bottom"/>
          </w:tcPr>
          <w:p>
            <w:pPr>
              <w:jc w:val="center"/>
              <w:ind w:left="936"/>
              <w:spacing w:after="0"/>
              <w:rPr>
                <w:sz w:val="20"/>
                <w:szCs w:val="20"/>
                <w:color w:val="auto"/>
              </w:rPr>
            </w:pPr>
            <w:r>
              <w:rPr>
                <w:rFonts w:ascii="Times New Roman" w:cs="Times New Roman" w:eastAsia="Times New Roman" w:hAnsi="Times New Roman"/>
                <w:sz w:val="17"/>
                <w:szCs w:val="17"/>
                <w:color w:val="auto"/>
                <w:w w:val="98"/>
              </w:rPr>
              <w:t>/s/ Sagar Lonial</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8"/>
        </w:trPr>
        <w:tc>
          <w:tcPr>
            <w:tcW w:w="4520" w:type="dxa"/>
            <w:vAlign w:val="bottom"/>
          </w:tcPr>
          <w:p>
            <w:pPr>
              <w:jc w:val="center"/>
              <w:ind w:left="936"/>
              <w:spacing w:after="0"/>
              <w:rPr>
                <w:sz w:val="20"/>
                <w:szCs w:val="20"/>
                <w:color w:val="auto"/>
              </w:rPr>
            </w:pPr>
            <w:r>
              <w:rPr>
                <w:rFonts w:ascii="Times New Roman" w:cs="Times New Roman" w:eastAsia="Times New Roman" w:hAnsi="Times New Roman"/>
                <w:sz w:val="17"/>
                <w:szCs w:val="17"/>
                <w:color w:val="auto"/>
                <w:w w:val="98"/>
              </w:rPr>
              <w:t>Sagar Lonial</w:t>
            </w:r>
          </w:p>
        </w:tc>
        <w:tc>
          <w:tcPr>
            <w:tcW w:w="10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403"/>
        </w:trPr>
        <w:tc>
          <w:tcPr>
            <w:tcW w:w="4520" w:type="dxa"/>
            <w:vAlign w:val="bottom"/>
          </w:tcPr>
          <w:p>
            <w:pPr>
              <w:spacing w:after="0"/>
              <w:rPr>
                <w:sz w:val="24"/>
                <w:szCs w:val="24"/>
                <w:color w:val="auto"/>
              </w:rPr>
            </w:pPr>
          </w:p>
        </w:tc>
        <w:tc>
          <w:tcPr>
            <w:tcW w:w="672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auto"/>
              </w:rPr>
              <w:t>F-34</w:t>
            </w:r>
          </w:p>
        </w:tc>
      </w:tr>
    </w:tbl>
    <w:p>
      <w:pPr>
        <w:sectPr>
          <w:pgSz w:w="11900" w:h="16838" w:orient="portrait"/>
          <w:cols w:equalWidth="0" w:num="1">
            <w:col w:w="11240"/>
          </w:cols>
          <w:pgMar w:left="320" w:top="12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Subsidiaries of TG Therapeutics,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Ariston Pharmaceuticals,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TG Biologics,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TG Therapeutics AUS Pty Ltd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TG Cell Therapy, Inc.</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19"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u w:val="single" w:color="auto"/>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08" w:lineRule="exact"/>
        <w:rPr>
          <w:sz w:val="20"/>
          <w:szCs w:val="20"/>
          <w:color w:val="auto"/>
        </w:rPr>
      </w:pPr>
    </w:p>
    <w:p>
      <w:pPr>
        <w:ind w:right="280" w:firstLine="605"/>
        <w:spacing w:after="0" w:line="26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 333-265838) on Form S-8 and (No. 333-267262) on Form S-3ASR of our reports dated March 3, 2025, with respect to the consolidated financial statements of TG Therapeutics, Inc. and the effectiveness of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2025</w:t>
      </w:r>
    </w:p>
    <w:p>
      <w:pPr>
        <w:sectPr>
          <w:pgSz w:w="11900" w:h="16838" w:orient="portrait"/>
          <w:cols w:equalWidth="0" w:num="1">
            <w:col w:w="11240"/>
          </w:cols>
          <w:pgMar w:left="320" w:top="119"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S. Weiss, certify that:</w:t>
      </w:r>
    </w:p>
    <w:p>
      <w:pPr>
        <w:spacing w:after="0" w:line="208" w:lineRule="exact"/>
        <w:rPr>
          <w:sz w:val="20"/>
          <w:szCs w:val="20"/>
          <w:color w:val="auto"/>
        </w:rPr>
      </w:pPr>
    </w:p>
    <w:p>
      <w:pPr>
        <w:ind w:left="300" w:hanging="299"/>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TG Therapeutics, Inc.;</w:t>
      </w:r>
    </w:p>
    <w:p>
      <w:pPr>
        <w:spacing w:after="0" w:line="207" w:lineRule="exact"/>
        <w:rPr>
          <w:rFonts w:ascii="Times New Roman" w:cs="Times New Roman" w:eastAsia="Times New Roman" w:hAnsi="Times New Roman"/>
          <w:sz w:val="17"/>
          <w:szCs w:val="17"/>
          <w:color w:val="auto"/>
        </w:rPr>
      </w:pPr>
    </w:p>
    <w:p>
      <w:pPr>
        <w:ind w:left="300" w:right="400" w:hanging="299"/>
        <w:spacing w:after="0" w:line="274"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300" w:right="500" w:hanging="299"/>
        <w:spacing w:after="0" w:line="274"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300" w:right="180" w:hanging="299"/>
        <w:spacing w:after="0" w:line="261"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ind w:left="600" w:right="80" w:hanging="297"/>
        <w:spacing w:after="0" w:line="261" w:lineRule="auto"/>
        <w:tabs>
          <w:tab w:leader="none" w:pos="60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ind w:left="600" w:right="240" w:hanging="297"/>
        <w:spacing w:after="0" w:line="261" w:lineRule="auto"/>
        <w:tabs>
          <w:tab w:leader="none" w:pos="60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600" w:right="220" w:hanging="297"/>
        <w:spacing w:after="0" w:line="274" w:lineRule="auto"/>
        <w:tabs>
          <w:tab w:leader="none" w:pos="60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ind w:left="600" w:right="180" w:hanging="297"/>
        <w:spacing w:after="0" w:line="261" w:lineRule="auto"/>
        <w:tabs>
          <w:tab w:leader="none" w:pos="60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right="100" w:hanging="299"/>
        <w:spacing w:after="0" w:line="274"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600" w:right="420" w:hanging="297"/>
        <w:spacing w:after="0" w:line="274" w:lineRule="auto"/>
        <w:tabs>
          <w:tab w:leader="none" w:pos="60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S. Weiss</w:t>
            </w: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56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Michael S. Weiss</w:t>
            </w:r>
          </w:p>
        </w:tc>
        <w:tc>
          <w:tcPr>
            <w:tcW w:w="0" w:type="dxa"/>
            <w:vAlign w:val="bottom"/>
          </w:tcPr>
          <w:p>
            <w:pPr>
              <w:spacing w:after="0"/>
              <w:rPr>
                <w:sz w:val="1"/>
                <w:szCs w:val="1"/>
                <w:color w:val="auto"/>
              </w:rPr>
            </w:pPr>
          </w:p>
        </w:tc>
      </w:tr>
      <w:tr>
        <w:trPr>
          <w:trHeight w:val="218"/>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Chairman, Chief Executive Officer and President</w:t>
            </w:r>
          </w:p>
        </w:tc>
        <w:tc>
          <w:tcPr>
            <w:tcW w:w="0" w:type="dxa"/>
            <w:vAlign w:val="bottom"/>
          </w:tcPr>
          <w:p>
            <w:pPr>
              <w:spacing w:after="0"/>
              <w:rPr>
                <w:sz w:val="1"/>
                <w:szCs w:val="1"/>
                <w:color w:val="auto"/>
              </w:rPr>
            </w:pPr>
          </w:p>
        </w:tc>
      </w:tr>
      <w:tr>
        <w:trPr>
          <w:trHeight w:val="202"/>
        </w:trPr>
        <w:tc>
          <w:tcPr>
            <w:tcW w:w="5620" w:type="dxa"/>
            <w:vAlign w:val="bottom"/>
            <w:vMerge w:val="continue"/>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A. Power, certify that:</w:t>
      </w:r>
    </w:p>
    <w:p>
      <w:pPr>
        <w:spacing w:after="0" w:line="208" w:lineRule="exact"/>
        <w:rPr>
          <w:sz w:val="20"/>
          <w:szCs w:val="20"/>
          <w:color w:val="auto"/>
        </w:rPr>
      </w:pPr>
    </w:p>
    <w:p>
      <w:pPr>
        <w:ind w:left="300" w:hanging="299"/>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TG Therapeutics, Inc.;</w:t>
      </w:r>
    </w:p>
    <w:p>
      <w:pPr>
        <w:spacing w:after="0" w:line="207" w:lineRule="exact"/>
        <w:rPr>
          <w:rFonts w:ascii="Times New Roman" w:cs="Times New Roman" w:eastAsia="Times New Roman" w:hAnsi="Times New Roman"/>
          <w:sz w:val="17"/>
          <w:szCs w:val="17"/>
          <w:color w:val="auto"/>
        </w:rPr>
      </w:pPr>
    </w:p>
    <w:p>
      <w:pPr>
        <w:ind w:left="300" w:right="400" w:hanging="299"/>
        <w:spacing w:after="0" w:line="274" w:lineRule="auto"/>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300" w:right="500" w:hanging="299"/>
        <w:spacing w:after="0" w:line="274" w:lineRule="auto"/>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300" w:right="180" w:hanging="299"/>
        <w:spacing w:after="0" w:line="261" w:lineRule="auto"/>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ind w:left="600" w:right="80" w:hanging="297"/>
        <w:spacing w:after="0" w:line="261"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ind w:left="600" w:right="240" w:hanging="297"/>
        <w:spacing w:after="0" w:line="261"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600" w:right="220" w:hanging="297"/>
        <w:spacing w:after="0" w:line="274"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ind w:left="600" w:right="180" w:hanging="297"/>
        <w:spacing w:after="0" w:line="261"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right="100" w:hanging="299"/>
        <w:spacing w:after="0" w:line="274" w:lineRule="auto"/>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600" w:right="420" w:hanging="297"/>
        <w:spacing w:after="0" w:line="274"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3, 2025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Sean A. Power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3570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2">
            <w:col w:w="4900" w:space="720"/>
            <w:col w:w="5620"/>
          </w:cols>
          <w:pgMar w:left="320" w:top="119" w:right="339" w:bottom="1440" w:gutter="0" w:footer="0" w:header="0"/>
          <w:type w:val="continuous"/>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CHIEF EXECUTIVE OFFICER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of TG Therapeutics, Inc. (the “Company”) on Form 10-K for the year ended December 31, 2024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69" w:lineRule="exact"/>
        <w:rPr>
          <w:sz w:val="20"/>
          <w:szCs w:val="20"/>
          <w:color w:val="auto"/>
        </w:rPr>
      </w:pPr>
    </w:p>
    <w:p>
      <w:pPr>
        <w:ind w:left="600" w:hanging="297"/>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S. Weiss</w:t>
            </w: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56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Michael S. Weiss</w:t>
            </w:r>
          </w:p>
        </w:tc>
        <w:tc>
          <w:tcPr>
            <w:tcW w:w="0" w:type="dxa"/>
            <w:vAlign w:val="bottom"/>
          </w:tcPr>
          <w:p>
            <w:pPr>
              <w:spacing w:after="0"/>
              <w:rPr>
                <w:sz w:val="1"/>
                <w:szCs w:val="1"/>
                <w:color w:val="auto"/>
              </w:rPr>
            </w:pPr>
          </w:p>
        </w:tc>
      </w:tr>
      <w:tr>
        <w:trPr>
          <w:trHeight w:val="218"/>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Chairman, Chief Executive Officer and President</w:t>
            </w:r>
          </w:p>
        </w:tc>
        <w:tc>
          <w:tcPr>
            <w:tcW w:w="0" w:type="dxa"/>
            <w:vAlign w:val="bottom"/>
          </w:tcPr>
          <w:p>
            <w:pPr>
              <w:spacing w:after="0"/>
              <w:rPr>
                <w:sz w:val="1"/>
                <w:szCs w:val="1"/>
                <w:color w:val="auto"/>
              </w:rPr>
            </w:pPr>
          </w:p>
        </w:tc>
      </w:tr>
      <w:tr>
        <w:trPr>
          <w:trHeight w:val="202"/>
        </w:trPr>
        <w:tc>
          <w:tcPr>
            <w:tcW w:w="5620" w:type="dxa"/>
            <w:vAlign w:val="bottom"/>
            <w:vMerge w:val="continue"/>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CHIEF FINANCIAL OFFICER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TG THERAPEUTICS,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of TG Therapeutics, Inc. (the “Company”) on Form 10-K for the year ended December 31, 2024 as filed with the Securities and Exchange Commission (the “Report”), I, Sean A. Power, Chief Financial Officer of the Company, certify, pursuant to 18 U.S.C. §1350, as adopted pursuant to §906 of the Sarbanes-Oxley Act of 2002, that, based on my knowledge:</w:t>
      </w:r>
    </w:p>
    <w:p>
      <w:pPr>
        <w:spacing w:after="0" w:line="169" w:lineRule="exact"/>
        <w:rPr>
          <w:sz w:val="20"/>
          <w:szCs w:val="20"/>
          <w:color w:val="auto"/>
        </w:rPr>
      </w:pPr>
    </w:p>
    <w:p>
      <w:pPr>
        <w:ind w:left="600" w:hanging="297"/>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33"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9" w:right="339" w:bottom="1440" w:gutter="0" w:footer="0" w:header="0"/>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3, 2025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Sean A. Power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3570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sectPr>
      <w:pgSz w:w="11900" w:h="16838" w:orient="portrait"/>
      <w:cols w:equalWidth="0" w:num="2">
        <w:col w:w="4900" w:space="720"/>
        <w:col w:w="5620"/>
      </w:cols>
      <w:pgMar w:left="320" w:top="11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lvl w:ilvl="1">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decimal"/>
      <w:start w:val="10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lowerRoman"/>
      <w:start w:val="2"/>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60"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119" Type="http://schemas.openxmlformats.org/officeDocument/2006/relationships/hyperlink" Target="http://www.sec.gov/Archives/edgar/data/1001316/000114420412044111/v320662_ex3-1.htm" TargetMode="External"/><Relationship Id="rId120" Type="http://schemas.openxmlformats.org/officeDocument/2006/relationships/hyperlink" Target="http://www.sec.gov/Archives/edgar/data/1001316/000114420414044721/v383699_ex3-2.htm" TargetMode="External"/><Relationship Id="rId121" Type="http://schemas.openxmlformats.org/officeDocument/2006/relationships/hyperlink" Target="http://www.sec.gov/Archives/edgar/data/1001316/000155837021008482/tgtx-20210616xex3d1.htm" TargetMode="External"/><Relationship Id="rId122" Type="http://schemas.openxmlformats.org/officeDocument/2006/relationships/hyperlink" Target="http://www.sec.gov/Archives/edgar/data/1001316/000143774924020510/ex_688590.htm" TargetMode="External"/><Relationship Id="rId123" Type="http://schemas.openxmlformats.org/officeDocument/2006/relationships/hyperlink" Target="http://www.sec.gov/Archives/edgar/data/1001316/000114420414043936/v384259_ex3-1.htm" TargetMode="External"/><Relationship Id="rId124" Type="http://schemas.openxmlformats.org/officeDocument/2006/relationships/hyperlink" Target="http://www.sec.gov/Archives/edgar/data/1001316/000114420412014947/v305275_ex4-1.htm" TargetMode="External"/><Relationship Id="rId125" Type="http://schemas.openxmlformats.org/officeDocument/2006/relationships/hyperlink" Target="http://www.sec.gov/Archives/edgar/data/1001316/000155837021002149/tgtx-20201231xex4d5.htm" TargetMode="External"/><Relationship Id="rId126" Type="http://schemas.openxmlformats.org/officeDocument/2006/relationships/hyperlink" Target="http://www.sec.gov/Archives/edgar/data/1001316/000114420412014947/v305275_ex10-31.htm" TargetMode="External"/><Relationship Id="rId127" Type="http://schemas.openxmlformats.org/officeDocument/2006/relationships/hyperlink" Target="http://www.sec.gov/Archives/edgar/data/1001316/000114420413039748/v350136_ex10-1.htm" TargetMode="External"/><Relationship Id="rId128" Type="http://schemas.openxmlformats.org/officeDocument/2006/relationships/hyperlink" Target="http://www.sec.gov/Archives/edgar/data/1001316/000114420415001128/v398294_ex10-1.htm" TargetMode="External"/><Relationship Id="rId129" Type="http://schemas.openxmlformats.org/officeDocument/2006/relationships/hyperlink" Target="http://www.sec.gov/Archives/edgar/data/1001316/000114420412014947/v305275_ex10-32.htm" TargetMode="External"/><Relationship Id="rId130" Type="http://schemas.openxmlformats.org/officeDocument/2006/relationships/hyperlink" Target="http://www.sec.gov/Archives/edgar/data/1001316/000114420412014947/v305275_ex10-33.htm" TargetMode="External"/><Relationship Id="rId131" Type="http://schemas.openxmlformats.org/officeDocument/2006/relationships/hyperlink" Target="http://www.sec.gov/Archives/edgar/data/1001316/000114420413039748/v350136_ex10-2.htm" TargetMode="External"/><Relationship Id="rId132" Type="http://schemas.openxmlformats.org/officeDocument/2006/relationships/hyperlink" Target="http://www.sec.gov/Archives/edgar/data/1001316/000114420415001128/v398294_ex10-2.htm" TargetMode="External"/><Relationship Id="rId133" Type="http://schemas.openxmlformats.org/officeDocument/2006/relationships/hyperlink" Target="http://www.sec.gov/Archives/edgar/data/1001316/000114420412014947/v305275_ex10-35.htm" TargetMode="External"/><Relationship Id="rId134" Type="http://schemas.openxmlformats.org/officeDocument/2006/relationships/hyperlink" Target="http://www.sec.gov/Archives/edgar/data/1001316/000114420413016691/v335518_ex10-37.htm" TargetMode="External"/><Relationship Id="rId135" Type="http://schemas.openxmlformats.org/officeDocument/2006/relationships/hyperlink" Target="http://www.sec.gov/Archives/edgar/data/1001316/000114420414044721/v383699_ex10-1.htm" TargetMode="External"/><Relationship Id="rId136" Type="http://schemas.openxmlformats.org/officeDocument/2006/relationships/hyperlink" Target="http://www.sec.gov/Archives/edgar/data/1001316/000114420415002790/v399000_ex10-1.htm" TargetMode="External"/><Relationship Id="rId137" Type="http://schemas.openxmlformats.org/officeDocument/2006/relationships/hyperlink" Target="http://www.sec.gov/Archives/edgar/data/1001316/000165495416001302/Exhibit10-1_Sublicense.htm" TargetMode="External"/><Relationship Id="rId138" Type="http://schemas.openxmlformats.org/officeDocument/2006/relationships/hyperlink" Target="http://www.sec.gov/Archives/edgar/data/1001316/000165495417002229/v032117_EX1018.htm" TargetMode="External"/><Relationship Id="rId139" Type="http://schemas.openxmlformats.org/officeDocument/2006/relationships/hyperlink" Target="http://www.sec.gov/Archives/edgar/data/1001316/000165495418002638/tgtx_ex1020.htm" TargetMode="External"/><Relationship Id="rId140" Type="http://schemas.openxmlformats.org/officeDocument/2006/relationships/hyperlink" Target="http://www.sec.gov/Archives/edgar/data/1001316/000165495418008750/exhibit10-20.htm" TargetMode="External"/><Relationship Id="rId141" Type="http://schemas.openxmlformats.org/officeDocument/2006/relationships/hyperlink" Target="http://www.sec.gov/Archives/edgar/data/1001316/000165495419009176/tgtx_ex102.htm" TargetMode="External"/><Relationship Id="rId142" Type="http://schemas.openxmlformats.org/officeDocument/2006/relationships/hyperlink" Target="http://www.sec.gov/Archives/edgar/data/1001316/000165495419002276/v030519_ex103.htm" TargetMode="External"/><Relationship Id="rId143" Type="http://schemas.openxmlformats.org/officeDocument/2006/relationships/hyperlink" Target="http://www.sec.gov/Archives/edgar/data/1001316/000165495419002276/v030519_ex104.htm" TargetMode="External"/><Relationship Id="rId144" Type="http://schemas.openxmlformats.org/officeDocument/2006/relationships/hyperlink" Target="http://www.sec.gov/Archives/edgar/data/1001316/000165495419009176/tgtx_ex101.htm" TargetMode="External"/><Relationship Id="rId145" Type="http://schemas.openxmlformats.org/officeDocument/2006/relationships/hyperlink" Target="http://www.sec.gov/Archives/edgar/data/1001316/000155837021010837/tgtx-20210630xex10d1.htm" TargetMode="External"/><Relationship Id="rId146" Type="http://schemas.openxmlformats.org/officeDocument/2006/relationships/hyperlink" Target="http://www.sec.gov/Archives/edgar/data/1001316/000155837022010227/tgtx-20220616xex10d1.htm" TargetMode="External"/><Relationship Id="rId147" Type="http://schemas.openxmlformats.org/officeDocument/2006/relationships/hyperlink" Target="http://www.sec.gov/Archives/edgar/data/1001316/000143774924020510/ex_688591.htm" TargetMode="External"/><Relationship Id="rId148" Type="http://schemas.openxmlformats.org/officeDocument/2006/relationships/hyperlink" Target="http://www.sec.gov/Archives/edgar/data/0001001316/000155837023008385/tgtx-20230331xex10d2.htm" TargetMode="External"/><Relationship Id="rId149" Type="http://schemas.openxmlformats.org/officeDocument/2006/relationships/hyperlink" Target="http://www.sec.gov/Archives/edgar/data/0001001316/000155837023008385/tgtx-20230331xex10d3.htm" TargetMode="External"/><Relationship Id="rId150" Type="http://schemas.openxmlformats.org/officeDocument/2006/relationships/hyperlink" Target="http://www.sec.gov/Archives/edgar/data/0001001316/000155837023008385/tgtx-20230331xex10d4.htm" TargetMode="External"/><Relationship Id="rId151" Type="http://schemas.openxmlformats.org/officeDocument/2006/relationships/hyperlink" Target="http://www.sec.gov/Archives/edgar/data/0001001316/000155837023008385/tgtx-20230331xex10d5.htm" TargetMode="External"/><Relationship Id="rId152" Type="http://schemas.openxmlformats.org/officeDocument/2006/relationships/hyperlink" Target="http://www.sec.gov/Archives/edgar/data/0001001316/000155837023008385/tgtx-20230331xex10d6.htm" TargetMode="External"/><Relationship Id="rId153" Type="http://schemas.openxmlformats.org/officeDocument/2006/relationships/hyperlink" Target="http://www.sec.gov/Archives/edgar/data/0001001316/000155837023008385/tgtx-20230331xex10d7.htm" TargetMode="External"/><Relationship Id="rId154" Type="http://schemas.openxmlformats.org/officeDocument/2006/relationships/hyperlink" Target="http://www.sec.gov/Archives/edgar/data/1001316/000155837023008385/tgtx-20230331xex10d8.htm" TargetMode="External"/><Relationship Id="rId155" Type="http://schemas.openxmlformats.org/officeDocument/2006/relationships/hyperlink" Target="http://www.sec.gov/Archives/edgar/data/1001316/000155837023013429/tgtx-20230630xex10d1.htm" TargetMode="External"/><Relationship Id="rId156" Type="http://schemas.openxmlformats.org/officeDocument/2006/relationships/hyperlink" Target="http://www.sec.gov/Archives/edgar/data/1001316/000143774924006144/ex_631839.htm" TargetMode="External"/><Relationship Id="rId157" Type="http://schemas.openxmlformats.org/officeDocument/2006/relationships/hyperlink" Target="http://www.sec.gov/Archives/edgar/data/1001316/000143774924025853/ex_711621.htm" TargetMode="External"/><Relationship Id="rId158" Type="http://schemas.openxmlformats.org/officeDocument/2006/relationships/hyperlink" Target="http://www.sec.gov/Archives/edgar/data/1001316/000143774924033948/ex_741510.htm" TargetMode="External"/><Relationship Id="rId159" Type="http://schemas.openxmlformats.org/officeDocument/2006/relationships/hyperlink" Target="http://www.sec.gov/Archives/edgar/data/1001316/000143774924006144/ex_632901.htm" TargetMode="External"/><Relationship Id="rId161" Type="http://schemas.openxmlformats.org/officeDocument/2006/relationships/hyperlink" Target="http://www.sec.gov/Archives/edgar/data/1001316/000143774924006144/ex_6329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2025-03-03T15:20:54Z</dcterms:created>
  <dcterms:modified xsi:type="dcterms:W3CDTF">2025-03-03T15:20:54Z</dcterms:modified>
</cp:coreProperties>
</file>