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5"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x </w:t>
      </w:r>
      <w:r>
        <w:rPr>
          <w:rFonts w:ascii="Arial" w:cs="Arial" w:eastAsia="Arial" w:hAnsi="Arial"/>
          <w:sz w:val="21"/>
          <w:szCs w:val="21"/>
          <w:b w:val="1"/>
          <w:bCs w:val="1"/>
          <w:color w:val="auto"/>
        </w:rPr>
        <w:t>QUARTERLY REPORT 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700" w:hanging="1356"/>
        <w:spacing w:after="0" w:line="282" w:lineRule="auto"/>
        <w:tabs>
          <w:tab w:leader="none" w:pos="290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000-30929</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TG THERAPEUTICS, INC.</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72" w:lineRule="exact"/>
        <w:rPr>
          <w:sz w:val="24"/>
          <w:szCs w:val="24"/>
          <w:color w:val="auto"/>
        </w:rPr>
      </w:pPr>
    </w:p>
    <w:tbl>
      <w:tblPr>
        <w:tblLayout w:type="fixed"/>
        <w:tblInd w:w="1280" w:type="dxa"/>
        <w:tblCellMar>
          <w:top w:w="0" w:type="dxa"/>
          <w:left w:w="0" w:type="dxa"/>
          <w:bottom w:w="0" w:type="dxa"/>
          <w:right w:w="0" w:type="dxa"/>
        </w:tblCellMar>
      </w:tblPr>
      <w:tr>
        <w:trPr>
          <w:trHeight w:val="253"/>
        </w:trPr>
        <w:tc>
          <w:tcPr>
            <w:tcW w:w="5420" w:type="dxa"/>
            <w:vAlign w:val="bottom"/>
          </w:tcPr>
          <w:p>
            <w:pPr>
              <w:jc w:val="center"/>
              <w:ind w:right="1021"/>
              <w:spacing w:after="0"/>
              <w:rPr>
                <w:sz w:val="20"/>
                <w:szCs w:val="20"/>
                <w:color w:val="auto"/>
              </w:rPr>
            </w:pPr>
            <w:r>
              <w:rPr>
                <w:rFonts w:ascii="Arial" w:cs="Arial" w:eastAsia="Arial" w:hAnsi="Arial"/>
                <w:sz w:val="22"/>
                <w:szCs w:val="22"/>
                <w:b w:val="1"/>
                <w:bCs w:val="1"/>
                <w:color w:val="auto"/>
                <w:w w:val="88"/>
              </w:rPr>
              <w:t>Delaware</w:t>
            </w:r>
          </w:p>
        </w:tc>
        <w:tc>
          <w:tcPr>
            <w:tcW w:w="3740" w:type="dxa"/>
            <w:vAlign w:val="bottom"/>
          </w:tcPr>
          <w:p>
            <w:pPr>
              <w:jc w:val="right"/>
              <w:ind w:right="770"/>
              <w:spacing w:after="0"/>
              <w:rPr>
                <w:sz w:val="20"/>
                <w:szCs w:val="20"/>
                <w:color w:val="auto"/>
              </w:rPr>
            </w:pPr>
            <w:r>
              <w:rPr>
                <w:rFonts w:ascii="Arial" w:cs="Arial" w:eastAsia="Arial" w:hAnsi="Arial"/>
                <w:sz w:val="18"/>
                <w:szCs w:val="18"/>
                <w:b w:val="1"/>
                <w:bCs w:val="1"/>
                <w:color w:val="auto"/>
              </w:rPr>
              <w:t>36-3898269</w:t>
            </w:r>
          </w:p>
        </w:tc>
      </w:tr>
      <w:tr>
        <w:trPr>
          <w:trHeight w:val="257"/>
        </w:trPr>
        <w:tc>
          <w:tcPr>
            <w:tcW w:w="5420" w:type="dxa"/>
            <w:vAlign w:val="bottom"/>
          </w:tcPr>
          <w:p>
            <w:pPr>
              <w:jc w:val="center"/>
              <w:ind w:right="1021"/>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tcPr>
          <w:p>
            <w:pPr>
              <w:jc w:val="center"/>
              <w:ind w:left="1050"/>
              <w:spacing w:after="0"/>
              <w:rPr>
                <w:sz w:val="20"/>
                <w:szCs w:val="20"/>
                <w:color w:val="auto"/>
              </w:rPr>
            </w:pPr>
            <w:r>
              <w:rPr>
                <w:rFonts w:ascii="Arial" w:cs="Arial" w:eastAsia="Arial" w:hAnsi="Arial"/>
                <w:sz w:val="18"/>
                <w:szCs w:val="18"/>
                <w:color w:val="auto"/>
                <w:w w:val="93"/>
              </w:rPr>
              <w:t>(I.R.S. Employer Identification No.)</w:t>
            </w:r>
          </w:p>
        </w:tc>
      </w:tr>
    </w:tbl>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787 Seventh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New York, New York 10019</w:t>
      </w:r>
    </w:p>
    <w:p>
      <w:pPr>
        <w:jc w:val="center"/>
        <w:ind w:right="-1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(212) 554-4484</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6" w:lineRule="exact"/>
        <w:rPr>
          <w:sz w:val="24"/>
          <w:szCs w:val="24"/>
          <w:color w:val="auto"/>
        </w:rPr>
      </w:pPr>
    </w:p>
    <w:p>
      <w:pPr>
        <w:ind w:right="4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38"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800" w:val="left"/>
        </w:tabs>
        <w:rPr>
          <w:sz w:val="20"/>
          <w:szCs w:val="20"/>
          <w:color w:val="auto"/>
        </w:rPr>
      </w:pPr>
      <w:r>
        <w:rPr>
          <w:rFonts w:ascii="Arial" w:cs="Arial" w:eastAsia="Arial" w:hAnsi="Arial"/>
          <w:sz w:val="18"/>
          <w:szCs w:val="18"/>
          <w:color w:val="auto"/>
        </w:rPr>
        <w:t>x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38"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449" w:right="239" w:bottom="1440" w:gutter="0" w:footer="0" w:header="0"/>
        </w:sectPr>
      </w:pPr>
    </w:p>
    <w:p>
      <w:pPr>
        <w:spacing w:after="0" w:line="170" w:lineRule="exact"/>
        <w:rPr>
          <w:sz w:val="24"/>
          <w:szCs w:val="24"/>
          <w:color w:val="auto"/>
        </w:rPr>
      </w:pPr>
    </w:p>
    <w:p>
      <w:pPr>
        <w:ind w:left="6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39" w:lineRule="exact"/>
        <w:rPr>
          <w:sz w:val="24"/>
          <w:szCs w:val="24"/>
          <w:color w:val="auto"/>
        </w:rPr>
      </w:pPr>
    </w:p>
    <w:p>
      <w:pPr>
        <w:sectPr>
          <w:pgSz w:w="11900" w:h="16838" w:orient="portrait"/>
          <w:cols w:equalWidth="0" w:num="3">
            <w:col w:w="2300" w:space="100"/>
            <w:col w:w="4400" w:space="720"/>
            <w:col w:w="3900"/>
          </w:cols>
          <w:pgMar w:left="240" w:top="449" w:right="239" w:bottom="1440" w:gutter="0" w:footer="0" w:header="0"/>
          <w:type w:val="continuous"/>
        </w:sectPr>
      </w:pPr>
    </w:p>
    <w:p>
      <w:pPr>
        <w:spacing w:after="0" w:line="3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3">
            <w:col w:w="2220" w:space="180"/>
            <w:col w:w="3700" w:space="720"/>
            <w:col w:w="4600"/>
          </w:cols>
          <w:pgMar w:left="240" w:top="44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checkmark whether the registrant is a shell company (as defined in Rule 12b-2 of the Exchange Act).</w:t>
      </w:r>
    </w:p>
    <w:p>
      <w:pPr>
        <w:spacing w:after="0" w:line="3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There were 33,498,860 shares of the registrant’s common stock, $0.001 par value, outstanding as of November 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jc w:val="center"/>
              <w:ind w:right="30"/>
              <w:spacing w:after="0"/>
              <w:rPr>
                <w:sz w:val="20"/>
                <w:szCs w:val="20"/>
                <w:color w:val="auto"/>
              </w:rPr>
            </w:pPr>
            <w:r>
              <w:rPr>
                <w:rFonts w:ascii="Arial" w:cs="Arial" w:eastAsia="Arial" w:hAnsi="Arial"/>
                <w:sz w:val="18"/>
                <w:szCs w:val="18"/>
                <w:b w:val="1"/>
                <w:bCs w:val="1"/>
                <w:color w:val="auto"/>
              </w:rPr>
              <w:t>TG THERAPEUTICS, INC.</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FORM 10-Q</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FOR THE QUARTER ENDED SEPTEMBER 30, 2013</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SPECIAL CAUTIONARY NOTICE REGARDING FORWARD-LOOKING STATEMENTS</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FINANCIAL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Statements: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Condensed Consolidated Balance Sheets as of September 30, 2013 (unaudited) and December 31, 2012</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9500" w:type="dxa"/>
            <w:vAlign w:val="bottom"/>
            <w:shd w:val="clear" w:color="auto" w:fill="CCFFCC"/>
          </w:tcPr>
          <w:p>
            <w:pPr>
              <w:ind w:left="360"/>
              <w:spacing w:after="0" w:line="201" w:lineRule="exact"/>
              <w:rPr>
                <w:sz w:val="20"/>
                <w:szCs w:val="20"/>
                <w:color w:val="auto"/>
              </w:rPr>
            </w:pPr>
            <w:r>
              <w:rPr>
                <w:rFonts w:ascii="Arial" w:cs="Arial" w:eastAsia="Arial" w:hAnsi="Arial"/>
                <w:sz w:val="18"/>
                <w:szCs w:val="18"/>
                <w:color w:val="auto"/>
                <w:w w:val="89"/>
              </w:rPr>
              <w:t>Condensed Consolidated Statements of Operations for the three and nine months ended September 30, 2013 and 2012 and the</w:t>
            </w:r>
          </w:p>
        </w:tc>
        <w:tc>
          <w:tcPr>
            <w:tcW w:w="90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9500" w:type="dxa"/>
            <w:vAlign w:val="bottom"/>
            <w:shd w:val="clear" w:color="auto" w:fill="CCFFCC"/>
          </w:tcPr>
          <w:p>
            <w:pPr>
              <w:ind w:left="500"/>
              <w:spacing w:after="0"/>
              <w:rPr>
                <w:sz w:val="20"/>
                <w:szCs w:val="20"/>
                <w:color w:val="auto"/>
              </w:rPr>
            </w:pPr>
            <w:r>
              <w:rPr>
                <w:rFonts w:ascii="Arial" w:cs="Arial" w:eastAsia="Arial" w:hAnsi="Arial"/>
                <w:sz w:val="18"/>
                <w:szCs w:val="18"/>
                <w:color w:val="auto"/>
              </w:rPr>
              <w:t>Cumulative Period ended September 30, 2013 (unaudited)</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Condensed Consolidated Statement of Equity for the nine months ended September 30, 2013 (unaudited)</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9500" w:type="dxa"/>
            <w:vAlign w:val="bottom"/>
            <w:shd w:val="clear" w:color="auto" w:fill="CCFFCC"/>
          </w:tcPr>
          <w:p>
            <w:pPr>
              <w:ind w:left="360"/>
              <w:spacing w:after="0" w:line="201" w:lineRule="exact"/>
              <w:rPr>
                <w:sz w:val="20"/>
                <w:szCs w:val="20"/>
                <w:color w:val="auto"/>
              </w:rPr>
            </w:pPr>
            <w:r>
              <w:rPr>
                <w:rFonts w:ascii="Arial" w:cs="Arial" w:eastAsia="Arial" w:hAnsi="Arial"/>
                <w:sz w:val="18"/>
                <w:szCs w:val="18"/>
                <w:color w:val="auto"/>
                <w:w w:val="96"/>
              </w:rPr>
              <w:t>Condensed Consolidated Statements of Cash Flows for the nine months ended September 30, 2013 and 2012 and the</w:t>
            </w:r>
          </w:p>
        </w:tc>
        <w:tc>
          <w:tcPr>
            <w:tcW w:w="90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9500" w:type="dxa"/>
            <w:vAlign w:val="bottom"/>
            <w:shd w:val="clear" w:color="auto" w:fill="CCFFCC"/>
          </w:tcPr>
          <w:p>
            <w:pPr>
              <w:ind w:left="500"/>
              <w:spacing w:after="0"/>
              <w:rPr>
                <w:sz w:val="20"/>
                <w:szCs w:val="20"/>
                <w:color w:val="auto"/>
              </w:rPr>
            </w:pPr>
            <w:r>
              <w:rPr>
                <w:rFonts w:ascii="Arial" w:cs="Arial" w:eastAsia="Arial" w:hAnsi="Arial"/>
                <w:sz w:val="18"/>
                <w:szCs w:val="18"/>
                <w:color w:val="auto"/>
              </w:rPr>
              <w:t>Cumulative Period ended September 30, 2013 (unaudited)</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Notes to Condensed Consolidated Financial Statements (unaudited)</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Item 2</w:t>
            </w:r>
          </w:p>
        </w:tc>
        <w:tc>
          <w:tcPr>
            <w:tcW w:w="9500" w:type="dxa"/>
            <w:vAlign w:val="bottom"/>
            <w:shd w:val="clear" w:color="auto" w:fill="CCFFCC"/>
          </w:tcPr>
          <w:p>
            <w:pPr>
              <w:ind w:left="360"/>
              <w:spacing w:after="0" w:line="201" w:lineRule="exact"/>
              <w:rPr>
                <w:sz w:val="20"/>
                <w:szCs w:val="20"/>
                <w:color w:val="auto"/>
              </w:rPr>
            </w:pPr>
            <w:r>
              <w:rPr>
                <w:rFonts w:ascii="Arial" w:cs="Arial" w:eastAsia="Arial" w:hAnsi="Arial"/>
                <w:sz w:val="18"/>
                <w:szCs w:val="18"/>
                <w:color w:val="auto"/>
              </w:rPr>
              <w:t>Management's Discussion and Analysis of Financial Condition and</w:t>
            </w:r>
          </w:p>
        </w:tc>
        <w:tc>
          <w:tcPr>
            <w:tcW w:w="90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95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Results of Operations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Controls and Procedures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OTHER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Legal Proceedings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Risk Factors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Exhibits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jc w:val="center"/>
              <w:ind w:right="10"/>
              <w:spacing w:after="0"/>
              <w:rPr>
                <w:sz w:val="20"/>
                <w:szCs w:val="20"/>
                <w:color w:val="auto"/>
              </w:rPr>
            </w:pPr>
            <w:r>
              <w:rPr>
                <w:rFonts w:ascii="Arial" w:cs="Arial" w:eastAsia="Arial" w:hAnsi="Arial"/>
                <w:sz w:val="18"/>
                <w:szCs w:val="18"/>
                <w:color w:val="auto"/>
                <w:w w:val="79"/>
              </w:rPr>
              <w:t>2</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volatility of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losses;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2013</w:t>
            </w:r>
          </w:p>
        </w:tc>
        <w:tc>
          <w:tcPr>
            <w:tcW w:w="2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50,183,397</w:t>
            </w:r>
          </w:p>
        </w:tc>
        <w:tc>
          <w:tcPr>
            <w:tcW w:w="100" w:type="dxa"/>
            <w:vAlign w:val="bottom"/>
            <w:shd w:val="clear" w:color="auto" w:fill="CCFFCC"/>
          </w:tcPr>
          <w:p>
            <w:pPr>
              <w:spacing w:after="0"/>
              <w:rPr>
                <w:sz w:val="18"/>
                <w:szCs w:val="18"/>
                <w:color w:val="auto"/>
              </w:rPr>
            </w:pPr>
          </w:p>
        </w:tc>
        <w:tc>
          <w:tcPr>
            <w:tcW w:w="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16,455,995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Prepaid research and development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311,500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1,990,759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118,437</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29,128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50,613,334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18,475,882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Equipment, net</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2,797,600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2,797,600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799,391</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799,391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85,121</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54,299,275</w:t>
            </w:r>
          </w:p>
        </w:tc>
        <w:tc>
          <w:tcPr>
            <w:tcW w:w="1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22,074,037</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Notes payable, current portion</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677,778</w:t>
            </w:r>
          </w:p>
        </w:tc>
        <w:tc>
          <w:tcPr>
            <w:tcW w:w="100" w:type="dxa"/>
            <w:vAlign w:val="bottom"/>
            <w:shd w:val="clear" w:color="auto" w:fill="CCFFCC"/>
          </w:tcPr>
          <w:p>
            <w:pPr>
              <w:spacing w:after="0"/>
              <w:rPr>
                <w:sz w:val="18"/>
                <w:szCs w:val="18"/>
                <w:color w:val="auto"/>
              </w:rPr>
            </w:pPr>
          </w:p>
        </w:tc>
        <w:tc>
          <w:tcPr>
            <w:tcW w:w="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677,778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4,325,313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1,117,397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Current portion of deferred revenue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152,381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payable</w:t>
            </w:r>
          </w:p>
        </w:tc>
        <w:tc>
          <w:tcPr>
            <w:tcW w:w="32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172,751</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123,511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5,678,223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2,216,067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1,714,286</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1,828,571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Notes payable, less current portion, at fair value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2,269,046</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9,661,555</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6,523,736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rPr>
              <w:t>Preferred stock, $0.001 par value per share (10,000,000 shares authorized, no shares</w:t>
            </w: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FFCC"/>
          </w:tcPr>
          <w:p>
            <w:pPr>
              <w:ind w:left="360"/>
              <w:spacing w:after="0"/>
              <w:rPr>
                <w:sz w:val="20"/>
                <w:szCs w:val="20"/>
                <w:color w:val="auto"/>
              </w:rPr>
            </w:pPr>
            <w:r>
              <w:rPr>
                <w:rFonts w:ascii="Arial" w:cs="Arial" w:eastAsia="Arial" w:hAnsi="Arial"/>
                <w:sz w:val="18"/>
                <w:szCs w:val="18"/>
                <w:color w:val="auto"/>
              </w:rPr>
              <w:t>issued and outstanding as of September 30, 2013 and December 31, 2012)</w:t>
            </w:r>
          </w:p>
        </w:tc>
        <w:tc>
          <w:tcPr>
            <w:tcW w:w="32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tcPr>
          <w:p>
            <w:pPr>
              <w:ind w:left="180"/>
              <w:spacing w:after="0" w:line="201" w:lineRule="exact"/>
              <w:rPr>
                <w:sz w:val="20"/>
                <w:szCs w:val="20"/>
                <w:color w:val="auto"/>
              </w:rPr>
            </w:pPr>
            <w:r>
              <w:rPr>
                <w:rFonts w:ascii="Arial" w:cs="Arial" w:eastAsia="Arial" w:hAnsi="Arial"/>
                <w:sz w:val="18"/>
                <w:szCs w:val="18"/>
                <w:color w:val="auto"/>
              </w:rPr>
              <w:t>Common stock, $0.001 par value per share (500,000,000 shares authorized, 33,414,135</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60"/>
              <w:spacing w:after="0"/>
              <w:rPr>
                <w:sz w:val="20"/>
                <w:szCs w:val="20"/>
                <w:color w:val="auto"/>
              </w:rPr>
            </w:pPr>
            <w:r>
              <w:rPr>
                <w:rFonts w:ascii="Arial" w:cs="Arial" w:eastAsia="Arial" w:hAnsi="Arial"/>
                <w:sz w:val="18"/>
                <w:szCs w:val="18"/>
                <w:color w:val="auto"/>
              </w:rPr>
              <w:t>and 25,820,738 shares issued, 33,400,609 and 25,807,212 shares outstanding at</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360"/>
              <w:spacing w:after="0"/>
              <w:rPr>
                <w:sz w:val="20"/>
                <w:szCs w:val="20"/>
                <w:color w:val="auto"/>
              </w:rPr>
            </w:pPr>
            <w:r>
              <w:rPr>
                <w:rFonts w:ascii="Arial" w:cs="Arial" w:eastAsia="Arial" w:hAnsi="Arial"/>
                <w:sz w:val="18"/>
                <w:szCs w:val="18"/>
                <w:color w:val="auto"/>
              </w:rPr>
              <w:t>September 30,2013 and December 31, 2012, respectively)</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Contingently issuable shares</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78,428,989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34,534,805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Treasury stock, at cost, 13,526 shares at September 30, 2013 and December 31, 2012</w:t>
            </w:r>
          </w:p>
        </w:tc>
        <w:tc>
          <w:tcPr>
            <w:tcW w:w="3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(84,538)</w:t>
            </w: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Deficit accumulated in development stage</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(33,740,151)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(18,925,793)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 equity</w:t>
            </w: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44,637,720</w:t>
            </w:r>
          </w:p>
        </w:tc>
        <w:tc>
          <w:tcPr>
            <w:tcW w:w="1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15,550,301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ind w:left="28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54,299,275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22,074,037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left="4820"/>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2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6"/>
              </w:rPr>
              <w:t>Three months ended September 30,</w:t>
            </w:r>
          </w:p>
        </w:tc>
        <w:tc>
          <w:tcPr>
            <w:tcW w:w="218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w w:val="93"/>
              </w:rPr>
              <w:t>Nine months ended September 30,</w:t>
            </w:r>
          </w:p>
        </w:tc>
        <w:tc>
          <w:tcPr>
            <w:tcW w:w="6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period ending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6"/>
            <w:vMerge w:val="continue"/>
          </w:tcPr>
          <w:p>
            <w:pPr>
              <w:spacing w:after="0"/>
              <w:rPr>
                <w:sz w:val="14"/>
                <w:szCs w:val="14"/>
                <w:color w:val="auto"/>
              </w:rPr>
            </w:pPr>
          </w:p>
        </w:tc>
        <w:tc>
          <w:tcPr>
            <w:tcW w:w="218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FFCC"/>
            </w:tcBorders>
          </w:tcPr>
          <w:p>
            <w:pPr>
              <w:spacing w:after="0"/>
              <w:rPr>
                <w:sz w:val="12"/>
                <w:szCs w:val="12"/>
                <w:color w:val="auto"/>
              </w:rPr>
            </w:pPr>
          </w:p>
        </w:tc>
        <w:tc>
          <w:tcPr>
            <w:tcW w:w="320" w:type="dxa"/>
            <w:vAlign w:val="bottom"/>
            <w:tcBorders>
              <w:bottom w:val="single" w:sz="8" w:color="CCFFC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FFC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bottom w:val="single" w:sz="8" w:color="CCFFCC"/>
            </w:tcBorders>
          </w:tcPr>
          <w:p>
            <w:pPr>
              <w:spacing w:after="0"/>
              <w:rPr>
                <w:sz w:val="12"/>
                <w:szCs w:val="12"/>
                <w:color w:val="auto"/>
              </w:rPr>
            </w:pPr>
          </w:p>
        </w:tc>
        <w:tc>
          <w:tcPr>
            <w:tcW w:w="60" w:type="dxa"/>
            <w:vAlign w:val="bottom"/>
            <w:tcBorders>
              <w:top w:val="single" w:sz="8" w:color="auto"/>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FFCC"/>
            </w:tcBorders>
          </w:tcPr>
          <w:p>
            <w:pPr>
              <w:spacing w:after="0"/>
              <w:rPr>
                <w:sz w:val="12"/>
                <w:szCs w:val="12"/>
                <w:color w:val="auto"/>
              </w:rPr>
            </w:pPr>
          </w:p>
        </w:tc>
        <w:tc>
          <w:tcPr>
            <w:tcW w:w="60" w:type="dxa"/>
            <w:vAlign w:val="bottom"/>
            <w:tcBorders>
              <w:bottom w:val="single" w:sz="8" w:color="CCFFC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License revenue</w:t>
            </w:r>
          </w:p>
        </w:tc>
        <w:tc>
          <w:tcPr>
            <w:tcW w:w="320" w:type="dxa"/>
            <w:vAlign w:val="bottom"/>
            <w:shd w:val="clear" w:color="auto" w:fill="CCFFCC"/>
          </w:tcPr>
          <w:p>
            <w:pPr>
              <w:spacing w:after="0"/>
              <w:rPr>
                <w:sz w:val="12"/>
                <w:szCs w:val="12"/>
                <w:color w:val="auto"/>
              </w:rPr>
            </w:pPr>
          </w:p>
        </w:tc>
        <w:tc>
          <w:tcPr>
            <w:tcW w:w="200" w:type="dxa"/>
            <w:vAlign w:val="bottom"/>
            <w:tcBorders>
              <w:bottom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38,096</w:t>
            </w:r>
          </w:p>
        </w:tc>
        <w:tc>
          <w:tcPr>
            <w:tcW w:w="120" w:type="dxa"/>
            <w:vAlign w:val="bottom"/>
            <w:shd w:val="clear" w:color="auto" w:fill="CCFFCC"/>
          </w:tcPr>
          <w:p>
            <w:pPr>
              <w:spacing w:after="0"/>
              <w:rPr>
                <w:sz w:val="12"/>
                <w:szCs w:val="12"/>
                <w:color w:val="auto"/>
              </w:rPr>
            </w:pPr>
          </w:p>
        </w:tc>
        <w:tc>
          <w:tcPr>
            <w:tcW w:w="240" w:type="dxa"/>
            <w:vAlign w:val="bottom"/>
            <w:tcBorders>
              <w:bottom w:val="single" w:sz="8" w:color="auto"/>
            </w:tcBorders>
            <w:shd w:val="clear" w:color="auto" w:fill="CCFFCC"/>
          </w:tcPr>
          <w:p>
            <w:pPr>
              <w:jc w:val="right"/>
              <w:ind w:right="115"/>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80" w:type="dxa"/>
            <w:vAlign w:val="bottom"/>
            <w:tcBorders>
              <w:bottom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114,286</w:t>
            </w: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tcBorders>
              <w:bottom w:val="single" w:sz="8" w:color="auto"/>
            </w:tcBorders>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133,334</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4"/>
                <w:szCs w:val="14"/>
                <w:color w:val="auto"/>
              </w:rPr>
              <w:t>Costs and expenses:</w:t>
            </w:r>
          </w:p>
        </w:tc>
        <w:tc>
          <w:tcPr>
            <w:tcW w:w="3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40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Noncash stock expense associated with in-licensing</w:t>
            </w:r>
          </w:p>
        </w:tc>
        <w:tc>
          <w:tcPr>
            <w:tcW w:w="3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0" w:type="dxa"/>
            <w:vAlign w:val="bottom"/>
            <w:shd w:val="clear" w:color="auto" w:fill="CCFFCC"/>
          </w:tcPr>
          <w:p>
            <w:pPr>
              <w:ind w:left="300"/>
              <w:spacing w:after="0"/>
              <w:rPr>
                <w:sz w:val="20"/>
                <w:szCs w:val="20"/>
                <w:color w:val="auto"/>
              </w:rPr>
            </w:pPr>
            <w:r>
              <w:rPr>
                <w:rFonts w:ascii="Arial" w:cs="Arial" w:eastAsia="Arial" w:hAnsi="Arial"/>
                <w:sz w:val="14"/>
                <w:szCs w:val="14"/>
                <w:color w:val="auto"/>
              </w:rPr>
              <w:t>agreement</w:t>
            </w:r>
          </w:p>
        </w:tc>
        <w:tc>
          <w:tcPr>
            <w:tcW w:w="3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16,578,000</w:t>
            </w: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16,875,000</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160"/>
              <w:spacing w:after="0"/>
              <w:rPr>
                <w:sz w:val="20"/>
                <w:szCs w:val="20"/>
                <w:color w:val="auto"/>
              </w:rPr>
            </w:pPr>
            <w:r>
              <w:rPr>
                <w:rFonts w:ascii="Arial" w:cs="Arial" w:eastAsia="Arial" w:hAnsi="Arial"/>
                <w:sz w:val="14"/>
                <w:szCs w:val="14"/>
                <w:color w:val="auto"/>
              </w:rPr>
              <w:t>Noncash compensation</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171,442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127,091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892,313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236,289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1,348,122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Other research and development</w:t>
            </w:r>
          </w:p>
        </w:tc>
        <w:tc>
          <w:tcPr>
            <w:tcW w:w="320" w:type="dxa"/>
            <w:vAlign w:val="bottom"/>
            <w:shd w:val="clear" w:color="auto" w:fill="CCFFCC"/>
          </w:tcPr>
          <w:p>
            <w:pPr>
              <w:spacing w:after="0"/>
              <w:rPr>
                <w:sz w:val="14"/>
                <w:szCs w:val="14"/>
                <w:color w:val="auto"/>
              </w:rPr>
            </w:pPr>
          </w:p>
        </w:tc>
        <w:tc>
          <w:tcPr>
            <w:tcW w:w="200" w:type="dxa"/>
            <w:vAlign w:val="bottom"/>
            <w:tcBorders>
              <w:bottom w:val="single" w:sz="8" w:color="auto"/>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3,138,119</w:t>
            </w:r>
          </w:p>
        </w:tc>
        <w:tc>
          <w:tcPr>
            <w:tcW w:w="120" w:type="dxa"/>
            <w:vAlign w:val="bottom"/>
            <w:shd w:val="clear" w:color="auto" w:fill="CCFFCC"/>
          </w:tcPr>
          <w:p>
            <w:pPr>
              <w:spacing w:after="0"/>
              <w:rPr>
                <w:sz w:val="14"/>
                <w:szCs w:val="14"/>
                <w:color w:val="auto"/>
              </w:rPr>
            </w:pPr>
          </w:p>
        </w:tc>
        <w:tc>
          <w:tcPr>
            <w:tcW w:w="240" w:type="dxa"/>
            <w:vAlign w:val="bottom"/>
            <w:tcBorders>
              <w:bottom w:val="single" w:sz="8" w:color="auto"/>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1,433,711</w:t>
            </w:r>
          </w:p>
        </w:tc>
        <w:tc>
          <w:tcPr>
            <w:tcW w:w="120" w:type="dxa"/>
            <w:vAlign w:val="bottom"/>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9,014,776</w:t>
            </w: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3,133,960</w:t>
            </w: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13,039,241</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color w:val="auto"/>
              </w:rPr>
              <w:t>Total research and development</w:t>
            </w:r>
          </w:p>
        </w:tc>
        <w:tc>
          <w:tcPr>
            <w:tcW w:w="320" w:type="dxa"/>
            <w:vAlign w:val="bottom"/>
            <w:tcBorders>
              <w:bottom w:val="single" w:sz="8" w:color="CCFFC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3,309,561</w:t>
            </w:r>
          </w:p>
        </w:tc>
        <w:tc>
          <w:tcPr>
            <w:tcW w:w="120" w:type="dxa"/>
            <w:vAlign w:val="bottom"/>
            <w:tcBorders>
              <w:bottom w:val="single" w:sz="8" w:color="CCFFC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1,560,802</w:t>
            </w:r>
          </w:p>
        </w:tc>
        <w:tc>
          <w:tcPr>
            <w:tcW w:w="120" w:type="dxa"/>
            <w:vAlign w:val="bottom"/>
            <w:tcBorders>
              <w:bottom w:val="single" w:sz="8" w:color="CCFFC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9,907,089</w:t>
            </w:r>
          </w:p>
        </w:tc>
        <w:tc>
          <w:tcPr>
            <w:tcW w:w="40" w:type="dxa"/>
            <w:vAlign w:val="bottom"/>
            <w:tcBorders>
              <w:bottom w:val="single" w:sz="8" w:color="CCFFCC"/>
            </w:tcBorders>
          </w:tcPr>
          <w:p>
            <w:pPr>
              <w:spacing w:after="0"/>
              <w:rPr>
                <w:sz w:val="12"/>
                <w:szCs w:val="12"/>
                <w:color w:val="auto"/>
              </w:rPr>
            </w:pPr>
          </w:p>
        </w:tc>
        <w:tc>
          <w:tcPr>
            <w:tcW w:w="60" w:type="dxa"/>
            <w:vAlign w:val="bottom"/>
            <w:tcBorders>
              <w:bottom w:val="single" w:sz="8" w:color="CCFFC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19,948,249</w:t>
            </w:r>
          </w:p>
        </w:tc>
        <w:tc>
          <w:tcPr>
            <w:tcW w:w="40" w:type="dxa"/>
            <w:vAlign w:val="bottom"/>
            <w:tcBorders>
              <w:bottom w:val="single" w:sz="8" w:color="CCFFCC"/>
            </w:tcBorders>
          </w:tcPr>
          <w:p>
            <w:pPr>
              <w:spacing w:after="0"/>
              <w:rPr>
                <w:sz w:val="12"/>
                <w:szCs w:val="12"/>
                <w:color w:val="auto"/>
              </w:rPr>
            </w:pPr>
          </w:p>
        </w:tc>
        <w:tc>
          <w:tcPr>
            <w:tcW w:w="60" w:type="dxa"/>
            <w:vAlign w:val="bottom"/>
            <w:tcBorders>
              <w:bottom w:val="single" w:sz="8" w:color="CCFFC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31,262,363</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FFCC"/>
          </w:tcPr>
          <w:p>
            <w:pPr>
              <w:ind w:left="180"/>
              <w:spacing w:after="0"/>
              <w:rPr>
                <w:sz w:val="20"/>
                <w:szCs w:val="20"/>
                <w:color w:val="auto"/>
              </w:rPr>
            </w:pPr>
            <w:r>
              <w:rPr>
                <w:rFonts w:ascii="Arial" w:cs="Arial" w:eastAsia="Arial" w:hAnsi="Arial"/>
                <w:sz w:val="14"/>
                <w:szCs w:val="14"/>
                <w:color w:val="auto"/>
              </w:rPr>
              <w:t>Noncash compensation</w:t>
            </w:r>
          </w:p>
        </w:tc>
        <w:tc>
          <w:tcPr>
            <w:tcW w:w="3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825,313</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690,999</w:t>
            </w: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3,363,687</w:t>
            </w: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1,942,301</w:t>
            </w: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6,416,554</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Other general and administrative</w:t>
            </w:r>
          </w:p>
        </w:tc>
        <w:tc>
          <w:tcPr>
            <w:tcW w:w="320" w:type="dxa"/>
            <w:vAlign w:val="bottom"/>
            <w:tcBorders>
              <w:bottom w:val="single" w:sz="8" w:color="CCFFC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550,639</w:t>
            </w:r>
          </w:p>
        </w:tc>
        <w:tc>
          <w:tcPr>
            <w:tcW w:w="12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462,425</w:t>
            </w:r>
          </w:p>
        </w:tc>
        <w:tc>
          <w:tcPr>
            <w:tcW w:w="120" w:type="dxa"/>
            <w:vAlign w:val="bottom"/>
            <w:tcBorders>
              <w:bottom w:val="single" w:sz="8" w:color="CCFFC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1,833,733</w:t>
            </w:r>
          </w:p>
        </w:tc>
        <w:tc>
          <w:tcPr>
            <w:tcW w:w="40" w:type="dxa"/>
            <w:vAlign w:val="bottom"/>
            <w:tcBorders>
              <w:bottom w:val="single" w:sz="8" w:color="CCFFCC"/>
            </w:tcBorders>
          </w:tcPr>
          <w:p>
            <w:pPr>
              <w:spacing w:after="0"/>
              <w:rPr>
                <w:sz w:val="14"/>
                <w:szCs w:val="14"/>
                <w:color w:val="auto"/>
              </w:rPr>
            </w:pPr>
          </w:p>
        </w:tc>
        <w:tc>
          <w:tcPr>
            <w:tcW w:w="60" w:type="dxa"/>
            <w:vAlign w:val="bottom"/>
            <w:tcBorders>
              <w:bottom w:val="single" w:sz="8" w:color="CCFFC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1,313,960</w:t>
            </w:r>
          </w:p>
        </w:tc>
        <w:tc>
          <w:tcPr>
            <w:tcW w:w="40" w:type="dxa"/>
            <w:vAlign w:val="bottom"/>
            <w:tcBorders>
              <w:bottom w:val="single" w:sz="8" w:color="CCFFCC"/>
            </w:tcBorders>
          </w:tcPr>
          <w:p>
            <w:pPr>
              <w:spacing w:after="0"/>
              <w:rPr>
                <w:sz w:val="14"/>
                <w:szCs w:val="14"/>
                <w:color w:val="auto"/>
              </w:rPr>
            </w:pPr>
          </w:p>
        </w:tc>
        <w:tc>
          <w:tcPr>
            <w:tcW w:w="6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4,117,013</w:t>
            </w:r>
          </w:p>
        </w:tc>
        <w:tc>
          <w:tcPr>
            <w:tcW w:w="10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Total general and administrative</w:t>
            </w:r>
          </w:p>
        </w:tc>
        <w:tc>
          <w:tcPr>
            <w:tcW w:w="320" w:type="dxa"/>
            <w:vAlign w:val="bottom"/>
            <w:shd w:val="clear" w:color="auto" w:fill="CCFFCC"/>
          </w:tcPr>
          <w:p>
            <w:pPr>
              <w:spacing w:after="0"/>
              <w:rPr>
                <w:sz w:val="12"/>
                <w:szCs w:val="12"/>
                <w:color w:val="auto"/>
              </w:rPr>
            </w:pPr>
          </w:p>
        </w:tc>
        <w:tc>
          <w:tcPr>
            <w:tcW w:w="200" w:type="dxa"/>
            <w:vAlign w:val="bottom"/>
            <w:tcBorders>
              <w:bottom w:val="single" w:sz="8" w:color="auto"/>
            </w:tcBorders>
            <w:shd w:val="clear" w:color="auto" w:fill="CCFFCC"/>
          </w:tcPr>
          <w:p>
            <w:pPr>
              <w:spacing w:after="0"/>
              <w:rPr>
                <w:sz w:val="12"/>
                <w:szCs w:val="12"/>
                <w:color w:val="auto"/>
              </w:rPr>
            </w:pPr>
          </w:p>
        </w:tc>
        <w:tc>
          <w:tcPr>
            <w:tcW w:w="8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1,375,952</w:t>
            </w:r>
          </w:p>
        </w:tc>
        <w:tc>
          <w:tcPr>
            <w:tcW w:w="120" w:type="dxa"/>
            <w:vAlign w:val="bottom"/>
            <w:shd w:val="clear" w:color="auto" w:fill="CCFFCC"/>
          </w:tcPr>
          <w:p>
            <w:pPr>
              <w:spacing w:after="0"/>
              <w:rPr>
                <w:sz w:val="12"/>
                <w:szCs w:val="12"/>
                <w:color w:val="auto"/>
              </w:rPr>
            </w:pPr>
          </w:p>
        </w:tc>
        <w:tc>
          <w:tcPr>
            <w:tcW w:w="240" w:type="dxa"/>
            <w:vAlign w:val="bottom"/>
            <w:tcBorders>
              <w:bottom w:val="single" w:sz="8" w:color="auto"/>
            </w:tcBorders>
            <w:shd w:val="clear" w:color="auto" w:fill="CCFFCC"/>
          </w:tcPr>
          <w:p>
            <w:pPr>
              <w:spacing w:after="0"/>
              <w:rPr>
                <w:sz w:val="12"/>
                <w:szCs w:val="12"/>
                <w:color w:val="auto"/>
              </w:rPr>
            </w:pPr>
          </w:p>
        </w:tc>
        <w:tc>
          <w:tcPr>
            <w:tcW w:w="8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1,153,424</w:t>
            </w:r>
          </w:p>
        </w:tc>
        <w:tc>
          <w:tcPr>
            <w:tcW w:w="120" w:type="dxa"/>
            <w:vAlign w:val="bottom"/>
            <w:shd w:val="clear" w:color="auto" w:fill="CCFFCC"/>
          </w:tcPr>
          <w:p>
            <w:pPr>
              <w:spacing w:after="0"/>
              <w:rPr>
                <w:sz w:val="12"/>
                <w:szCs w:val="12"/>
                <w:color w:val="auto"/>
              </w:rPr>
            </w:pPr>
          </w:p>
        </w:tc>
        <w:tc>
          <w:tcPr>
            <w:tcW w:w="180" w:type="dxa"/>
            <w:vAlign w:val="bottom"/>
            <w:tcBorders>
              <w:bottom w:val="single" w:sz="8" w:color="auto"/>
            </w:tcBorders>
            <w:shd w:val="clear" w:color="auto" w:fill="CCFFCC"/>
          </w:tcPr>
          <w:p>
            <w:pPr>
              <w:spacing w:after="0"/>
              <w:rPr>
                <w:sz w:val="12"/>
                <w:szCs w:val="12"/>
                <w:color w:val="auto"/>
              </w:rPr>
            </w:pPr>
          </w:p>
        </w:tc>
        <w:tc>
          <w:tcPr>
            <w:tcW w:w="8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5,197,420</w:t>
            </w: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tcBorders>
              <w:bottom w:val="single" w:sz="8" w:color="auto"/>
            </w:tcBorders>
            <w:shd w:val="clear" w:color="auto" w:fill="CCFFCC"/>
          </w:tcPr>
          <w:p>
            <w:pPr>
              <w:spacing w:after="0"/>
              <w:rPr>
                <w:sz w:val="12"/>
                <w:szCs w:val="12"/>
                <w:color w:val="auto"/>
              </w:rPr>
            </w:pPr>
          </w:p>
        </w:tc>
        <w:tc>
          <w:tcPr>
            <w:tcW w:w="8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3,256,261</w:t>
            </w: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20" w:type="dxa"/>
            <w:vAlign w:val="bottom"/>
            <w:tcBorders>
              <w:bottom w:val="single" w:sz="8" w:color="auto"/>
            </w:tcBorders>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10,533,567</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4"/>
                <w:szCs w:val="14"/>
                <w:color w:val="auto"/>
              </w:rPr>
              <w:t>Impairment of in-process research and development</w:t>
            </w:r>
          </w:p>
        </w:tc>
        <w:tc>
          <w:tcPr>
            <w:tcW w:w="3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1,104,700</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4"/>
                <w:szCs w:val="14"/>
                <w:color w:val="auto"/>
              </w:rPr>
              <w:t>Total costs and expenses</w:t>
            </w:r>
          </w:p>
        </w:tc>
        <w:tc>
          <w:tcPr>
            <w:tcW w:w="320" w:type="dxa"/>
            <w:vAlign w:val="bottom"/>
            <w:shd w:val="clear" w:color="auto" w:fill="CCFFCC"/>
          </w:tcPr>
          <w:p>
            <w:pPr>
              <w:spacing w:after="0"/>
              <w:rPr>
                <w:sz w:val="14"/>
                <w:szCs w:val="14"/>
                <w:color w:val="auto"/>
              </w:rPr>
            </w:pPr>
          </w:p>
        </w:tc>
        <w:tc>
          <w:tcPr>
            <w:tcW w:w="200" w:type="dxa"/>
            <w:vAlign w:val="bottom"/>
            <w:tcBorders>
              <w:bottom w:val="single" w:sz="8" w:color="auto"/>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4,685,513</w:t>
            </w:r>
          </w:p>
        </w:tc>
        <w:tc>
          <w:tcPr>
            <w:tcW w:w="120" w:type="dxa"/>
            <w:vAlign w:val="bottom"/>
            <w:shd w:val="clear" w:color="auto" w:fill="CCFFCC"/>
          </w:tcPr>
          <w:p>
            <w:pPr>
              <w:spacing w:after="0"/>
              <w:rPr>
                <w:sz w:val="14"/>
                <w:szCs w:val="14"/>
                <w:color w:val="auto"/>
              </w:rPr>
            </w:pPr>
          </w:p>
        </w:tc>
        <w:tc>
          <w:tcPr>
            <w:tcW w:w="240" w:type="dxa"/>
            <w:vAlign w:val="bottom"/>
            <w:tcBorders>
              <w:bottom w:val="single" w:sz="8" w:color="auto"/>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2,714,226</w:t>
            </w:r>
          </w:p>
        </w:tc>
        <w:tc>
          <w:tcPr>
            <w:tcW w:w="120" w:type="dxa"/>
            <w:vAlign w:val="bottom"/>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15,104,509</w:t>
            </w: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23,204,510</w:t>
            </w: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42,900,630</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4"/>
                <w:szCs w:val="14"/>
                <w:color w:val="auto"/>
              </w:rPr>
              <w:t>Operating loss</w:t>
            </w:r>
          </w:p>
        </w:tc>
        <w:tc>
          <w:tcPr>
            <w:tcW w:w="3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(4,647,417)</w:t>
            </w:r>
          </w:p>
        </w:tc>
        <w:tc>
          <w:tcPr>
            <w:tcW w:w="24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(2,714,226)</w:t>
            </w: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(14,990,223)</w:t>
            </w:r>
          </w:p>
        </w:tc>
        <w:tc>
          <w:tcPr>
            <w:tcW w:w="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(23,204,510)</w:t>
            </w: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(42,767,296)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4"/>
                <w:szCs w:val="14"/>
                <w:color w:val="auto"/>
              </w:rPr>
              <w:t>Other (income) expense:</w:t>
            </w:r>
          </w:p>
        </w:tc>
        <w:tc>
          <w:tcPr>
            <w:tcW w:w="3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0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(12,375)</w:t>
            </w:r>
          </w:p>
        </w:tc>
        <w:tc>
          <w:tcPr>
            <w:tcW w:w="2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(4,951)</w:t>
            </w:r>
          </w:p>
        </w:tc>
        <w:tc>
          <w:tcPr>
            <w:tcW w:w="1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(15,054)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(12,711)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(30,841)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FFCC"/>
          </w:tcPr>
          <w:p>
            <w:pPr>
              <w:ind w:left="200"/>
              <w:spacing w:after="0"/>
              <w:rPr>
                <w:sz w:val="20"/>
                <w:szCs w:val="20"/>
                <w:color w:val="auto"/>
              </w:rPr>
            </w:pPr>
            <w:r>
              <w:rPr>
                <w:rFonts w:ascii="Arial" w:cs="Arial" w:eastAsia="Arial" w:hAnsi="Arial"/>
                <w:sz w:val="14"/>
                <w:szCs w:val="14"/>
                <w:color w:val="auto"/>
              </w:rPr>
              <w:t>Other income</w:t>
            </w:r>
          </w:p>
        </w:tc>
        <w:tc>
          <w:tcPr>
            <w:tcW w:w="3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(272,232)</w:t>
            </w: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(272,232)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240,530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228,585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712,016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676,843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1,624,857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FFCC"/>
          </w:tcPr>
          <w:p>
            <w:pPr>
              <w:ind w:left="200"/>
              <w:spacing w:after="0"/>
              <w:rPr>
                <w:sz w:val="20"/>
                <w:szCs w:val="20"/>
                <w:color w:val="auto"/>
              </w:rPr>
            </w:pPr>
            <w:r>
              <w:rPr>
                <w:rFonts w:ascii="Arial" w:cs="Arial" w:eastAsia="Arial" w:hAnsi="Arial"/>
                <w:sz w:val="14"/>
                <w:szCs w:val="14"/>
                <w:color w:val="auto"/>
              </w:rPr>
              <w:t>Change in fair value of notes payable</w:t>
            </w:r>
          </w:p>
        </w:tc>
        <w:tc>
          <w:tcPr>
            <w:tcW w:w="3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(319,377)</w:t>
            </w:r>
          </w:p>
        </w:tc>
        <w:tc>
          <w:tcPr>
            <w:tcW w:w="24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(227,659)</w:t>
            </w:r>
          </w:p>
        </w:tc>
        <w:tc>
          <w:tcPr>
            <w:tcW w:w="1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(872,827)</w:t>
            </w:r>
          </w:p>
        </w:tc>
        <w:tc>
          <w:tcPr>
            <w:tcW w:w="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(915,512)</w:t>
            </w: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(2,532,699)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color w:val="auto"/>
              </w:rPr>
              <w:t>Total other income</w:t>
            </w:r>
          </w:p>
        </w:tc>
        <w:tc>
          <w:tcPr>
            <w:tcW w:w="320" w:type="dxa"/>
            <w:vAlign w:val="bottom"/>
            <w:tcBorders>
              <w:bottom w:val="single" w:sz="8" w:color="CCFFC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(91,222)</w:t>
            </w:r>
          </w:p>
        </w:tc>
        <w:tc>
          <w:tcPr>
            <w:tcW w:w="120" w:type="dxa"/>
            <w:vAlign w:val="bottom"/>
            <w:tcBorders>
              <w:bottom w:val="single" w:sz="8" w:color="CCFFC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(4,025)</w:t>
            </w:r>
          </w:p>
        </w:tc>
        <w:tc>
          <w:tcPr>
            <w:tcW w:w="12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(175,865)</w:t>
            </w:r>
          </w:p>
        </w:tc>
        <w:tc>
          <w:tcPr>
            <w:tcW w:w="40" w:type="dxa"/>
            <w:vAlign w:val="bottom"/>
            <w:tcBorders>
              <w:bottom w:val="single" w:sz="8" w:color="CCFFCC"/>
            </w:tcBorders>
          </w:tcPr>
          <w:p>
            <w:pPr>
              <w:spacing w:after="0"/>
              <w:rPr>
                <w:sz w:val="12"/>
                <w:szCs w:val="12"/>
                <w:color w:val="auto"/>
              </w:rPr>
            </w:pPr>
          </w:p>
        </w:tc>
        <w:tc>
          <w:tcPr>
            <w:tcW w:w="6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(523,612)</w:t>
            </w:r>
          </w:p>
        </w:tc>
        <w:tc>
          <w:tcPr>
            <w:tcW w:w="40" w:type="dxa"/>
            <w:vAlign w:val="bottom"/>
            <w:tcBorders>
              <w:bottom w:val="single" w:sz="8" w:color="CCFFCC"/>
            </w:tcBorders>
          </w:tcPr>
          <w:p>
            <w:pPr>
              <w:spacing w:after="0"/>
              <w:rPr>
                <w:sz w:val="12"/>
                <w:szCs w:val="12"/>
                <w:color w:val="auto"/>
              </w:rPr>
            </w:pPr>
          </w:p>
        </w:tc>
        <w:tc>
          <w:tcPr>
            <w:tcW w:w="60" w:type="dxa"/>
            <w:vAlign w:val="bottom"/>
            <w:tcBorders>
              <w:bottom w:val="single" w:sz="8" w:color="CCFFC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(1,210,915)</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(4,556,195)</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(2,710,201)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(14,814,358)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(22,680,898)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(41,556,381)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40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Income taxes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Consolidated net loss</w:t>
            </w:r>
          </w:p>
        </w:tc>
        <w:tc>
          <w:tcPr>
            <w:tcW w:w="32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auto"/>
            </w:tcBorders>
            <w:shd w:val="clear" w:color="auto" w:fill="CCFFCC"/>
          </w:tcPr>
          <w:p>
            <w:pPr>
              <w:spacing w:after="0"/>
              <w:rPr>
                <w:sz w:val="12"/>
                <w:szCs w:val="12"/>
                <w:color w:val="auto"/>
              </w:rPr>
            </w:pPr>
          </w:p>
        </w:tc>
        <w:tc>
          <w:tcPr>
            <w:tcW w:w="8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(4,556,195)</w:t>
            </w:r>
          </w:p>
        </w:tc>
        <w:tc>
          <w:tcPr>
            <w:tcW w:w="12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(2,710,201)</w:t>
            </w:r>
          </w:p>
        </w:tc>
        <w:tc>
          <w:tcPr>
            <w:tcW w:w="12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tcBorders>
            <w:shd w:val="clear" w:color="auto" w:fill="CCFFCC"/>
          </w:tcPr>
          <w:p>
            <w:pPr>
              <w:spacing w:after="0"/>
              <w:rPr>
                <w:sz w:val="12"/>
                <w:szCs w:val="12"/>
                <w:color w:val="auto"/>
              </w:rPr>
            </w:pPr>
          </w:p>
        </w:tc>
        <w:tc>
          <w:tcPr>
            <w:tcW w:w="8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(14,814,358)</w:t>
            </w:r>
          </w:p>
        </w:tc>
        <w:tc>
          <w:tcPr>
            <w:tcW w:w="4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tcBorders>
            <w:shd w:val="clear" w:color="auto" w:fill="CCFFCC"/>
          </w:tcPr>
          <w:p>
            <w:pPr>
              <w:spacing w:after="0"/>
              <w:rPr>
                <w:sz w:val="12"/>
                <w:szCs w:val="12"/>
                <w:color w:val="auto"/>
              </w:rPr>
            </w:pPr>
          </w:p>
        </w:tc>
        <w:tc>
          <w:tcPr>
            <w:tcW w:w="8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(22,680,898)</w:t>
            </w:r>
          </w:p>
        </w:tc>
        <w:tc>
          <w:tcPr>
            <w:tcW w:w="4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(41,886,381)</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4"/>
                <w:szCs w:val="14"/>
                <w:color w:val="auto"/>
              </w:rPr>
              <w:t>Net loss attributable to noncontrolling interest</w:t>
            </w:r>
          </w:p>
        </w:tc>
        <w:tc>
          <w:tcPr>
            <w:tcW w:w="320" w:type="dxa"/>
            <w:vAlign w:val="bottom"/>
            <w:shd w:val="clear" w:color="auto" w:fill="CCFFCC"/>
          </w:tcPr>
          <w:p>
            <w:pPr>
              <w:spacing w:after="0"/>
              <w:rPr>
                <w:sz w:val="14"/>
                <w:szCs w:val="14"/>
                <w:color w:val="auto"/>
              </w:rPr>
            </w:pPr>
          </w:p>
        </w:tc>
        <w:tc>
          <w:tcPr>
            <w:tcW w:w="200" w:type="dxa"/>
            <w:vAlign w:val="bottom"/>
            <w:tcBorders>
              <w:bottom w:val="single" w:sz="8" w:color="auto"/>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240" w:type="dxa"/>
            <w:vAlign w:val="bottom"/>
            <w:tcBorders>
              <w:bottom w:val="single" w:sz="8" w:color="auto"/>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(247,962)</w:t>
            </w:r>
          </w:p>
        </w:tc>
        <w:tc>
          <w:tcPr>
            <w:tcW w:w="120" w:type="dxa"/>
            <w:vAlign w:val="bottom"/>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(8,067,916)</w:t>
            </w: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(8,146,230)</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00" w:type="dxa"/>
            <w:vAlign w:val="bottom"/>
          </w:tcPr>
          <w:p>
            <w:pPr>
              <w:spacing w:after="0" w:line="110" w:lineRule="exact"/>
              <w:rPr>
                <w:sz w:val="20"/>
                <w:szCs w:val="20"/>
                <w:color w:val="auto"/>
              </w:rPr>
            </w:pPr>
            <w:r>
              <w:rPr>
                <w:rFonts w:ascii="Arial" w:cs="Arial" w:eastAsia="Arial" w:hAnsi="Arial"/>
                <w:sz w:val="12"/>
                <w:szCs w:val="12"/>
                <w:color w:val="auto"/>
              </w:rPr>
              <w:t>Net loss attributable to TG Therapeutics, Inc. and</w:t>
            </w:r>
          </w:p>
        </w:tc>
        <w:tc>
          <w:tcPr>
            <w:tcW w:w="52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(4,556,195)</w:t>
            </w:r>
          </w:p>
        </w:tc>
        <w:tc>
          <w:tcPr>
            <w:tcW w:w="240" w:type="dxa"/>
            <w:vAlign w:val="bottom"/>
            <w:vMerge w:val="restart"/>
          </w:tcPr>
          <w:p>
            <w:pPr>
              <w:jc w:val="right"/>
              <w:ind w:right="55"/>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(2,462,239)</w:t>
            </w:r>
          </w:p>
        </w:tc>
        <w:tc>
          <w:tcPr>
            <w:tcW w:w="120" w:type="dxa"/>
            <w:vAlign w:val="bottom"/>
          </w:tcPr>
          <w:p>
            <w:pPr>
              <w:spacing w:after="0"/>
              <w:rPr>
                <w:sz w:val="9"/>
                <w:szCs w:val="9"/>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(14,814,358)</w:t>
            </w:r>
          </w:p>
        </w:tc>
        <w:tc>
          <w:tcPr>
            <w:tcW w:w="2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(14,612,982)</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(33,740,151)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00" w:type="dxa"/>
            <w:vAlign w:val="bottom"/>
          </w:tcPr>
          <w:p>
            <w:pPr>
              <w:ind w:left="140"/>
              <w:spacing w:after="0" w:line="154" w:lineRule="exact"/>
              <w:rPr>
                <w:sz w:val="20"/>
                <w:szCs w:val="20"/>
                <w:color w:val="auto"/>
              </w:rPr>
            </w:pPr>
            <w:r>
              <w:rPr>
                <w:rFonts w:ascii="Arial" w:cs="Arial" w:eastAsia="Arial" w:hAnsi="Arial"/>
                <w:sz w:val="14"/>
                <w:szCs w:val="14"/>
                <w:color w:val="auto"/>
              </w:rPr>
              <w:t>subsidiaries</w:t>
            </w:r>
          </w:p>
        </w:tc>
        <w:tc>
          <w:tcPr>
            <w:tcW w:w="5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00" w:type="dxa"/>
            <w:vAlign w:val="bottom"/>
            <w:tcBorders>
              <w:top w:val="single" w:sz="8" w:color="CCFFCC"/>
            </w:tcBorders>
            <w:shd w:val="clear" w:color="auto" w:fill="CCFFCC"/>
          </w:tcPr>
          <w:p>
            <w:pPr>
              <w:spacing w:after="0"/>
              <w:rPr>
                <w:sz w:val="11"/>
                <w:szCs w:val="11"/>
                <w:color w:val="auto"/>
              </w:rPr>
            </w:pPr>
          </w:p>
        </w:tc>
        <w:tc>
          <w:tcPr>
            <w:tcW w:w="320" w:type="dxa"/>
            <w:vAlign w:val="bottom"/>
            <w:tcBorders>
              <w:top w:val="single" w:sz="8" w:color="CCFFCC"/>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240" w:type="dxa"/>
            <w:vAlign w:val="bottom"/>
            <w:tcBorders>
              <w:top w:val="single" w:sz="8" w:color="auto"/>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80" w:type="dxa"/>
            <w:vAlign w:val="bottom"/>
            <w:tcBorders>
              <w:top w:val="single" w:sz="8" w:color="auto"/>
            </w:tcBorders>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4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CCFFCC"/>
            </w:tcBorders>
            <w:shd w:val="clear" w:color="auto" w:fill="CCFFCC"/>
          </w:tcPr>
          <w:p>
            <w:pPr>
              <w:spacing w:after="0"/>
              <w:rPr>
                <w:sz w:val="11"/>
                <w:szCs w:val="11"/>
                <w:color w:val="auto"/>
              </w:rPr>
            </w:pPr>
          </w:p>
        </w:tc>
        <w:tc>
          <w:tcPr>
            <w:tcW w:w="180" w:type="dxa"/>
            <w:vAlign w:val="bottom"/>
            <w:tcBorders>
              <w:top w:val="single" w:sz="8" w:color="auto"/>
            </w:tcBorders>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4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CCFFCC"/>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0" w:type="dxa"/>
            <w:vAlign w:val="bottom"/>
          </w:tcPr>
          <w:p>
            <w:pPr>
              <w:spacing w:after="0" w:line="149" w:lineRule="exact"/>
              <w:rPr>
                <w:sz w:val="20"/>
                <w:szCs w:val="20"/>
                <w:color w:val="auto"/>
              </w:rPr>
            </w:pPr>
            <w:r>
              <w:rPr>
                <w:rFonts w:ascii="Arial" w:cs="Arial" w:eastAsia="Arial" w:hAnsi="Arial"/>
                <w:sz w:val="14"/>
                <w:szCs w:val="14"/>
                <w:color w:val="auto"/>
              </w:rPr>
              <w:t>Basic and diluted net loss per common share</w:t>
            </w:r>
          </w:p>
        </w:tc>
        <w:tc>
          <w:tcPr>
            <w:tcW w:w="5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(0.16)</w:t>
            </w:r>
          </w:p>
        </w:tc>
        <w:tc>
          <w:tcPr>
            <w:tcW w:w="240" w:type="dxa"/>
            <w:vAlign w:val="bottom"/>
          </w:tcPr>
          <w:p>
            <w:pPr>
              <w:jc w:val="right"/>
              <w:ind w:right="55"/>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(0.16)</w:t>
            </w:r>
          </w:p>
        </w:tc>
        <w:tc>
          <w:tcPr>
            <w:tcW w:w="18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(0.62)</w:t>
            </w:r>
          </w:p>
        </w:tc>
        <w:tc>
          <w:tcPr>
            <w:tcW w:w="2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00" w:type="dxa"/>
            <w:vAlign w:val="bottom"/>
            <w:tcBorders>
              <w:top w:val="single" w:sz="8" w:color="CCFFCC"/>
            </w:tcBorders>
            <w:shd w:val="clear" w:color="auto" w:fill="CCFFCC"/>
          </w:tcPr>
          <w:p>
            <w:pPr>
              <w:spacing w:after="0"/>
              <w:rPr>
                <w:sz w:val="11"/>
                <w:szCs w:val="11"/>
                <w:color w:val="auto"/>
              </w:rPr>
            </w:pPr>
          </w:p>
        </w:tc>
        <w:tc>
          <w:tcPr>
            <w:tcW w:w="320" w:type="dxa"/>
            <w:vAlign w:val="bottom"/>
            <w:tcBorders>
              <w:top w:val="single" w:sz="8" w:color="CCFFCC"/>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240" w:type="dxa"/>
            <w:vAlign w:val="bottom"/>
            <w:tcBorders>
              <w:top w:val="single" w:sz="8" w:color="auto"/>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80" w:type="dxa"/>
            <w:vAlign w:val="bottom"/>
            <w:tcBorders>
              <w:top w:val="single" w:sz="8" w:color="auto"/>
            </w:tcBorders>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4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CCFFCC"/>
            </w:tcBorders>
            <w:shd w:val="clear" w:color="auto" w:fill="CCFFCC"/>
          </w:tcPr>
          <w:p>
            <w:pPr>
              <w:spacing w:after="0"/>
              <w:rPr>
                <w:sz w:val="11"/>
                <w:szCs w:val="11"/>
                <w:color w:val="auto"/>
              </w:rPr>
            </w:pPr>
          </w:p>
        </w:tc>
        <w:tc>
          <w:tcPr>
            <w:tcW w:w="180" w:type="dxa"/>
            <w:vAlign w:val="bottom"/>
            <w:tcBorders>
              <w:top w:val="single" w:sz="8" w:color="auto"/>
            </w:tcBorders>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4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CCFFCC"/>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00" w:type="dxa"/>
            <w:vAlign w:val="bottom"/>
          </w:tcPr>
          <w:p>
            <w:pPr>
              <w:spacing w:after="0" w:line="149" w:lineRule="exact"/>
              <w:rPr>
                <w:sz w:val="20"/>
                <w:szCs w:val="20"/>
                <w:color w:val="auto"/>
              </w:rPr>
            </w:pPr>
            <w:r>
              <w:rPr>
                <w:rFonts w:ascii="Arial" w:cs="Arial" w:eastAsia="Arial" w:hAnsi="Arial"/>
                <w:sz w:val="14"/>
                <w:szCs w:val="14"/>
                <w:color w:val="auto"/>
                <w:w w:val="96"/>
              </w:rPr>
              <w:t>Weighted average shares used in computing basic and diluted net loss per common share</w:t>
            </w: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27,684,802</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15,810,299</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24,057,200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10,901,070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TG Therapeutics, Inc.</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Development Stage Company)</w:t>
      </w:r>
    </w:p>
    <w:p>
      <w:pPr>
        <w:jc w:val="center"/>
        <w:ind w:right="-119"/>
        <w:spacing w:after="0" w:line="234" w:lineRule="auto"/>
        <w:rPr>
          <w:sz w:val="20"/>
          <w:szCs w:val="20"/>
          <w:color w:val="auto"/>
        </w:rPr>
      </w:pPr>
      <w:r>
        <w:rPr>
          <w:rFonts w:ascii="Arial" w:cs="Arial" w:eastAsia="Arial" w:hAnsi="Arial"/>
          <w:sz w:val="18"/>
          <w:szCs w:val="18"/>
          <w:color w:val="auto"/>
        </w:rPr>
        <w:t>Condensed Consolidated Statement of Equity</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for the nine months ended September 30, 2013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143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Balance at January 1, 2013</w:t>
      </w:r>
    </w:p>
    <w:p>
      <w:pPr>
        <w:ind w:left="140" w:right="560" w:hanging="125"/>
        <w:spacing w:after="0" w:line="256" w:lineRule="auto"/>
        <w:rPr>
          <w:sz w:val="20"/>
          <w:szCs w:val="20"/>
          <w:color w:val="auto"/>
        </w:rPr>
      </w:pPr>
      <w:r>
        <w:rPr>
          <w:rFonts w:ascii="Arial" w:cs="Arial" w:eastAsia="Arial" w:hAnsi="Arial"/>
          <w:sz w:val="11"/>
          <w:szCs w:val="11"/>
          <w:color w:val="auto"/>
        </w:rPr>
        <w:t>Issuance of common stock in connection with exercise of warrants</w:t>
      </w:r>
    </w:p>
    <w:p>
      <w:pPr>
        <w:ind w:left="140" w:right="560" w:hanging="125"/>
        <w:spacing w:after="0" w:line="272" w:lineRule="auto"/>
        <w:rPr>
          <w:sz w:val="20"/>
          <w:szCs w:val="20"/>
          <w:color w:val="auto"/>
        </w:rPr>
      </w:pPr>
      <w:r>
        <w:rPr>
          <w:rFonts w:ascii="Arial" w:cs="Arial" w:eastAsia="Arial" w:hAnsi="Arial"/>
          <w:sz w:val="11"/>
          <w:szCs w:val="11"/>
          <w:color w:val="auto"/>
        </w:rPr>
        <w:t>Issuance of common stock in connection with cashless exercise of warrants</w:t>
      </w:r>
    </w:p>
    <w:p>
      <w:pPr>
        <w:spacing w:after="0" w:line="233" w:lineRule="auto"/>
        <w:rPr>
          <w:sz w:val="20"/>
          <w:szCs w:val="20"/>
          <w:color w:val="auto"/>
        </w:rPr>
      </w:pPr>
      <w:r>
        <w:rPr>
          <w:rFonts w:ascii="Arial" w:cs="Arial" w:eastAsia="Arial" w:hAnsi="Arial"/>
          <w:sz w:val="13"/>
          <w:szCs w:val="13"/>
          <w:color w:val="auto"/>
        </w:rPr>
        <w:t>Issuance of restricted stock</w:t>
      </w:r>
    </w:p>
    <w:p>
      <w:pPr>
        <w:ind w:left="140" w:right="360" w:hanging="125"/>
        <w:spacing w:after="0" w:line="256" w:lineRule="auto"/>
        <w:rPr>
          <w:sz w:val="20"/>
          <w:szCs w:val="20"/>
          <w:color w:val="auto"/>
        </w:rPr>
      </w:pPr>
      <w:r>
        <w:rPr>
          <w:rFonts w:ascii="Arial" w:cs="Arial" w:eastAsia="Arial" w:hAnsi="Arial"/>
          <w:sz w:val="11"/>
          <w:szCs w:val="11"/>
          <w:color w:val="auto"/>
        </w:rPr>
        <w:t>Issuance of common stock in public offering (net of offering costs of $2,664,970)</w:t>
      </w:r>
    </w:p>
    <w:p>
      <w:pPr>
        <w:jc w:val="both"/>
        <w:ind w:left="140" w:right="440" w:hanging="125"/>
        <w:spacing w:after="0" w:line="244" w:lineRule="auto"/>
        <w:rPr>
          <w:sz w:val="20"/>
          <w:szCs w:val="20"/>
          <w:color w:val="auto"/>
        </w:rPr>
      </w:pPr>
      <w:r>
        <w:rPr>
          <w:rFonts w:ascii="Arial" w:cs="Arial" w:eastAsia="Arial" w:hAnsi="Arial"/>
          <w:sz w:val="12"/>
          <w:szCs w:val="12"/>
          <w:color w:val="auto"/>
        </w:rPr>
        <w:t>Compensation in respect of restricted stock and stock options granted to employees, directors and consultants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Net loss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Balance at September 30, 2013</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4"/>
          </w:tcPr>
          <w:p>
            <w:pPr>
              <w:ind w:left="100"/>
              <w:spacing w:after="0"/>
              <w:rPr>
                <w:sz w:val="20"/>
                <w:szCs w:val="20"/>
                <w:color w:val="auto"/>
              </w:rPr>
            </w:pPr>
            <w:r>
              <w:rPr>
                <w:rFonts w:ascii="Arial" w:cs="Arial" w:eastAsia="Arial" w:hAnsi="Arial"/>
                <w:sz w:val="13"/>
                <w:szCs w:val="13"/>
                <w:b w:val="1"/>
                <w:bCs w:val="1"/>
                <w:color w:val="auto"/>
                <w:w w:val="93"/>
              </w:rPr>
              <w:t>Contingently</w:t>
            </w:r>
          </w:p>
        </w:tc>
        <w:tc>
          <w:tcPr>
            <w:tcW w:w="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in the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53"/>
        </w:trPr>
        <w:tc>
          <w:tcPr>
            <w:tcW w:w="1560" w:type="dxa"/>
            <w:vAlign w:val="bottom"/>
            <w:gridSpan w:val="5"/>
          </w:tcPr>
          <w:p>
            <w:pPr>
              <w:ind w:left="320"/>
              <w:spacing w:after="0"/>
              <w:rPr>
                <w:sz w:val="20"/>
                <w:szCs w:val="20"/>
                <w:color w:val="auto"/>
              </w:rPr>
            </w:pPr>
            <w:r>
              <w:rPr>
                <w:rFonts w:ascii="Arial" w:cs="Arial" w:eastAsia="Arial" w:hAnsi="Arial"/>
                <w:sz w:val="13"/>
                <w:szCs w:val="13"/>
                <w:b w:val="1"/>
                <w:bCs w:val="1"/>
                <w:color w:val="auto"/>
              </w:rPr>
              <w:t>Preferred stock</w:t>
            </w:r>
          </w:p>
        </w:tc>
        <w:tc>
          <w:tcPr>
            <w:tcW w:w="1420" w:type="dxa"/>
            <w:vAlign w:val="bottom"/>
            <w:gridSpan w:val="4"/>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Issuable</w:t>
            </w:r>
          </w:p>
        </w:tc>
        <w:tc>
          <w:tcPr>
            <w:tcW w:w="4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paid-in</w:t>
            </w:r>
          </w:p>
        </w:tc>
        <w:tc>
          <w:tcPr>
            <w:tcW w:w="1500" w:type="dxa"/>
            <w:vAlign w:val="bottom"/>
            <w:gridSpan w:val="5"/>
          </w:tcPr>
          <w:p>
            <w:pPr>
              <w:ind w:left="320"/>
              <w:spacing w:after="0"/>
              <w:rPr>
                <w:sz w:val="20"/>
                <w:szCs w:val="20"/>
                <w:color w:val="auto"/>
              </w:rPr>
            </w:pPr>
            <w:r>
              <w:rPr>
                <w:rFonts w:ascii="Arial" w:cs="Arial" w:eastAsia="Arial" w:hAnsi="Arial"/>
                <w:sz w:val="13"/>
                <w:szCs w:val="13"/>
                <w:b w:val="1"/>
                <w:bCs w:val="1"/>
                <w:color w:val="auto"/>
              </w:rPr>
              <w:t>Treasury Stock</w:t>
            </w:r>
          </w:p>
        </w:tc>
        <w:tc>
          <w:tcPr>
            <w:tcW w:w="60" w:type="dxa"/>
            <w:vAlign w:val="bottom"/>
          </w:tcPr>
          <w:p>
            <w:pPr>
              <w:spacing w:after="0"/>
              <w:rPr>
                <w:sz w:val="13"/>
                <w:szCs w:val="13"/>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Development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2"/>
        </w:trPr>
        <w:tc>
          <w:tcPr>
            <w:tcW w:w="58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20"/>
              <w:spacing w:after="0" w:line="143"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2"/>
                <w:szCs w:val="12"/>
                <w:color w:val="auto"/>
              </w:rPr>
            </w:pPr>
          </w:p>
        </w:tc>
        <w:tc>
          <w:tcPr>
            <w:tcW w:w="740" w:type="dxa"/>
            <w:vAlign w:val="bottom"/>
            <w:tcBorders>
              <w:top w:val="single" w:sz="8" w:color="auto"/>
            </w:tcBorders>
            <w:gridSpan w:val="2"/>
          </w:tcPr>
          <w:p>
            <w:pPr>
              <w:ind w:left="140"/>
              <w:spacing w:after="0" w:line="143"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w w:val="82"/>
              </w:rPr>
              <w:t>Shares</w:t>
            </w:r>
          </w:p>
        </w:tc>
        <w:tc>
          <w:tcPr>
            <w:tcW w:w="40" w:type="dxa"/>
            <w:vAlign w:val="bottom"/>
          </w:tcPr>
          <w:p>
            <w:pPr>
              <w:spacing w:after="0"/>
              <w:rPr>
                <w:sz w:val="12"/>
                <w:szCs w:val="12"/>
                <w:color w:val="auto"/>
              </w:rPr>
            </w:pPr>
          </w:p>
        </w:tc>
        <w:tc>
          <w:tcPr>
            <w:tcW w:w="86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92"/>
              </w:rPr>
              <w:t>Capital</w:t>
            </w:r>
          </w:p>
        </w:tc>
        <w:tc>
          <w:tcPr>
            <w:tcW w:w="660" w:type="dxa"/>
            <w:vAlign w:val="bottom"/>
            <w:gridSpan w:val="2"/>
          </w:tcPr>
          <w:p>
            <w:pPr>
              <w:ind w:left="100"/>
              <w:spacing w:after="0" w:line="143"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72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82"/>
              </w:rPr>
              <w:t>stage</w:t>
            </w:r>
          </w:p>
        </w:tc>
        <w:tc>
          <w:tcPr>
            <w:tcW w:w="80" w:type="dxa"/>
            <w:vAlign w:val="bottom"/>
          </w:tcPr>
          <w:p>
            <w:pPr>
              <w:spacing w:after="0"/>
              <w:rPr>
                <w:sz w:val="12"/>
                <w:szCs w:val="12"/>
                <w:color w:val="auto"/>
              </w:rPr>
            </w:pPr>
          </w:p>
        </w:tc>
        <w:tc>
          <w:tcPr>
            <w:tcW w:w="720" w:type="dxa"/>
            <w:vAlign w:val="bottom"/>
          </w:tcPr>
          <w:p>
            <w:pPr>
              <w:jc w:val="right"/>
              <w:ind w:right="197"/>
              <w:spacing w:after="0" w:line="143" w:lineRule="exact"/>
              <w:rPr>
                <w:sz w:val="20"/>
                <w:szCs w:val="20"/>
                <w:color w:val="auto"/>
              </w:rPr>
            </w:pPr>
            <w:r>
              <w:rPr>
                <w:rFonts w:ascii="Arial" w:cs="Arial" w:eastAsia="Arial" w:hAnsi="Arial"/>
                <w:sz w:val="13"/>
                <w:szCs w:val="13"/>
                <w:b w:val="1"/>
                <w:bCs w:val="1"/>
                <w:color w:val="auto"/>
              </w:rPr>
              <w:t>Total</w:t>
            </w:r>
          </w:p>
        </w:tc>
      </w:tr>
      <w:tr>
        <w:trPr>
          <w:trHeight w:val="154"/>
        </w:trPr>
        <w:tc>
          <w:tcPr>
            <w:tcW w:w="580" w:type="dxa"/>
            <w:vAlign w:val="bottom"/>
            <w:tcBorders>
              <w:top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25,820,738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25,821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6"/>
              </w:rPr>
              <w:t>$ 34,534,805</w:t>
            </w: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13,526</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(84,538)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(18,925,793)</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5"/>
              </w:rPr>
              <w:t>15,550,301</w:t>
            </w:r>
          </w:p>
        </w:tc>
      </w:tr>
      <w:tr>
        <w:trPr>
          <w:trHeight w:val="269"/>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887,109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1,996,611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1,997,498</w:t>
            </w: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2,244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2"/>
        </w:trPr>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149,044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6,555,000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6,555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37,641,725</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w w:val="95"/>
              </w:rPr>
              <w:t>37,648,280</w:t>
            </w:r>
          </w:p>
        </w:tc>
      </w:tr>
      <w:tr>
        <w:trPr>
          <w:trHeight w:val="405"/>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4,256,000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4,256,000</w:t>
            </w:r>
          </w:p>
        </w:tc>
      </w:tr>
      <w:tr>
        <w:trPr>
          <w:trHeight w:val="151"/>
        </w:trPr>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(14,814,358)</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(14,814,358)</w:t>
            </w:r>
          </w:p>
        </w:tc>
      </w:tr>
      <w:tr>
        <w:trPr>
          <w:trHeight w:val="129"/>
        </w:trPr>
        <w:tc>
          <w:tcPr>
            <w:tcW w:w="580" w:type="dxa"/>
            <w:vAlign w:val="bottom"/>
            <w:tcBorders>
              <w:bottom w:val="single" w:sz="8" w:color="auto"/>
            </w:tcBorders>
          </w:tcPr>
          <w:p>
            <w:pPr>
              <w:ind w:left="38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tcPr>
          <w:p>
            <w:pPr>
              <w:ind w:left="48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33,414,135</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33,414</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$ 78,428,989</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13,526</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(84,538)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(33,740,151)</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95"/>
              </w:rPr>
              <w:t>44,637,720</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-1200150</wp:posOffset>
            </wp:positionV>
            <wp:extent cx="724662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-925830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-650875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-222250</wp:posOffset>
            </wp:positionV>
            <wp:extent cx="724662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7980"/>
          </w:cols>
          <w:pgMar w:left="240" w:top="364" w:right="339" w:bottom="1440" w:gutter="0" w:footer="0" w:header="0"/>
          <w:type w:val="continuous"/>
        </w:sectPr>
      </w:pP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type w:val="continuous"/>
        </w:sectPr>
      </w:pPr>
    </w:p>
    <w:bookmarkStart w:id="6" w:name="page7"/>
    <w:bookmarkEnd w:id="6"/>
    <w:p>
      <w:pPr>
        <w:jc w:val="center"/>
        <w:ind w:right="80"/>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period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00" w:type="dxa"/>
            <w:vAlign w:val="bottom"/>
            <w:gridSpan w:val="6"/>
          </w:tcPr>
          <w:p>
            <w:pPr>
              <w:ind w:left="20"/>
              <w:spacing w:after="0"/>
              <w:rPr>
                <w:sz w:val="20"/>
                <w:szCs w:val="20"/>
                <w:color w:val="auto"/>
              </w:rPr>
            </w:pPr>
            <w:r>
              <w:rPr>
                <w:rFonts w:ascii="Arial" w:cs="Arial" w:eastAsia="Arial" w:hAnsi="Arial"/>
                <w:sz w:val="18"/>
                <w:szCs w:val="18"/>
                <w:b w:val="1"/>
                <w:bCs w:val="1"/>
                <w:color w:val="auto"/>
                <w:w w:val="90"/>
              </w:rPr>
              <w:t>Nine months ended September 30,</w:t>
            </w:r>
          </w:p>
        </w:tc>
        <w:tc>
          <w:tcPr>
            <w:tcW w:w="40" w:type="dxa"/>
            <w:vAlign w:val="bottom"/>
          </w:tcPr>
          <w:p>
            <w:pPr>
              <w:spacing w:after="0"/>
              <w:rPr>
                <w:sz w:val="20"/>
                <w:szCs w:val="20"/>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FFCC"/>
            </w:tcBorders>
          </w:tcPr>
          <w:p>
            <w:pPr>
              <w:spacing w:after="0"/>
              <w:rPr>
                <w:sz w:val="18"/>
                <w:szCs w:val="18"/>
                <w:color w:val="auto"/>
              </w:rPr>
            </w:pPr>
          </w:p>
        </w:tc>
        <w:tc>
          <w:tcPr>
            <w:tcW w:w="138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1600" w:type="dxa"/>
            <w:vAlign w:val="bottom"/>
            <w:gridSpan w:val="2"/>
            <w:shd w:val="clear" w:color="auto" w:fill="CCFFCC"/>
          </w:tcPr>
          <w:p>
            <w:pPr>
              <w:ind w:left="1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(14,814,358)</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(22,680,898)</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(41,886,381)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spacing w:after="0" w:line="201" w:lineRule="exact"/>
              <w:rPr>
                <w:sz w:val="20"/>
                <w:szCs w:val="20"/>
                <w:color w:val="auto"/>
              </w:rPr>
            </w:pPr>
            <w:r>
              <w:rPr>
                <w:rFonts w:ascii="Arial" w:cs="Arial" w:eastAsia="Arial" w:hAnsi="Arial"/>
                <w:sz w:val="18"/>
                <w:szCs w:val="18"/>
                <w:color w:val="auto"/>
              </w:rPr>
              <w:t>Adjustments to reconcile consolidated net loss to net cash used</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in operating activities: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4,256,000</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2,178,590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7,764,676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Noncash stock expense associated with in-licensing agreement</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16,578,000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Impairment of in-process research and development</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1,104,700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Depreciation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notes payable</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(210,052)</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(284,297)</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Changes in assets and liabilities, net of effects of acquisition: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Decrease (increase) in other current assets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1,589,950</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(1,697,304)</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Increase in other assets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(85,121)</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Increase in accounts payable and accrued expenses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3,412,916</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1,505,531</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4,416,983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Increase in interest payable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(Decrease) increase in deferred revenue</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(114,286)</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1,866,666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(5,915,077)</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(4,354,632)</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(11,189,618)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Purchases of property, plant and equipment</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(3,299)</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(1,399)</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Cash acquired in connection with acquisition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provided by investing activities</w:t>
            </w:r>
          </w:p>
        </w:tc>
        <w:tc>
          <w:tcPr>
            <w:tcW w:w="13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(3,299)</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(1,399)</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5,688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Proceeds from the exercise of warrants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1,997,498</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1,997,498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Payments of short-term loans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Proceeds from sale of common stock, net</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37,648,280</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47,472,962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Proceeds from sale of preferred stock, net</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12,257,309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12,257,309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Offering costs paid</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(75,903)</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13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39,645,778</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11,981,406</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61,367,327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CASH AND CASH EQUIVALENTS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33,727,402</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7,625,375</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50,183,397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16,455,995</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9,748,491</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1600" w:type="dxa"/>
            <w:vAlign w:val="bottom"/>
            <w:gridSpan w:val="2"/>
            <w:shd w:val="clear" w:color="auto" w:fill="CCFFCC"/>
          </w:tcPr>
          <w:p>
            <w:pPr>
              <w:ind w:left="1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50,183,397</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17,373,866</w:t>
            </w:r>
          </w:p>
        </w:tc>
        <w:tc>
          <w:tcPr>
            <w:tcW w:w="60" w:type="dxa"/>
            <w:vAlign w:val="bottom"/>
            <w:shd w:val="clear" w:color="auto" w:fill="CCFFCC"/>
          </w:tcPr>
          <w:p>
            <w:pPr>
              <w:spacing w:after="0"/>
              <w:rPr>
                <w:sz w:val="18"/>
                <w:szCs w:val="18"/>
                <w:color w:val="auto"/>
              </w:rPr>
            </w:pP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50,183,397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NONCASH TRANSACTIONS: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Conversion of notes payable to preferred stock</w:t>
            </w:r>
          </w:p>
        </w:tc>
        <w:tc>
          <w:tcPr>
            <w:tcW w:w="16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Accrued financing costs</w:t>
            </w:r>
          </w:p>
        </w:tc>
        <w:tc>
          <w:tcPr>
            <w:tcW w:w="1600" w:type="dxa"/>
            <w:vAlign w:val="bottom"/>
            <w:gridSpan w:val="2"/>
            <w:shd w:val="clear" w:color="auto" w:fill="CCFFCC"/>
          </w:tcPr>
          <w:p>
            <w:pPr>
              <w:ind w:left="1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61,138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(formerly known as Manhattan Pharmaceuticals, Inc., or Manhattan) and our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Description of Business</w:t>
      </w:r>
    </w:p>
    <w:p>
      <w:pPr>
        <w:spacing w:after="0" w:line="24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the Company is developing therapies for hematologic malignancies: TG-1101 (ublituximab), a novel, glycoengineered monoclonal antibody that targets a specific and unique epitope on the CD20 antigen found on mature B-lymphocytes; and TGR-1202, an orally available PI3K delta inhibitor. We also hold the development rights to AST-726, a nasally delivered product for the treatment of Vitamin B12 deficiency.</w:t>
      </w:r>
    </w:p>
    <w:p>
      <w:pPr>
        <w:spacing w:after="0" w:line="1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U.S. generally accepted accounting principles (“GAAP”) for interim financial information and with the instructions to Form 10-Q and Article 10 of Regulation S-X. Accordingly, they may not include all of the information and footnotes required by GAAP for complete financial statements. All adjustments that are, in the opinion of management, of a normal recurring nature and are necessary for a fair presentation of the consolidated financial statements have been included. Nevertheless, these consolidated financial statements should be read in conjunction with the audited consolidated financial statements contained in our Annual Report on Form 10-K for the year ended December 31, 2012. The results of operations for the three and nine months ended September 30, 2013 are not necessarily indicative of the results that may be expected for the entire fiscal year or any other interim period.</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December 29, 2011, the Company consummated an exchange transaction (the “Exchange Transaction”) with Opus Point Partners, LLC (“Opus”) and TG Biologics, Inc. (formerly known as TG Therapeutics, Inc.) (“TG Bio”). The stockholders of TG Bio received the majority of the voting shares of the Company, therefore, the transaction was accounted for as a reverse acquisition whereby TG Bio was the accounting acquirer (legal acquiree) and the Company was the accounting acquiree (legal acquirer) under the acquisition method of accounting. TG Bio was incorporated in Delaware in November 2010, but did not commence operations until April 2011.</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April 30, 2012, the Company filed a Certificate of Amendment to its Certificate of Incorporation to change its name from Manhattan Pharmaceuticals, Inc. (“Manhattan”) to TG Therapeutics, Inc. In conjunction with this change, the subsidiary formerly named TG Therapeutics, Inc. filed a Certificate of Amendment changing its name to TG Biologics,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we may never become profitable. As of September 30, 2013, we have an accumulated deficit of $33,740,151.</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major sources of cash have been proceeds from the sale of equity securities, the upfront payment from our Sublicense Agreement with Ildong Pharmaceutical Co. Ltd. (“Ildong”), and warrant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 w:name="page9"/>
    <w:bookmarkEnd w:id="8"/>
    <w:p>
      <w:pPr>
        <w:ind w:right="500" w:firstLine="648"/>
        <w:spacing w:after="0" w:line="277" w:lineRule="auto"/>
        <w:rPr>
          <w:sz w:val="20"/>
          <w:szCs w:val="20"/>
          <w:color w:val="auto"/>
        </w:rPr>
      </w:pPr>
      <w:r>
        <w:rPr>
          <w:rFonts w:ascii="Arial" w:cs="Arial" w:eastAsia="Arial" w:hAnsi="Arial"/>
          <w:sz w:val="18"/>
          <w:szCs w:val="18"/>
          <w:color w:val="auto"/>
        </w:rPr>
        <w:t>In July 2013, we raised approximately $37.6 million, net of underwriting discounts and offering expenses of approximately $2.7 million, in an underwritten public offering. See Note 3 for additional information.</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currently anticipate that our cash and cash equivalents at September 30, 2013 are sufficient to fund our anticipated operating cash requirements for at least 24 months.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jc w:val="both"/>
        <w:ind w:right="200" w:firstLine="720"/>
        <w:spacing w:after="0" w:line="259" w:lineRule="auto"/>
        <w:rPr>
          <w:sz w:val="20"/>
          <w:szCs w:val="20"/>
          <w:color w:val="auto"/>
        </w:rPr>
      </w:pPr>
      <w:r>
        <w:rPr>
          <w:rFonts w:ascii="Arial" w:cs="Arial" w:eastAsia="Arial" w:hAnsi="Arial"/>
          <w:sz w:val="18"/>
          <w:szCs w:val="18"/>
          <w:color w:val="auto"/>
        </w:rPr>
        <w:t>All acquired research and development projects are recorded at their fair value as of the date of acquisition. The fair values are assessed as of the balance sheet date to ascertain if there has been any impairment of the recorded value. If there is an impairment, the asset is written down to its current fair value by the recording of an expense. Impairment is tested on an annual basis, and consists of a comparison of the fair value of the in-process research and development with its carrying amount.</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interest and penalties related to uncertain income tax positions in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recognize all share-based payments to employees and to non-employee directors for services as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share-based payments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Income Per Share of Common Stock</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Basic net income (loss) per share of Common Stock is calculated by dividing net income (loss) applicable to the Common Stock by the weighted-average number of shares of the Common Stock outstanding for the period. Diluted net loss per share of Common Stock is the same as basic net income (loss) per share of Common Stock since potentially dilutive securities from stock options, stock warrants and convertible preferred stock would have an antidilutive effect either because the Company incurred a net loss during the period presented or because such potentially dilutive securities were out of the money and the Company realized net income during the period presented. The amounts of potentially dilutive securities excluded from the calculation were 9,994,297 and 7,484,689 at September 30, 2013 and 2012, respectively. During the three and nine months ended September 30, 2013 and 2012, the Company incurred a net loss; therefore, all of the dilutive securities are excluded from the computation of diluted earnings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Long-lived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 FAIR VALUE MEASUREMENTS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1380" w:hanging="562"/>
        <w:spacing w:after="0"/>
        <w:tabs>
          <w:tab w:leader="none" w:pos="1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MS PGothic" w:cs="MS PGothic" w:eastAsia="MS PGothic" w:hAnsi="MS PGothic"/>
          <w:sz w:val="18"/>
          <w:szCs w:val="18"/>
          <w:color w:val="auto"/>
        </w:rPr>
      </w:pPr>
    </w:p>
    <w:p>
      <w:pPr>
        <w:ind w:left="1380" w:hanging="562"/>
        <w:spacing w:after="0"/>
        <w:tabs>
          <w:tab w:leader="none" w:pos="1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MS PGothic" w:cs="MS PGothic" w:eastAsia="MS PGothic" w:hAnsi="MS PGothic"/>
          <w:sz w:val="18"/>
          <w:szCs w:val="18"/>
          <w:color w:val="auto"/>
        </w:rPr>
      </w:pPr>
    </w:p>
    <w:p>
      <w:pPr>
        <w:ind w:left="1380" w:hanging="562"/>
        <w:spacing w:after="0"/>
        <w:tabs>
          <w:tab w:leader="none" w:pos="1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September 30, 2013 and December 31, 2012, the fair values of cash and cash equivalents, accounts payable, accrued expenses, and notes and interest payable approximate their carrying value.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Upon the merger between Manhattan and Ariston Pharmaceuticals, Inc. (“Ariston”) in March 2010,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connection with the Exchange Transaction in December 2011, the Company performed a valuation of the assets and liabilities of Manhattan immediately prior to the transaction. The cumulative liability including accrued and unpaid interest of the 5% Notes was approximately $16,876,000 immediately prior to the Exchange Transaction, $17,727,000 at December 31, 2012 and $18,390,000 at September 30, 2013. As the 5% Notes are tied directly to net product cash flows derived from the preexisting products of the Company, the 5% Notes and accrued interest were recorded at fair value of $3,287,700 as of the date of the Exchange Transaction. No payments have been made on the 5% Notes as of September 30, 2013.</w:t>
      </w:r>
    </w:p>
    <w:p>
      <w:pPr>
        <w:spacing w:after="0" w:line="17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elected the fair value option for valuing the 5% Notes upon the completion of the Exchange Transaction with TG Bio, as discussed above. The Company elected the fair value option in order to reflect in our financial statements the assumptions that market participants use in evaluating these financial instruments.</w:t>
      </w:r>
    </w:p>
    <w:p>
      <w:pPr>
        <w:spacing w:after="0" w:line="181" w:lineRule="exact"/>
        <w:rPr>
          <w:sz w:val="20"/>
          <w:szCs w:val="20"/>
          <w:color w:val="auto"/>
        </w:rPr>
      </w:pPr>
    </w:p>
    <w:p>
      <w:pPr>
        <w:ind w:right="380" w:firstLine="648"/>
        <w:spacing w:after="0" w:line="293" w:lineRule="auto"/>
        <w:rPr>
          <w:sz w:val="20"/>
          <w:szCs w:val="20"/>
          <w:color w:val="auto"/>
        </w:rPr>
      </w:pPr>
      <w:r>
        <w:rPr>
          <w:rFonts w:ascii="Arial" w:cs="Arial" w:eastAsia="Arial" w:hAnsi="Arial"/>
          <w:sz w:val="16"/>
          <w:szCs w:val="16"/>
          <w:color w:val="auto"/>
        </w:rPr>
        <w:t>The valuation method used to estimate the 5% Notes’ fair value is a discounted cash flow model, where the expected cash flows of AST-726 are discounted to the present using a yield that incorporates compensation for the probability of success in clinical development and marketing, among other factors. The discount rate used in this discounted cash flow model approximated 20% at December 31, 2012 and September 30, 2013.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measurements of applicable financial liabilities as of December 31, 2012 and September 30, 2013:</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ind w:left="80"/>
              <w:spacing w:after="0"/>
              <w:rPr>
                <w:sz w:val="20"/>
                <w:szCs w:val="20"/>
                <w:color w:val="auto"/>
              </w:rPr>
            </w:pPr>
            <w:r>
              <w:rPr>
                <w:rFonts w:ascii="Arial" w:cs="Arial" w:eastAsia="Arial" w:hAnsi="Arial"/>
                <w:sz w:val="18"/>
                <w:szCs w:val="18"/>
                <w:b w:val="1"/>
                <w:bCs w:val="1"/>
                <w:color w:val="auto"/>
              </w:rPr>
              <w:t>Financial liabilities at fair value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87"/>
              </w:rPr>
              <w:t>as of December 31, 2012</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FFCC"/>
          </w:tcPr>
          <w:p>
            <w:pPr>
              <w:jc w:val="center"/>
              <w:ind w:right="2070"/>
              <w:spacing w:after="0"/>
              <w:rPr>
                <w:sz w:val="20"/>
                <w:szCs w:val="20"/>
                <w:color w:val="auto"/>
              </w:rPr>
            </w:pPr>
            <w:r>
              <w:rPr>
                <w:rFonts w:ascii="Arial" w:cs="Arial" w:eastAsia="Arial" w:hAnsi="Arial"/>
                <w:sz w:val="18"/>
                <w:szCs w:val="18"/>
                <w:color w:val="auto"/>
                <w:w w:val="89"/>
              </w:rPr>
              <w:t>5% Notes</w:t>
            </w:r>
          </w:p>
        </w:tc>
        <w:tc>
          <w:tcPr>
            <w:tcW w:w="24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FFCC"/>
          </w:tcPr>
          <w:p>
            <w:pPr>
              <w:ind w:left="10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420" w:type="dxa"/>
            <w:vAlign w:val="bottom"/>
            <w:gridSpan w:val="3"/>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jc w:val="center"/>
              <w:ind w:right="2090"/>
              <w:spacing w:after="0"/>
              <w:rPr>
                <w:sz w:val="20"/>
                <w:szCs w:val="20"/>
                <w:color w:val="auto"/>
              </w:rPr>
            </w:pPr>
            <w:r>
              <w:rPr>
                <w:rFonts w:ascii="Arial" w:cs="Arial" w:eastAsia="Arial" w:hAnsi="Arial"/>
                <w:sz w:val="18"/>
                <w:szCs w:val="18"/>
                <w:color w:val="auto"/>
                <w:w w:val="89"/>
              </w:rPr>
              <w:t>Totals</w:t>
            </w:r>
          </w:p>
        </w:tc>
        <w:tc>
          <w:tcPr>
            <w:tcW w:w="2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w w:val="88"/>
              </w:rPr>
              <w:t>as of September 30, 2013</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FFCC"/>
          </w:tcPr>
          <w:p>
            <w:pPr>
              <w:jc w:val="center"/>
              <w:ind w:right="2070"/>
              <w:spacing w:after="0"/>
              <w:rPr>
                <w:sz w:val="20"/>
                <w:szCs w:val="20"/>
                <w:color w:val="auto"/>
              </w:rPr>
            </w:pPr>
            <w:r>
              <w:rPr>
                <w:rFonts w:ascii="Arial" w:cs="Arial" w:eastAsia="Arial" w:hAnsi="Arial"/>
                <w:sz w:val="18"/>
                <w:szCs w:val="18"/>
                <w:color w:val="auto"/>
                <w:w w:val="89"/>
              </w:rPr>
              <w:t>5% Notes</w:t>
            </w:r>
          </w:p>
        </w:tc>
        <w:tc>
          <w:tcPr>
            <w:tcW w:w="24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FFCC"/>
          </w:tcPr>
          <w:p>
            <w:pPr>
              <w:ind w:left="10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2,269,046</w:t>
            </w:r>
          </w:p>
        </w:tc>
        <w:tc>
          <w:tcPr>
            <w:tcW w:w="420" w:type="dxa"/>
            <w:vAlign w:val="bottom"/>
            <w:gridSpan w:val="3"/>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2,269,046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jc w:val="center"/>
              <w:ind w:right="2130"/>
              <w:spacing w:after="0"/>
              <w:rPr>
                <w:sz w:val="20"/>
                <w:szCs w:val="20"/>
                <w:color w:val="auto"/>
              </w:rPr>
            </w:pPr>
            <w:r>
              <w:rPr>
                <w:rFonts w:ascii="Arial" w:cs="Arial" w:eastAsia="Arial" w:hAnsi="Arial"/>
                <w:sz w:val="18"/>
                <w:szCs w:val="18"/>
                <w:color w:val="auto"/>
                <w:w w:val="89"/>
              </w:rPr>
              <w:t>Totals</w:t>
            </w:r>
          </w:p>
        </w:tc>
        <w:tc>
          <w:tcPr>
            <w:tcW w:w="21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2,269,046</w:t>
            </w:r>
          </w:p>
        </w:tc>
        <w:tc>
          <w:tcPr>
            <w:tcW w:w="120" w:type="dxa"/>
            <w:vAlign w:val="bottom"/>
            <w:gridSpan w:val="2"/>
          </w:tcPr>
          <w:p>
            <w:pPr>
              <w:spacing w:after="0"/>
              <w:rPr>
                <w:sz w:val="18"/>
                <w:szCs w:val="18"/>
                <w:color w:val="auto"/>
              </w:rPr>
            </w:pP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during the nine months ended September 30, 2013:</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Fair value at December 31, 2012</w:t>
            </w:r>
          </w:p>
        </w:tc>
        <w:tc>
          <w:tcPr>
            <w:tcW w:w="400" w:type="dxa"/>
            <w:vAlign w:val="bottom"/>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120" w:type="dxa"/>
            <w:vAlign w:val="bottom"/>
            <w:shd w:val="clear" w:color="auto" w:fill="CCFFC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662,775</w:t>
            </w:r>
          </w:p>
        </w:tc>
        <w:tc>
          <w:tcPr>
            <w:tcW w:w="120" w:type="dxa"/>
            <w:vAlign w:val="bottom"/>
          </w:tcPr>
          <w:p>
            <w:pPr>
              <w:spacing w:after="0"/>
              <w:rPr>
                <w:sz w:val="18"/>
                <w:szCs w:val="18"/>
                <w:color w:val="auto"/>
              </w:rPr>
            </w:pPr>
          </w:p>
        </w:tc>
      </w:tr>
      <w:tr>
        <w:trPr>
          <w:trHeight w:val="216"/>
        </w:trPr>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Level 3 liabilities</w:t>
            </w:r>
          </w:p>
        </w:tc>
        <w:tc>
          <w:tcPr>
            <w:tcW w:w="4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(872,827)</w:t>
            </w: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Fair value at September 30, 2013</w:t>
            </w: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2,269,046</w:t>
            </w:r>
          </w:p>
        </w:tc>
        <w:tc>
          <w:tcPr>
            <w:tcW w:w="12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200" w:lineRule="exact"/>
        <w:rPr>
          <w:sz w:val="20"/>
          <w:szCs w:val="20"/>
          <w:color w:val="auto"/>
        </w:rPr>
      </w:pPr>
    </w:p>
    <w:p>
      <w:pPr>
        <w:spacing w:after="0" w:line="28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397"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certificate of incorporation authorizes the issuance of up to 500,000,000 shares of $0.001 par value Common Stock.</w:t>
      </w:r>
    </w:p>
    <w:p>
      <w:pPr>
        <w:spacing w:after="0" w:line="24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July 18, 2013, we announced the pricing of an underwritten public offering of 5,700,000 shares of our Common Stock at a price of $6.15 per share for gross proceeds of approximately $35 million. We also granted to the underwriters a 30-day option to acquire an additional 855,000 shares to cover overallotments in connection with the offering. Total net proceeds from this offering, including the overallotment, were approximately $37.6 million, net of underwriting discounts and offering expenses of approximately $2.7 million. The shares were sold under a shelf registration statement on Form S-3 (File No. 333-189015) that was previously filed and declared effective by the SEC on June 17, 2013.</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currently have one shelf registration statement on Form S-3, filed and declared effective by the SEC (File No. 333-189015). Subsequent to the July 2013 offering, this shelf registration statement provides for the offering of up to approximately $135 million of common stock. We may offer the securities under our shelf registration statement from time to time in response to market conditions or other circumstances if we believe such a plan of financing is in the best interests of our stockholders. We believe that this shelf registration statement provides us with the flexibility to raise additional capital to finance our operations as needed.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Shares available for the issuance of stock options or other stock-based awards under our stock option and incentive plans were 1,903,213 shares at September 30,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nine months ended September 30,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of shares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 price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46,904</w:t>
            </w:r>
          </w:p>
        </w:tc>
        <w:tc>
          <w:tcPr>
            <w:tcW w:w="6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61.08</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9.44</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FFCC"/>
              <w:bottom w:val="single" w:sz="8" w:color="CCFFCC"/>
            </w:tcBorders>
            <w:vMerge w:val="restart"/>
          </w:tcPr>
          <w:p>
            <w:pPr>
              <w:ind w:left="100"/>
              <w:spacing w:after="0"/>
              <w:rPr>
                <w:sz w:val="20"/>
                <w:szCs w:val="20"/>
                <w:color w:val="auto"/>
              </w:rPr>
            </w:pPr>
            <w:r>
              <w:rPr>
                <w:rFonts w:ascii="Arial" w:cs="Arial" w:eastAsia="Arial" w:hAnsi="Arial"/>
                <w:sz w:val="18"/>
                <w:szCs w:val="18"/>
                <w:color w:val="auto"/>
              </w:rPr>
              <w:t>Granted</w:t>
            </w:r>
          </w:p>
        </w:tc>
        <w:tc>
          <w:tcPr>
            <w:tcW w:w="1200" w:type="dxa"/>
            <w:vAlign w:val="bottom"/>
            <w:tcBorders>
              <w:top w:val="single" w:sz="8" w:color="CCFFCC"/>
              <w:bottom w:val="single" w:sz="8" w:color="CCFFCC"/>
            </w:tcBorders>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CCFFCC"/>
              <w:bottom w:val="single" w:sz="8" w:color="CCFFCC"/>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ind w:left="12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2,249.85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ind w:left="120"/>
              <w:spacing w:after="0"/>
              <w:rPr>
                <w:sz w:val="20"/>
                <w:szCs w:val="20"/>
                <w:color w:val="auto"/>
              </w:rPr>
            </w:pPr>
            <w:r>
              <w:rPr>
                <w:rFonts w:ascii="Arial" w:cs="Arial" w:eastAsia="Arial" w:hAnsi="Arial"/>
                <w:sz w:val="18"/>
                <w:szCs w:val="18"/>
                <w:color w:val="auto"/>
              </w:rPr>
              <w:t>Expired</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80" w:type="dxa"/>
            <w:vAlign w:val="bottom"/>
            <w:gridSpan w:val="2"/>
          </w:tcPr>
          <w:p>
            <w:pPr>
              <w:spacing w:after="0"/>
              <w:rPr>
                <w:sz w:val="20"/>
                <w:szCs w:val="20"/>
                <w:color w:val="auto"/>
              </w:rPr>
            </w:pPr>
            <w:r>
              <w:rPr>
                <w:rFonts w:ascii="Arial" w:cs="Arial" w:eastAsia="Arial" w:hAnsi="Arial"/>
                <w:sz w:val="18"/>
                <w:szCs w:val="18"/>
                <w:color w:val="auto"/>
              </w:rPr>
              <w:t>Outstanding at September 30, 2013</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46,591</w:t>
            </w:r>
          </w:p>
        </w:tc>
        <w:tc>
          <w:tcPr>
            <w:tcW w:w="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29,440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1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 and expected to vest at September 30, 2013</w:t>
            </w:r>
          </w:p>
        </w:tc>
        <w:tc>
          <w:tcPr>
            <w:tcW w:w="1140" w:type="dxa"/>
            <w:vAlign w:val="bottom"/>
          </w:tcPr>
          <w:p>
            <w:pPr>
              <w:jc w:val="right"/>
              <w:spacing w:after="0"/>
              <w:rPr>
                <w:sz w:val="20"/>
                <w:szCs w:val="20"/>
                <w:color w:val="auto"/>
              </w:rPr>
            </w:pPr>
            <w:r>
              <w:rPr>
                <w:rFonts w:ascii="Arial" w:cs="Arial" w:eastAsia="Arial" w:hAnsi="Arial"/>
                <w:sz w:val="18"/>
                <w:szCs w:val="18"/>
                <w:color w:val="auto"/>
              </w:rPr>
              <w:t>9,591</w:t>
            </w:r>
          </w:p>
        </w:tc>
        <w:tc>
          <w:tcPr>
            <w:tcW w:w="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208.30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tcBorders>
              <w:top w:val="single" w:sz="8" w:color="CCFFCC"/>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Exercisable at September 30, 2013</w:t>
            </w:r>
          </w:p>
        </w:tc>
        <w:tc>
          <w:tcPr>
            <w:tcW w:w="11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9,591</w:t>
            </w: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208.30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1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8.41</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5,760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As of September 30, 2013, there is no unrecognized compensation cost related to unvested time-based option awards. This amount does not include, as of September 30, 2013, 37,000 non-employee options outstanding which are milestone-based and vest upon certain corporate milestones. Stock-based compensation will be measured and recorded if and when a milestone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52" w:lineRule="exact"/>
        <w:rPr>
          <w:sz w:val="20"/>
          <w:szCs w:val="20"/>
          <w:color w:val="auto"/>
        </w:rPr>
      </w:pPr>
    </w:p>
    <w:p>
      <w:pPr>
        <w:ind w:right="520" w:firstLine="720"/>
        <w:spacing w:after="0" w:line="377" w:lineRule="auto"/>
        <w:rPr>
          <w:sz w:val="20"/>
          <w:szCs w:val="20"/>
          <w:color w:val="auto"/>
        </w:rPr>
      </w:pPr>
      <w:r>
        <w:rPr>
          <w:rFonts w:ascii="Arial" w:cs="Arial" w:eastAsia="Arial" w:hAnsi="Arial"/>
          <w:sz w:val="16"/>
          <w:szCs w:val="16"/>
          <w:color w:val="auto"/>
        </w:rPr>
        <w:t>Certain employees, directors and consultants have been awarded restricted stock under the 2012 Incentive Plan. The restricted stock vesting consists of milestone and time-based vesting. The following table summarizes restricted share activity for the nine months ended September 30, 2013: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488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Number of Shares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8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2012</w:t>
            </w:r>
          </w:p>
        </w:tc>
        <w:tc>
          <w:tcPr>
            <w:tcW w:w="1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6,614,243</w:t>
            </w:r>
          </w:p>
        </w:tc>
        <w:tc>
          <w:tcPr>
            <w:tcW w:w="4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4.49</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149,044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r>
      <w:tr>
        <w:trPr>
          <w:trHeight w:val="216"/>
        </w:trPr>
        <w:tc>
          <w:tcPr>
            <w:tcW w:w="48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(398,750)</w:t>
            </w: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FFC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8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September 30, 2013</w:t>
            </w:r>
          </w:p>
        </w:tc>
        <w:tc>
          <w:tcPr>
            <w:tcW w:w="1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6,364,537</w:t>
            </w:r>
          </w:p>
        </w:tc>
        <w:tc>
          <w:tcPr>
            <w:tcW w:w="40" w:type="dxa"/>
            <w:vAlign w:val="bottom"/>
            <w:tcBorders>
              <w:top w:val="single" w:sz="8" w:color="CCFFCC"/>
              <w:bottom w:val="single" w:sz="8" w:color="CCFFCC"/>
            </w:tcBorders>
            <w:shd w:val="clear" w:color="auto" w:fill="CCFFCC"/>
          </w:tcPr>
          <w:p>
            <w:pPr>
              <w:spacing w:after="0"/>
              <w:rPr>
                <w:sz w:val="18"/>
                <w:szCs w:val="18"/>
                <w:color w:val="auto"/>
              </w:rPr>
            </w:pPr>
          </w:p>
        </w:tc>
        <w:tc>
          <w:tcPr>
            <w:tcW w:w="40" w:type="dxa"/>
            <w:vAlign w:val="bottom"/>
            <w:tcBorders>
              <w:top w:val="single" w:sz="8" w:color="CCFFCC"/>
              <w:bottom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4.65</w:t>
            </w: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23"/>
        </w:trPr>
        <w:tc>
          <w:tcPr>
            <w:tcW w:w="4880" w:type="dxa"/>
            <w:vAlign w:val="bottom"/>
          </w:tcPr>
          <w:p>
            <w:pPr>
              <w:spacing w:after="0"/>
              <w:rPr>
                <w:sz w:val="24"/>
                <w:szCs w:val="24"/>
                <w:color w:val="auto"/>
              </w:rPr>
            </w:pPr>
          </w:p>
        </w:tc>
        <w:tc>
          <w:tcPr>
            <w:tcW w:w="1660" w:type="dxa"/>
            <w:vAlign w:val="bottom"/>
          </w:tcPr>
          <w:p>
            <w:pPr>
              <w:jc w:val="right"/>
              <w:ind w:right="65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bookmarkStart w:id="12" w:name="page13"/>
    <w:bookmarkEnd w:id="12"/>
    <w:p>
      <w:pPr>
        <w:ind w:right="20" w:firstLine="648"/>
        <w:spacing w:after="0" w:line="255" w:lineRule="auto"/>
        <w:rPr>
          <w:sz w:val="20"/>
          <w:szCs w:val="20"/>
          <w:color w:val="auto"/>
        </w:rPr>
      </w:pPr>
      <w:r>
        <w:rPr>
          <w:rFonts w:ascii="Arial" w:cs="Arial" w:eastAsia="Arial" w:hAnsi="Arial"/>
          <w:sz w:val="18"/>
          <w:szCs w:val="18"/>
          <w:color w:val="auto"/>
        </w:rPr>
        <w:t>Total expense associated with restricted stock grants was $4,199,595 during the nine months ended September 30, 2013. As of September 30, 2013, there was approximately $7,227,000 of total unrecognized compensation cost related to unvested time based restricted stock, which is expected to be recognized over a weighted-average period of 2.1 years. This amount does not include, as of September 30, 2013, unrecognized compensation expense related to 1,517,500 shares of restricted stock outstanding which are milestone-based and vest upon certain corporate milestones; and 2,481,375 shares of restricted stock outstanding issued to non-employees. Milestone based noncash compensation expense will be measured and recorded if and when a milestone occurs.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nine months ended September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50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2012</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6,781,007</w:t>
            </w:r>
          </w:p>
        </w:tc>
        <w:tc>
          <w:tcPr>
            <w:tcW w:w="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14,563,539</w:t>
            </w:r>
          </w:p>
        </w:tc>
        <w:tc>
          <w:tcPr>
            <w:tcW w:w="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FFCC"/>
              <w:bottom w:val="single" w:sz="8" w:color="CCFFCC"/>
            </w:tcBorders>
            <w:vMerge w:val="restart"/>
          </w:tcPr>
          <w:p>
            <w:pPr>
              <w:ind w:left="140"/>
              <w:spacing w:after="0"/>
              <w:rPr>
                <w:sz w:val="20"/>
                <w:szCs w:val="20"/>
                <w:color w:val="auto"/>
              </w:rPr>
            </w:pPr>
            <w:r>
              <w:rPr>
                <w:rFonts w:ascii="Arial" w:cs="Arial" w:eastAsia="Arial" w:hAnsi="Arial"/>
                <w:sz w:val="18"/>
                <w:szCs w:val="18"/>
                <w:color w:val="auto"/>
              </w:rPr>
              <w:t>Issued</w:t>
            </w:r>
          </w:p>
        </w:tc>
        <w:tc>
          <w:tcPr>
            <w:tcW w:w="1160" w:type="dxa"/>
            <w:vAlign w:val="bottom"/>
            <w:tcBorders>
              <w:top w:val="single" w:sz="8" w:color="CCFFCC"/>
              <w:bottom w:val="single" w:sz="8" w:color="CCFFCC"/>
            </w:tcBorders>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CCFFCC"/>
              <w:bottom w:val="single" w:sz="8" w:color="CCFFCC"/>
            </w:tcBorders>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(890,644)</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40"/>
              <w:spacing w:after="0"/>
              <w:rPr>
                <w:sz w:val="20"/>
                <w:szCs w:val="20"/>
                <w:color w:val="auto"/>
              </w:rPr>
            </w:pPr>
            <w:r>
              <w:rPr>
                <w:rFonts w:ascii="Arial" w:cs="Arial" w:eastAsia="Arial" w:hAnsi="Arial"/>
                <w:sz w:val="18"/>
                <w:szCs w:val="18"/>
                <w:color w:val="auto"/>
              </w:rPr>
              <w:t>Expired</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September 30, 2013</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5,890,310</w:t>
            </w:r>
          </w:p>
        </w:tc>
        <w:tc>
          <w:tcPr>
            <w:tcW w:w="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21,799,376</w:t>
            </w:r>
          </w:p>
        </w:tc>
        <w:tc>
          <w:tcPr>
            <w:tcW w:w="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FFC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The Company did not grant any stock options during the nine months ended September 30, 2013.</w:t>
      </w:r>
    </w:p>
    <w:p>
      <w:pPr>
        <w:spacing w:after="0" w:line="18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information about stock options and restricted stock for the three and nine months ended September 30,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Three months ended</w:t>
            </w:r>
          </w:p>
        </w:tc>
        <w:tc>
          <w:tcPr>
            <w:tcW w:w="2800" w:type="dxa"/>
            <w:vAlign w:val="bottom"/>
            <w:gridSpan w:val="4"/>
          </w:tcPr>
          <w:p>
            <w:pPr>
              <w:ind w:left="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4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September 30, 2013</w:t>
            </w:r>
          </w:p>
        </w:tc>
        <w:tc>
          <w:tcPr>
            <w:tcW w:w="280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 2013</w:t>
            </w:r>
          </w:p>
        </w:tc>
        <w:tc>
          <w:tcPr>
            <w:tcW w:w="0" w:type="dxa"/>
            <w:vAlign w:val="bottom"/>
          </w:tcPr>
          <w:p>
            <w:pPr>
              <w:spacing w:after="0"/>
              <w:rPr>
                <w:sz w:val="1"/>
                <w:szCs w:val="1"/>
                <w:color w:val="auto"/>
              </w:rPr>
            </w:pPr>
          </w:p>
        </w:tc>
      </w:tr>
      <w:tr>
        <w:trPr>
          <w:trHeight w:val="210"/>
        </w:trPr>
        <w:tc>
          <w:tcPr>
            <w:tcW w:w="52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w w:val="95"/>
              </w:rPr>
              <w:t>Stock-based compensation expense associated with restricted stock</w:t>
            </w:r>
          </w:p>
        </w:tc>
        <w:tc>
          <w:tcPr>
            <w:tcW w:w="1640" w:type="dxa"/>
            <w:vAlign w:val="bottom"/>
            <w:tcBorders>
              <w:top w:val="single" w:sz="8" w:color="CCFFCC"/>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996,755</w:t>
            </w:r>
          </w:p>
        </w:tc>
        <w:tc>
          <w:tcPr>
            <w:tcW w:w="10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4,199,595</w:t>
            </w:r>
          </w:p>
        </w:tc>
        <w:tc>
          <w:tcPr>
            <w:tcW w:w="120" w:type="dxa"/>
            <w:vAlign w:val="bottom"/>
            <w:tcBorders>
              <w:top w:val="single" w:sz="8" w:color="CCFFCC"/>
            </w:tcBorders>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w w:val="98"/>
              </w:rPr>
              <w:t>Stock-based compensation expense associated with option grants</w:t>
            </w:r>
          </w:p>
        </w:tc>
        <w:tc>
          <w:tcPr>
            <w:tcW w:w="1640" w:type="dxa"/>
            <w:vAlign w:val="bottom"/>
            <w:tcBorders>
              <w:bottom w:val="single" w:sz="8" w:color="CCFFC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56,405</w:t>
            </w:r>
          </w:p>
        </w:tc>
        <w:tc>
          <w:tcPr>
            <w:tcW w:w="120" w:type="dxa"/>
            <w:vAlign w:val="bottom"/>
            <w:tcBorders>
              <w:bottom w:val="single" w:sz="8" w:color="CCFFCC"/>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CFFCC"/>
            </w:tcBorders>
            <w:shd w:val="clear" w:color="auto" w:fill="CCFFCC"/>
          </w:tcPr>
          <w:p>
            <w:pPr>
              <w:spacing w:after="0"/>
              <w:rPr>
                <w:sz w:val="18"/>
                <w:szCs w:val="18"/>
                <w:color w:val="auto"/>
              </w:rPr>
            </w:pPr>
          </w:p>
        </w:tc>
        <w:tc>
          <w:tcPr>
            <w:tcW w:w="1640" w:type="dxa"/>
            <w:vAlign w:val="bottom"/>
            <w:tcBorders>
              <w:bottom w:val="single" w:sz="8" w:color="CCFFCC"/>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996,755</w:t>
            </w:r>
          </w:p>
        </w:tc>
        <w:tc>
          <w:tcPr>
            <w:tcW w:w="100" w:type="dxa"/>
            <w:vAlign w:val="bottom"/>
            <w:tcBorders>
              <w:bottom w:val="single" w:sz="8" w:color="CCFFCC"/>
            </w:tcBorders>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4,256,000</w:t>
            </w:r>
          </w:p>
        </w:tc>
        <w:tc>
          <w:tcPr>
            <w:tcW w:w="120" w:type="dxa"/>
            <w:vAlign w:val="bottom"/>
            <w:tcBorders>
              <w:bottom w:val="single" w:sz="8" w:color="CCFFCC"/>
            </w:tcBorders>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40" w:type="dxa"/>
            <w:vAlign w:val="bottom"/>
            <w:vMerge w:val="restart"/>
          </w:tcPr>
          <w:p>
            <w:pPr>
              <w:jc w:val="right"/>
              <w:ind w:right="970"/>
              <w:spacing w:after="0"/>
              <w:rPr>
                <w:sz w:val="20"/>
                <w:szCs w:val="20"/>
                <w:color w:val="auto"/>
              </w:rPr>
            </w:pPr>
            <w:r>
              <w:rPr>
                <w:rFonts w:ascii="Arial" w:cs="Arial" w:eastAsia="Arial" w:hAnsi="Arial"/>
                <w:sz w:val="18"/>
                <w:szCs w:val="18"/>
                <w:color w:val="auto"/>
              </w:rPr>
              <w:t>13</w:t>
            </w: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52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NOTE 4 – NOTES PAYABLE</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280" w:type="dxa"/>
            <w:vAlign w:val="bottom"/>
          </w:tcPr>
          <w:p>
            <w:pPr>
              <w:ind w:left="60"/>
              <w:spacing w:after="0"/>
              <w:rPr>
                <w:sz w:val="20"/>
                <w:szCs w:val="20"/>
                <w:color w:val="auto"/>
              </w:rPr>
            </w:pPr>
            <w:r>
              <w:rPr>
                <w:rFonts w:ascii="Arial" w:cs="Arial" w:eastAsia="Arial" w:hAnsi="Arial"/>
                <w:sz w:val="18"/>
                <w:szCs w:val="18"/>
                <w:color w:val="auto"/>
              </w:rPr>
              <w:t>The following is a summary of notes payable: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9"/>
              </w:rPr>
              <w:t>September 30, 2013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December 31, 2012</w:t>
            </w:r>
          </w:p>
        </w:tc>
      </w:tr>
      <w:tr>
        <w:trPr>
          <w:trHeight w:val="191"/>
        </w:trPr>
        <w:tc>
          <w:tcPr>
            <w:tcW w:w="5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2"/>
              </w:rPr>
              <w:t>Non-</w:t>
            </w: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current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current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Current</w:t>
            </w: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portion,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portion,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portion, net</w:t>
            </w:r>
          </w:p>
        </w:tc>
        <w:tc>
          <w:tcPr>
            <w:tcW w:w="12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net</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portion, net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net</w:t>
            </w:r>
          </w:p>
        </w:tc>
        <w:tc>
          <w:tcPr>
            <w:tcW w:w="100" w:type="dxa"/>
            <w:vAlign w:val="bottom"/>
          </w:tcPr>
          <w:p>
            <w:pPr>
              <w:spacing w:after="0"/>
              <w:rPr>
                <w:sz w:val="20"/>
                <w:szCs w:val="20"/>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Convertible 5% Notes Payable</w:t>
            </w: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0"/>
              </w:rPr>
              <w:t>$ 2,269,046</w:t>
            </w:r>
          </w:p>
        </w:tc>
        <w:tc>
          <w:tcPr>
            <w:tcW w:w="1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$ 2,269,046</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$ 2,479,098</w:t>
            </w:r>
          </w:p>
        </w:tc>
        <w:tc>
          <w:tcPr>
            <w:tcW w:w="1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$ 2,479,098</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ICON Convertible Note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677,778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677,778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677,778</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677,778</w:t>
            </w:r>
          </w:p>
        </w:tc>
        <w:tc>
          <w:tcPr>
            <w:tcW w:w="100" w:type="dxa"/>
            <w:vAlign w:val="bottom"/>
          </w:tcPr>
          <w:p>
            <w:pPr>
              <w:spacing w:after="0"/>
              <w:rPr>
                <w:sz w:val="18"/>
                <w:szCs w:val="18"/>
                <w:color w:val="auto"/>
              </w:rPr>
            </w:pPr>
          </w:p>
        </w:tc>
      </w:tr>
      <w:tr>
        <w:trPr>
          <w:trHeight w:val="210"/>
        </w:trPr>
        <w:tc>
          <w:tcPr>
            <w:tcW w:w="5280" w:type="dxa"/>
            <w:vAlign w:val="bottom"/>
            <w:tcBorders>
              <w:top w:val="single" w:sz="8" w:color="CCFFCC"/>
              <w:bottom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677,778</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0"/>
              </w:rPr>
              <w:t>$ 2,269,046</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$ 2,946,824</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677,778</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$ 2,479,098</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$ 3,156,876</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assumed the preceding notes payable as the result of the Exchange Transaction between the Company and TG Bio. Accordingly, a valuation using the guidance in the accounting literature for business combinations (ASC 805) was performed and these notes were initially recorded at their fair value on the date of the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52" w:lineRule="exact"/>
        <w:rPr>
          <w:sz w:val="20"/>
          <w:szCs w:val="20"/>
          <w:color w:val="auto"/>
        </w:rPr>
      </w:pPr>
    </w:p>
    <w:p>
      <w:pPr>
        <w:ind w:right="40" w:firstLine="720"/>
        <w:spacing w:after="0" w:line="302" w:lineRule="auto"/>
        <w:rPr>
          <w:sz w:val="20"/>
          <w:szCs w:val="20"/>
          <w:color w:val="auto"/>
        </w:rPr>
      </w:pPr>
      <w:r>
        <w:rPr>
          <w:rFonts w:ascii="Arial" w:cs="Arial" w:eastAsia="Arial" w:hAnsi="Arial"/>
          <w:sz w:val="16"/>
          <w:szCs w:val="16"/>
          <w:color w:val="auto"/>
        </w:rPr>
        <w:t>On March 8, 2010, Manhattan entered into an Agreement and Plan of Merger (the "Merger Agreement") by and among Manhattan, Ariston Pharmaceuticals, Inc., a Delaware corporation ("Ariston") and Ariston Merger Corp., a Delaware corporation and wholly-owned subsidiary of Manhattan (the "Merger Sub"). Pursuant to the terms and conditions set forth in the Merger Agreement, on March 8, 2010, the Merger Sub merged with and into Ariston (the "Merger"), with Ariston being the surviving corporation of the Merger. As a result of the Merger, Ariston became a wholly-owned subsidiary of Manhattan.</w:t>
      </w:r>
    </w:p>
    <w:p>
      <w:pPr>
        <w:spacing w:after="0" w:line="181" w:lineRule="exact"/>
        <w:rPr>
          <w:sz w:val="20"/>
          <w:szCs w:val="20"/>
          <w:color w:val="auto"/>
        </w:rPr>
      </w:pPr>
    </w:p>
    <w:p>
      <w:pPr>
        <w:ind w:right="220" w:firstLine="720"/>
        <w:spacing w:after="0" w:line="276" w:lineRule="auto"/>
        <w:rPr>
          <w:sz w:val="20"/>
          <w:szCs w:val="20"/>
          <w:color w:val="auto"/>
        </w:rPr>
      </w:pPr>
      <w:r>
        <w:rPr>
          <w:rFonts w:ascii="Arial" w:cs="Arial" w:eastAsia="Arial" w:hAnsi="Arial"/>
          <w:sz w:val="17"/>
          <w:szCs w:val="17"/>
          <w:color w:val="auto"/>
        </w:rPr>
        <w:t>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 Interest accrues monthly, is added to principal on an annual basis, every March 8, and is payable at maturity.</w:t>
      </w:r>
    </w:p>
    <w:p>
      <w:pPr>
        <w:spacing w:after="0" w:line="20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connection with the Exchange Transaction in December 2011, the Company performed a valuation of the assets and liabilities of Manhattan immediately prior to the transaction. The cumulative liability including accrued and unpaid interest of the 5% Notes was approximately $16,876,000 immediately prior to the Exchange Transaction, $17,727,000 at December 31, 2012 and $18,390,000 at September 30, 2013. As the 5% Notes are tied directly to net product cash flows derived from the preexisting products of the Company, the 5% Notes and accrued interest was recorded at fair value as of the date of the Exchange Transaction. No payments have been made on the 5% Notes as of September 30, 2013. See Note 2 for further details.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ICON Convertible Note Payable</w:t>
      </w:r>
    </w:p>
    <w:p>
      <w:pPr>
        <w:spacing w:after="0" w:line="252"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In connection with the merger with Ariston as discussed above, Ariston satisfied an account payable of $1,275,188 to ICON Clinical Research Limited (“ICON”) through the payment of $275,188 in cash and the issuance of a three-year 5% note payable (the “ICON Note”). The principal was to be repaid in 36 monthly installments of $27,778 commencing in April 2010. Interest was payable monthly in arrears. On March 1, 2011, Ariston entered into an amended and restated convertible promissory note (the “Amended ICON Note”) with ICON. The principal terms of the Amended ICON Note are that monthly payments of principal and interest will be waived for the thirteen month period ended December 31, 2011 (the “Waiver Period”) in exchange for a single payment of $100,000 on March 31, 2011, an increase in the interest on the Amended ICON Note from 5% to 8% per annum during the Waiver Period and a balloon payment on January 31, 2012. The Amended ICON Note is convertible at the option of the holder into the Company’s Common Stock at the conversion price of $562.50 per share. During the nine months ended September 30, 2013, the Company recorded $49,240 of interest expense on the Amended ICON Note. At September 30, 2013, the principal amount of the Amended ICON Note was $677,778, of which the entire balance has been classified as current, and interest payable on the Amended ICON Note was $172,751. This note is currently in default as the Company did not make the balloon payment due on January 31, 2012, or any subsequent payments. The Company is currently attempting to negotiate a settlement or alternative arrangement in satisfaction of this note.</w:t>
      </w:r>
    </w:p>
    <w:p>
      <w:pPr>
        <w:spacing w:after="0" w:line="200" w:lineRule="exact"/>
        <w:rPr>
          <w:sz w:val="20"/>
          <w:szCs w:val="20"/>
          <w:color w:val="auto"/>
        </w:rPr>
      </w:pPr>
    </w:p>
    <w:p>
      <w:pPr>
        <w:spacing w:after="0" w:line="29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 LICENSE AGREEMENTS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Pharmaceutical Co. Ltd,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An upfront payment of $2,000,000, which was received in December 2012 net of $330,000 of foreign income tax withheld, is being recognized as license revenue on a straight-line basis over the life of the agreement, which is through the expiration of the last licensed patent right or 15 years after the first commercial sale of a product in such country, unless the agreement is earlier terminated. The upfront payment will be recognized as license revenue on a straight-line basis through December 2025, which represents the estimated period over which the Company will have certain ongoing responsibilities under the sublicense agreement. The Company recorded license revenue of approximately $114,000 and $38,000 for the nine and three months ended September 30, 2013, respectively, and has deferred revenue of approximately $1,867,000 associated with this $2,000,000 payment (approximately $152,000 of which has been classified as a current liability) at September 30, 2013.</w:t>
      </w:r>
    </w:p>
    <w:p>
      <w:pPr>
        <w:spacing w:after="0" w:line="176"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Company may receive up to an additional $5.0 million in payments upon the achievement of pre-specified milestones. In addition, upon commercialization, Ildong will make royalty payments to the Company on net sales of TG-1101 in the sublicense territory.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9"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On January 30, 2012, the Company entered into an exclusive license agreement with LFB Biotechnologies, GTC Biotherapeutics and LFB/GTC LLC, all wholly-owned subsidiaries of LFB Group, relating to the development of TG-1101 (the “License Agreement”). In connection with the License Agreement, LFB Group was issued 5,000,000 shares of Company Common Stock and a warrant to purchase 2,500,000 shares of Company Common stock at a purchase price of $0.001 per share. In addition, on November 9, 2012, the Company nominated Dr. Yann Echelard to the Company’s Board of Directors as LFB Group’s nominee. LFB Group maintains the right to nominate a board member until such time as LFB Group owns less than 10% of the outstanding Company Common Stock.</w:t>
      </w:r>
    </w:p>
    <w:p>
      <w:pPr>
        <w:spacing w:after="0" w:line="18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Under the terms of the Company’s License Agreement with LFB Group, the Company utilizes LFB Group for certain development and</w:t>
      </w:r>
    </w:p>
    <w:p>
      <w:pPr>
        <w:spacing w:after="0" w:line="36"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color w:val="auto"/>
        </w:rPr>
        <w:t>manufacturing services. The Company incurred approximately $6,068,000 and $2,034,000 during the nine and three months ended September 30, 2013, respectively, for manufacturing and development services, which have been included in other research and development expenses in the accompanying condensed consolidated statements of operations. As of September 30, 2013, the Company has approximately $3,079,000 recorded in accounts payable related to the aforementioned agreements with LFB Group.</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You should read the following discussion and analysis in conjunction with the unaudited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the Company is developing two therapies for hematologic malignancies: TG-1101 (ublituximab), a novel, glycoengineered monoclonal antibody that targets a specific and unique epitope on the CD20 antigen found on mature B-lymphocytes; and TGR-1202, an orally available PI3K delta inhibitor.</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TG-1101 (ublituximab) is a chimeric, glycoengineered, monoclonal antibody that targets a unique epitope on the CD20 antigen located on the surface of B-lymphocytes. Administration of anti-CD20 antibodies such as TG-1101 results in rapid depletion of circulating CD20 positive B-cells which is thought to aid in the treatment of various B-cell lymphoproliferative diseases. We hold exclusive worldwide rights (except France/Belgium) to develop and commercialize TG-1101 for all indications. Manufacturing of TG-1101 is currently performed by our partner, LFB Biotechnologies.</w:t>
      </w:r>
    </w:p>
    <w:p>
      <w:pPr>
        <w:spacing w:after="0" w:line="171" w:lineRule="exact"/>
        <w:rPr>
          <w:sz w:val="20"/>
          <w:szCs w:val="20"/>
          <w:color w:val="auto"/>
        </w:rPr>
      </w:pPr>
    </w:p>
    <w:p>
      <w:pPr>
        <w:jc w:val="both"/>
        <w:ind w:right="60" w:firstLine="648"/>
        <w:spacing w:after="0" w:line="308" w:lineRule="auto"/>
        <w:rPr>
          <w:sz w:val="20"/>
          <w:szCs w:val="20"/>
          <w:color w:val="auto"/>
        </w:rPr>
      </w:pPr>
      <w:r>
        <w:rPr>
          <w:rFonts w:ascii="Arial" w:cs="Arial" w:eastAsia="Arial" w:hAnsi="Arial"/>
          <w:sz w:val="16"/>
          <w:szCs w:val="16"/>
          <w:color w:val="auto"/>
        </w:rPr>
        <w:t>Generally, anti-CD20 antibodies are believed to exert their B-cell depleting effects through three primary mechanisms of action: antibody dependent cell-mediated cytotoxicity (“ADCC”), complement dependent cytotoxicity (“CDC”), and direct or programmed cell death (“DCD” or “PCD”). TG-1101 has been specifically glycoengineered to enhance ADCC activity, which should increase its ability to deplete B-cells and may improve its anti-cancer effects when compared to Rituxan</w:t>
      </w:r>
      <w:r>
        <w:rPr>
          <w:rFonts w:ascii="Arial" w:cs="Arial" w:eastAsia="Arial" w:hAnsi="Arial"/>
          <w:sz w:val="26"/>
          <w:szCs w:val="26"/>
          <w:color w:val="auto"/>
          <w:vertAlign w:val="superscript"/>
        </w:rPr>
        <w:t>®</w:t>
      </w:r>
      <w:r>
        <w:rPr>
          <w:rFonts w:ascii="Arial" w:cs="Arial" w:eastAsia="Arial" w:hAnsi="Arial"/>
          <w:sz w:val="16"/>
          <w:szCs w:val="16"/>
          <w:color w:val="auto"/>
        </w:rPr>
        <w:t>, the leading anti-CD20 monoclonal antibody, which had worldwide sales in 2012 of approximately $7 billion.</w:t>
      </w:r>
    </w:p>
    <w:p>
      <w:pPr>
        <w:spacing w:after="0" w:line="5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TG-1101 has demonstrated activity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assays as an efficient and selective B-cell targeting anti-CD20 antibody with the ability to effectively deplete B-lymphocytes in both malignant laboratory cell models as well as non-Hodgkin’s Lymphoma (NHL) and Chronic Lymphocytic Leukemia (CLL) patient donor cell lines.</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Two single-agent, dose-escalation, Phase I studies were undertaken with TG-1101 to establish an optimal dose in patients with NHL and CLL. A two part first-in-human Phase I clinical trial was first completed in France in which TG-1101 was introduced in relapsed or refractory CLL patients in doses as</w:t>
      </w:r>
    </w:p>
    <w:p>
      <w:pPr>
        <w:ind w:right="40"/>
        <w:spacing w:after="0" w:line="248" w:lineRule="auto"/>
        <w:rPr>
          <w:sz w:val="20"/>
          <w:szCs w:val="20"/>
          <w:color w:val="auto"/>
        </w:rPr>
      </w:pPr>
      <w:r>
        <w:rPr>
          <w:rFonts w:ascii="Arial" w:cs="Arial" w:eastAsia="Arial" w:hAnsi="Arial"/>
          <w:sz w:val="17"/>
          <w:szCs w:val="17"/>
          <w:color w:val="auto"/>
        </w:rPr>
        <w:t>high as 450mg per infusion. Preliminary results from Part 2 of this study were presented at the 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Annual American Society of Hematology Meeting in December 2011 and recently presented again at the 2013 European Hematology Annual Meeting. Subsequently, a single-agent Phase I study was undertaken in the US enrolling patients with both NHL and CLL, dosing patients up to 1200mg per infusion. In oncology settings, anti-CD20 therapy is generally used in combination with other anti-cancer agents where it demonstrates maximum activity. As a result, clinical development for TG-1101 has focused on combination therapy with a subsequent Phase I clinical study undertaken evaluating the combination of TG-1101 with lenalidomide (trade name Revlimid®), an immunomodulatory agent, also for patients with NHL and CLL. Future combinations studies with novel agents are planned.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Phase I/II trials with TG-1101 are currently ongoing,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TG-1101-101- Single Agent study in NHL and CLL</w:t>
      </w:r>
    </w:p>
    <w:p>
      <w:pPr>
        <w:spacing w:after="0" w:line="229" w:lineRule="exact"/>
        <w:rPr>
          <w:sz w:val="20"/>
          <w:szCs w:val="20"/>
          <w:color w:val="auto"/>
        </w:rPr>
      </w:pPr>
    </w:p>
    <w:p>
      <w:pPr>
        <w:ind w:right="120" w:firstLine="648"/>
        <w:spacing w:after="0" w:line="231" w:lineRule="auto"/>
        <w:rPr>
          <w:sz w:val="20"/>
          <w:szCs w:val="20"/>
          <w:color w:val="auto"/>
        </w:rPr>
      </w:pPr>
      <w:r>
        <w:rPr>
          <w:rFonts w:ascii="Arial" w:cs="Arial" w:eastAsia="Arial" w:hAnsi="Arial"/>
          <w:sz w:val="18"/>
          <w:szCs w:val="18"/>
          <w:color w:val="auto"/>
        </w:rPr>
        <w:t>Our first US based trial was launched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of 2012. The trial is entitled "An Open Label Phase I/II Trial of the Efficacy and Safety of Ublituximab in Patients with B-cell Non-Hodgkin Lymphoma who have Relapsed or are Refractory After CD20 Directed Antibody Therapy." All enrolled patients are relapsed or refractory to Rituxan® or a Rituxan® containing regimen, and in most cases multiple other lines of therapy. Dr. Owen O'Connor, Professor of Medicine and Director, Center for Lymphoid Malignancies at New York Presbyterian Columbia Medical Center is the Principal Investigator for the multi-center study.</w:t>
      </w:r>
    </w:p>
    <w:p>
      <w:pPr>
        <w:spacing w:after="0" w:line="204"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have completed the dose escalation portion of this study, with three patients enrolled into four dose cohorts each (450mg, 600mg, 900mg, and 1200mg), with preliminary safety and efficacy data for these patients presented at the American Society of Clinical Oncology Annual Meeting in June 2013 and at the European Hematology Association Annual Meeting in June 2013. Cohort expansions were undertaken at the 900 and 1200 mg doses for NHL patients and at the 600 and 900 mg doses for CLL patients. As of November 2013, enrollment has completed for this study.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TG-1101-102 – Combination study with Lenalidomide in NHL and CLL</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December of 2012, the Company initiated its second US based clinical trial entitled "TG-1101-102: A Phase I/II Study of Ublituximab in Combination with Lenalidomide (Revlimid®) in Patients with B-Cell Lymphoid Malignancies who have Relapsed or are Refractory After CD20 Directed Antibody Therapy".</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right="360" w:firstLine="648"/>
        <w:spacing w:after="0" w:line="259" w:lineRule="auto"/>
        <w:rPr>
          <w:sz w:val="20"/>
          <w:szCs w:val="20"/>
          <w:color w:val="auto"/>
        </w:rPr>
      </w:pPr>
      <w:r>
        <w:rPr>
          <w:rFonts w:ascii="Arial" w:cs="Arial" w:eastAsia="Arial" w:hAnsi="Arial"/>
          <w:sz w:val="18"/>
          <w:szCs w:val="18"/>
          <w:color w:val="auto"/>
        </w:rPr>
        <w:t>The trial was designed as a Phase I dose escalation study with the potential to enroll one or more expansion cohorts once the optimal dose was determined. All enrolled patients were relapsed or refractory to a prior anti-CD20 antibody containing regimen. The patients enrolled into this study were heavily pre-treated, most of which were refractory to Rituxan or a Rituxan containing regimen. This multicenter trial was being led by Dr. Marshall Schreeder of the Clearview Cancer Institute in Huntsville,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2603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Presently we have completed enrollment in this study, with the highest cohort dosing patients at 900mg of TG-1101 in combination with Revlimid® starting at 10mg and titrated based on tolerability in 5mg increments per cycle to a maximum dose of 20mg for patients with NHL and 15mg for patients with CLL.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81"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TGR-1202 is an orally available PI3K delta inhibitor with nanomolar potency to the delta isoform and high selectivity over the alpha, beta, and gamma isoforms. TGR-1202 has demonstrated activity in pre-clinical models and primary cells from patients with hematologic malignancies.</w:t>
      </w:r>
    </w:p>
    <w:p>
      <w:pPr>
        <w:spacing w:after="0" w:line="14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TGR-1202 is being developed jointly with Rhizen Pharmaceuticals, S A, a Switzerland based drug discovery and biotechnology company. The Company and Rhizen are jointly developing TGR-1202 on a worldwide basis, excluding India, initially focusing on indications in the area of hematologic malignancies and autoimmune disease. Rhizen maintains rights to manufacture and supply of the product, while we are responsible for all clinical and regulatory development for TGR-1202 globally.</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Company’s Investigational New Drug (“IND”) application for TGR-1202 was accepted by the FDA in December 2012 and 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and is expected to enroll approximately 30 patients during the initial dose escalation phase, followed by up to an additional 30 patients in an expansion phase once the optimal dose has been</w:t>
      </w:r>
    </w:p>
    <w:p>
      <w:pPr>
        <w:spacing w:after="0" w:line="2"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determined. Enrollment in the dose escalation portion of this study continues currently in Cohort 6 (1200mg QD or once per day) and is open to patients with relapsed or refractory NHL, CLL, Peripheral T-Cell Lymphoma ("PTCL"), and other select hematologic malignancies. Michael R. Savona, MD, the Director of Leukemic Research, Sarah Cannon Research Institute, is acting as Study Chair for the Phase I study.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AST-726</w:t>
      </w:r>
    </w:p>
    <w:p>
      <w:pPr>
        <w:spacing w:after="0" w:line="22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AST-726 is a nasally delivered form of hydroxocobalamin for the treatment of Vitamin B12 deficiency. The Company acquired global rights to AST-726 as part of the Ariston acquisition. AST-726 has demonstrated pharmacokinetic equivalence to a marketed intramuscular injection product for Vitamin B12 remediation.</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is currently reviewing its development plans for AST-726, which may include: (1) ceasing further development and attempting to sell or license AST-726, (2) continuing development as originally contemplated under the SPA or (3) evaluating and implementing alternative development plans. No decision has been made as to which approach to execute, and a timeline for a decision is uncertain. If the Company is unable to determine a development plan for AST-726, it is probable that an impairment of in-process research and development would be recognized in future periods, as the intellectual property for AST-726 begins to expire in 2014.</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In September 2013, the Company was notified of Orphan Drug Designation acceptance for TG-1101 for the treatment of Nodal and Extra-nodal Marginal Zone Lymphoma. Orphan drug designation is granted by the FDA Office of Orphan Drug Products to novel drugs or biologics that treat a rare disease or condition affecting fewer than 200,000 patients in the U.S.</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June of 2013, the Company presented preliminary data from TG-1101-101, the Phase I single agent study of TG-1101 in patients with rituximab relapsed and refractory B-cell lymphoma, at the 2013 American Society of Clinical Oncology (ASCO) annual meeting in Chicago, IL and at the 2013 European Hematology Association (EHA) annual meeting in Stockholm, Sweden. As of the presentation date, three patients had been treated at each dose level (12 patients total), and no dose-limiting-toxicities had been observed. TG-1101 was well tolerated with the majority of adverse events being Grade 1 or 2 in severity, with only one Grade 3 event observed: Grade 3 anemia in a Cohort 1 patient deemed possibly related to study drug. All patients received all planned infusions. As of November 2013, enrollment has been completed into this study.</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In June 2013, preliminary data was also presented from TG-1101-102, the Phase I study of TG-1101 in combination with lenalidomide for patients with rituximab relapsed and refractory B-cell lymphoma at the 18th annual congress of the European Hematology Association (EHA) in Stockholm, Sweden. As of the date of presentation, six patients had been enrolled in the study, and it was reported that the combination regimen has been well tolerated to date. No DLTs have been observed, and Grade </w:t>
      </w:r>
      <w:r>
        <w:rPr>
          <w:rFonts w:ascii="Arial" w:cs="Arial" w:eastAsia="Arial" w:hAnsi="Arial"/>
          <w:sz w:val="18"/>
          <w:szCs w:val="18"/>
          <w:u w:val="single" w:color="auto"/>
          <w:color w:val="auto"/>
        </w:rPr>
        <w:t>&gt;</w:t>
      </w:r>
      <w:r>
        <w:rPr>
          <w:rFonts w:ascii="Arial" w:cs="Arial" w:eastAsia="Arial" w:hAnsi="Arial"/>
          <w:sz w:val="18"/>
          <w:szCs w:val="18"/>
          <w:color w:val="auto"/>
        </w:rPr>
        <w:t>3 adverse events deemed to be at least possibly related to either study drug have been limited. As of November 2013, enrollment has been completed into this study.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9" w:lineRule="exact"/>
        <w:rPr>
          <w:sz w:val="20"/>
          <w:szCs w:val="20"/>
          <w:color w:val="auto"/>
        </w:rPr>
      </w:pPr>
    </w:p>
    <w:p>
      <w:pPr>
        <w:ind w:right="160" w:firstLine="648"/>
        <w:spacing w:after="0" w:line="227" w:lineRule="auto"/>
        <w:rPr>
          <w:sz w:val="20"/>
          <w:szCs w:val="20"/>
          <w:color w:val="auto"/>
        </w:rPr>
      </w:pPr>
      <w:r>
        <w:rPr>
          <w:rFonts w:ascii="Arial" w:cs="Arial" w:eastAsia="Arial" w:hAnsi="Arial"/>
          <w:sz w:val="18"/>
          <w:szCs w:val="18"/>
          <w:color w:val="auto"/>
        </w:rPr>
        <w:t>In September 2013, pre-clinical data on TGR-1202 was presented at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International Workshop on Chronic Lymphocytic Leukemia (iwCLL) held in Cologne, Germany. The poster presentation entitled “The PI3K-δ inhibitor TGR-1202 induces cytotoxicity and inhibits phosphorylation of AKT in 17p deleted and non-17p deleted CLL cells in vitro,” was presented by Daphne Friedman, MD and Mark Lanasa, MD, PhD from Duke University Medical Center.</w:t>
      </w:r>
    </w:p>
    <w:p>
      <w:pPr>
        <w:spacing w:after="0" w:line="207" w:lineRule="exact"/>
        <w:rPr>
          <w:sz w:val="20"/>
          <w:szCs w:val="20"/>
          <w:color w:val="auto"/>
        </w:rPr>
      </w:pPr>
    </w:p>
    <w:p>
      <w:pPr>
        <w:ind w:firstLine="648"/>
        <w:spacing w:after="0" w:line="221" w:lineRule="auto"/>
        <w:rPr>
          <w:sz w:val="20"/>
          <w:szCs w:val="20"/>
          <w:color w:val="auto"/>
        </w:rPr>
      </w:pPr>
      <w:r>
        <w:rPr>
          <w:rFonts w:ascii="Arial" w:cs="Arial" w:eastAsia="Arial" w:hAnsi="Arial"/>
          <w:sz w:val="18"/>
          <w:szCs w:val="18"/>
          <w:color w:val="auto"/>
        </w:rPr>
        <w:t>In June 2013, the Company presented pre-clinical data at the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International Conference on Malignant Lymphomas in Lugano, Switzerland, on the combination of TGR-1202 and TG-1101 in models of B-cell lymphoma demonstrating synergy against select lymphoma cell lines tested. The oral presentation was delivered by Changchun Deng, MD, PhD, of Columbia University Medical Center in New York, NY.</w:t>
      </w:r>
    </w:p>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first-in-human Phase I clinical trial of TGR-1202 (TGR-1202-101) was initiated in January 2013. TGR-1202-101 is ongoing and enrolling patients in the dose escalation component of the study evaluating once-daily doses of TGR-1202. To date, treatment with TGR-1202 has been generally well tolerated. Enrollment continues at the 1200mg once per day or QD dose (Cohort 6). Provided a maximum tolerated dose is not reached, additional cohorts evaluating the sequentially higher doses of TGR-1202 are planned.</w:t>
      </w:r>
    </w:p>
    <w:p>
      <w:pPr>
        <w:spacing w:after="0" w:line="187" w:lineRule="exact"/>
        <w:rPr>
          <w:sz w:val="20"/>
          <w:szCs w:val="20"/>
          <w:color w:val="auto"/>
        </w:rPr>
      </w:pPr>
    </w:p>
    <w:p>
      <w:pPr>
        <w:ind w:right="120" w:firstLine="648"/>
        <w:spacing w:after="0" w:line="274" w:lineRule="auto"/>
        <w:rPr>
          <w:sz w:val="20"/>
          <w:szCs w:val="20"/>
          <w:color w:val="auto"/>
        </w:rPr>
      </w:pPr>
      <w:r>
        <w:rPr>
          <w:rFonts w:ascii="Arial" w:cs="Arial" w:eastAsia="Arial" w:hAnsi="Arial"/>
          <w:sz w:val="17"/>
          <w:szCs w:val="17"/>
          <w:color w:val="auto"/>
        </w:rPr>
        <w:t>In September 2012, preliminary pharmacokinetic (PK) data was presented from initial cohorts in the ongoing Phase 1 study. TGR-1202 demonstrated rapid absorption and linear pharmacokinetics through the 800mg QD dose level. An extended half-life and observed accumulation were supportive of the once daily (QD) dosing regimen. Pharmacodynamic indicators such as compartmental lymphocyte shift (lymphocytosis) in patients with CLL, a hallmark of BCR targeted agents, were also reported to have been observed. While the Company believes this early data may provide preliminary information about the drug properties of TGR-1202, there can be no assurances given that TGR-1202 will continue to exhibit sufficient pharmaceutical properties to support further development. While we do have potential back-up compounds, if we were to decide to terminate the development of TGR-1202 our PI3K Delta program would be significantly delayed or terminated. The Company plans to present updated safety, efficacy and PK data at the upcoming 55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American Society of Hematology Meeting (ASH), being held December 7 – 10, 2013 in New Orleans, LA.</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24"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becomes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2013 and September 30, 2012</w:t>
      </w:r>
    </w:p>
    <w:p>
      <w:pPr>
        <w:spacing w:after="0" w:line="256"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License revenue was $38,096 for the three months ended September 30, 2013, as compared to $0 in the comparable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2012. License revenue for the three months ended September 30, 2013 was related to the 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81"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grants equaled $171,442 for the three months ended September 30, 2013, as compared to $127,091 during the comparable period in 2012. The noncash compensation expense was related to the period’s expense for restricted stock grants to research and development personnel.</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120" w:firstLine="648"/>
        <w:spacing w:after="0" w:line="276" w:lineRule="auto"/>
        <w:rPr>
          <w:sz w:val="20"/>
          <w:szCs w:val="20"/>
          <w:color w:val="auto"/>
        </w:rPr>
      </w:pPr>
      <w:r>
        <w:rPr>
          <w:rFonts w:ascii="Arial" w:cs="Arial" w:eastAsia="Arial" w:hAnsi="Arial"/>
          <w:sz w:val="17"/>
          <w:szCs w:val="17"/>
          <w:i w:val="1"/>
          <w:iCs w:val="1"/>
          <w:color w:val="auto"/>
        </w:rPr>
        <w:t>Other Research and Development Expenses</w:t>
      </w:r>
      <w:r>
        <w:rPr>
          <w:rFonts w:ascii="Arial" w:cs="Arial" w:eastAsia="Arial" w:hAnsi="Arial"/>
          <w:sz w:val="17"/>
          <w:szCs w:val="17"/>
          <w:color w:val="auto"/>
        </w:rPr>
        <w:t>. Other research and development expenses increased by $1,704,408 to $3,138,119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2013, as compared to $1,433,711 for the three months ended September 30, 2012. The increase in other research and development expenses was due primarily to an increase of approximately $2,124,000 for research and development expenses related to TG-1101, and an increase of approximately $491,000 for research and development expenses related to TGR-1202. We expect our other research and development costs to increase modestly for the remainder of 2013 due primarily to the enrollment of additional patients on our clinical trials.</w:t>
      </w:r>
    </w:p>
    <w:p>
      <w:pPr>
        <w:spacing w:after="0" w:line="200"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i w:val="1"/>
          <w:iCs w:val="1"/>
          <w:color w:val="auto"/>
        </w:rPr>
        <w:t xml:space="preserve">Noncash Compensation Expense (General and Administrative). </w:t>
      </w:r>
      <w:r>
        <w:rPr>
          <w:rFonts w:ascii="Arial" w:cs="Arial" w:eastAsia="Arial" w:hAnsi="Arial"/>
          <w:sz w:val="16"/>
          <w:szCs w:val="16"/>
          <w:color w:val="auto"/>
        </w:rPr>
        <w:t>Noncash compensation expense (general and administrative) related to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grants increased by $134,314 to $825,313 for the three months ended September 30, 2013, as compared to $690,999 for the three months ended September 30, 2012. The noncash compensation expense in both periods was related to restricted stock grants to general and administrative personnel.</w:t>
      </w:r>
    </w:p>
    <w:p>
      <w:pPr>
        <w:spacing w:after="0" w:line="147"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i w:val="1"/>
          <w:iCs w:val="1"/>
          <w:color w:val="auto"/>
        </w:rPr>
        <w:t>Other General and Administrative Expenses</w:t>
      </w:r>
      <w:r>
        <w:rPr>
          <w:rFonts w:ascii="Arial" w:cs="Arial" w:eastAsia="Arial" w:hAnsi="Arial"/>
          <w:sz w:val="16"/>
          <w:szCs w:val="16"/>
          <w:color w:val="auto"/>
        </w:rPr>
        <w:t>. Other general and administrative expenses increased by $88,214 to $550,639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2013, as compared to $462,425 for the three months ended September 30, 2012. The increase was due primarily to additional general and administrative personnel. We expect our other general and administrative expenses to remain at a comparable level for the remainder of 2013.</w:t>
      </w:r>
    </w:p>
    <w:p>
      <w:pPr>
        <w:spacing w:after="0" w:line="14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increased by $87,197 to $91,222 for the three months ended September 30, 2013, as compared to $4,025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2012. The other income for the period in 2012 was primarily due to the change in the fair value of our notes payable, partially offset by interest expense on our short-term note payable.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2013 and September 30, 2012</w:t>
      </w:r>
    </w:p>
    <w:p>
      <w:pPr>
        <w:spacing w:after="0" w:line="256"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License revenue was $114,286 for the nine months ended September 30, 2013, as compared to $0 in the comparable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2012. License revenue for the nine months ended September 30, 2013 was related to the 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Noncash Stock Expense Associated with In-licensing Agreement. </w:t>
      </w:r>
      <w:r>
        <w:rPr>
          <w:rFonts w:ascii="Arial" w:cs="Arial" w:eastAsia="Arial" w:hAnsi="Arial"/>
          <w:sz w:val="16"/>
          <w:szCs w:val="16"/>
          <w:color w:val="auto"/>
        </w:rPr>
        <w:t>Noncash stock expense associated with in-licensing agreement decreased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$16,578,000 to $0 for the nine months ended September 30, 2013, as compared to $16,578,000 for the nine months ended September 30, 2012. The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2012 related to a noncash expense of $16,578,000 recorded in conjunction with the stock issued to LFB Group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license to TGTX-1101.</w:t>
      </w:r>
    </w:p>
    <w:p>
      <w:pPr>
        <w:spacing w:after="0" w:line="238"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grants equaled $892,313 for the nine months ended September 30, 2013, as compared to $236,289 during the comparable period in 2012. The noncash compensation expense was related to the period’s expense for restricted stock grants to research and development personnel.</w:t>
      </w:r>
    </w:p>
    <w:p>
      <w:pPr>
        <w:spacing w:after="0" w:line="14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i w:val="1"/>
          <w:iCs w:val="1"/>
          <w:color w:val="auto"/>
        </w:rPr>
        <w:t>Other Research and Development Expenses</w:t>
      </w:r>
      <w:r>
        <w:rPr>
          <w:rFonts w:ascii="Arial" w:cs="Arial" w:eastAsia="Arial" w:hAnsi="Arial"/>
          <w:sz w:val="16"/>
          <w:szCs w:val="16"/>
          <w:color w:val="auto"/>
        </w:rPr>
        <w:t>. Other research and development expenses increased by $5,880,816 to $9,014,776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2013, as compared to $3,133,960 for the nine months ended September 30, 2012. The increase in other research and development expenses was due primarily to the commencement of the Company’s clinical development programs for TG-1101 and TGR-1202. We expect our other research and development costs to increase modestly for the remainder of 2013 due primarily to the enrollment of additional patients on our clinical trials.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increased by $1,421,386 to $3,363,687 for the nine months ended September 30, 2013, as compared to $1,942,301 for the nine months ended September 30, 2012. The increase in noncash compensation expense (general and administrative) was primarily due to the vesting of certain milestone-based restricted stock awards during the nine months ended September 30, 2013.</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 w:name="page21"/>
    <w:bookmarkEnd w:id="20"/>
    <w:p>
      <w:pPr>
        <w:ind w:right="60" w:firstLine="648"/>
        <w:spacing w:after="0" w:line="259"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$519,773 to $1,833,733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2013, as compared to $1,313,960 for the nine months ended September 30, 2012. The increase was due primarily to business insurance, the NASDAQ entry fee, and expenses related to additional general and administrative personnel. We expect our other general and administrative expenses to remain at a comparable level for the remainder of 2013.</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 Other income decreased by $347,747 to $175,865 for the nine months ended September 30, 2013, as compared to $523,612</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 months ended September 30, 2012. The other income for the period in 2012 was primarily due to a refund of New York State Franchise tax of approximately $272,000 and the change in the fair value of our notes payable, partially offset by interest expense on our short-term note payable.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primary source of cash has been proceeds from the sale of equity securities and from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5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July 18, 2013, we announced the pricing of an underwritten public offering of 5,700,000 shares of Common Stock at a price of $6.15 per share for gross proceeds of approximately $35 million. We also granted to the underwriters a 30-day option to acquire an additional 855,000 shares to cover overallotments in connection with the offering. Total net proceeds from this offering, including the overallotment, were approximately $37.6 million, net of underwriting discounts and offering expenses of approximately $2.7 million. The shares were sold under a shelf registration statement on Form S-3 (File No. 333-189015) that was previously filed and declared effective by the SEC on June 17, 2013.</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of September 30, 2013, we had $50,183,397 in cash and cash equivalents. We currently anticipate that our cash and cash equivalents as of September 30, 2013 to be sufficient to fund our anticipated operating cash requirements for at least 24 months from September 30, 2013.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2603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6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Cash used in operating activities for the nine months ended September 30, 2013 was $5,915,077, as compared to $4,354,632 for the nine months ended September 30, 2012. The increase in cash used in operating activities was due primarily to increased expenditures associated with our clinical development programs for TG-1101 and TGR-1202.</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nine months ended September 30, 2013, net cash provided by financing activities of $39,645,778 related to net proceeds from the issuance of Common Stock as part of our underwritten public offering in July 2013, as well as proceeds from the exercise of warrants. For the nine months ended September 30, 2012, net cash provided by financing activities of $11,981,406 related primarily to net proceeds from the issuance of the preferred stock, partially offset by the repayment of a short-term loan.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1" w:name="page22"/>
    <w:bookmarkEnd w:id="21"/>
    <w:p>
      <w:pPr>
        <w:ind w:right="26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Board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We have granted stock options and restricted stock to employees, directors and consultants, as well as warrants to other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In-process research and development</w:t>
      </w:r>
      <w:r>
        <w:rPr>
          <w:rFonts w:ascii="Arial" w:cs="Arial" w:eastAsia="Arial" w:hAnsi="Arial"/>
          <w:sz w:val="18"/>
          <w:szCs w:val="18"/>
          <w:color w:val="auto"/>
        </w:rPr>
        <w:t>. All acquired research and development projects are recorded at their fair value as of the date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are assessed as of the balance sheet date to ascertain if there has been any impairment of the recorded value. If there is an impairment the asset is written down to its current fair value by the recording of an expense.</w:t>
      </w:r>
    </w:p>
    <w:p>
      <w:pPr>
        <w:spacing w:after="0" w:line="20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ind w:firstLine="648"/>
        <w:spacing w:after="0" w:line="293"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September 30, 2013 and December 31, 2012, there was $799,391 of goodwill on our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8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condensed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9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elected the fair value option for valuing the 5% Notes upon the completion of the reverse merger with TG Bio, as discussed above. The Company elected the fair value option in order to reflect in our financial statements the assumptions that market participants use in evaluating these financial instruments.</w:t>
      </w:r>
    </w:p>
    <w:p>
      <w:pPr>
        <w:spacing w:after="0" w:line="181"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valuation methods used to estimate the 5% Notes’ fair value is a discounted cash flow model, where the expected cash flows of AST-726 and AST-915 are discounted to the present using a yield that incorporates compensation for the probability of success in clinical development and marketing, among other factors. The discount rate used in this discounted cash flow model approximated 20% at December 31, 2012 and September 30, 2013.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September 30, 2013, our portfolio of financial instruments consists of cash equivalents, including bank deposits. Due to the short-term nature of our investments, we believe there is no material exposure to interest rate risk, and/or credit risk, arising from our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As of September 30, 2013,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2013, our disclosure controls and procedures were effective.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2013, that have materially affected, or are reasonably likely to materially affect, our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4" w:name="page25"/>
    <w:bookmarkEnd w:id="24"/>
    <w:p>
      <w:pPr>
        <w:ind w:right="2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order to submit and maintain an Investigational New Drug application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While we maintain an active IND for TG-1101 and TGR-1202 enabling the conduct of studies in the FDA’s Division of Hematology and Oncology; there can be no assurance given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attrition from the failure of pharmaceutical candidates proceeding through clinical trials.</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plan on conducting additional Phase I, II and III clinical trials for TG-1101. Early clinical results seen with TG-1101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expansion cohorts or later trials are different from those found in the earlier studies of TG-1101, we may need to terminate or revise our clinical development plan, which could extend the time for conducting our development program and could have a material adverse effect on our business.</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TGR-1202 has only recently entered into a first-in-human Phase I clinical trial. As such, preliminary human data is only available from a small number of patients from the ongoing Phase I clinical trial. There can be no assurances given that TGR-1202 will exhibit sufficient pharmacologic properties following review of the data from this first Phase 1 study to support further development of TGR-1202. In addition, the pharmacologic and pharmacokinetic properties demonstrated by TGR-1202 in early cohorts and at lower doses may not be consistent with those demonstrated at higher doses of TGR-1202. Furthermore, such pharmacologic data arising from this first Phase 1 study may be inconclusive or not reproducible in later clinical trials. In such situation, we may conduct additional clinical trials only to learn later that TGR-1202 lacks adequate pharmacologic properties. Additionally, even if we believed that TGR-1202 possessed adequate pharmacologic properties, that still does not ensure that TGR-1202 will be a safe and effective pharmaceutical agent. If TGR-1202 were ultimately determined to lack adequate pharmacologic properties or fail to be a safe and effective pharmaceutical agent, we would have to cease development, which could have a material adverse effect on our business. In such event, despite the rights we retain to back-up compounds, our PI3k Delta program would be significantly delayed or terminated.</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5" w:name="page26"/>
    <w:bookmarkEnd w:id="25"/>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188" w:lineRule="exact"/>
        <w:rPr>
          <w:sz w:val="20"/>
          <w:szCs w:val="20"/>
          <w:color w:val="auto"/>
        </w:rPr>
      </w:pPr>
    </w:p>
    <w:p>
      <w:pPr>
        <w:ind w:right="160" w:firstLine="648"/>
        <w:spacing w:after="0" w:line="268"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3" w:lineRule="exact"/>
        <w:rPr>
          <w:sz w:val="20"/>
          <w:szCs w:val="20"/>
          <w:color w:val="auto"/>
        </w:rPr>
      </w:pPr>
    </w:p>
    <w:p>
      <w:pPr>
        <w:ind w:left="1620" w:hanging="802"/>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1620" w:right="40" w:hanging="802"/>
        <w:spacing w:after="0" w:line="250"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1620" w:right="140" w:hanging="802"/>
        <w:spacing w:after="0" w:line="250"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1620" w:right="400" w:hanging="802"/>
        <w:spacing w:after="0" w:line="250"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620" w:hanging="802"/>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1620" w:right="220" w:hanging="802"/>
        <w:spacing w:after="0" w:line="250"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620" w:right="20" w:hanging="802"/>
        <w:spacing w:after="0" w:line="250"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1620" w:right="540" w:hanging="802"/>
        <w:spacing w:after="0" w:line="250"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1620" w:right="420" w:hanging="802"/>
        <w:spacing w:after="0" w:line="261"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4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its product candidates. To date, clinical trials using TG-1101 and our other product candidates have demonstrated a toxicity profile that was deemed acceptable by the investigators performing such studies. 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TG-1101, the toxicity when manufactured under different conditions is not known, and it is possible that additional and/or different adverse events may appear upon the human use of those formulations and those adverse events may arise with greater frequency, intensity and duration than in the current formulation. With respect to TGR-1202, to date only a small number of patients have been dosed in the ongoing first-in-human dose-escalation Phase I study, the full adverse effect profile of TGR-1202 is not known. Limited data is available on the drug’s adverse event profile at lower doses, and as the dose escalation continues with higher doses of TGR-1202, greater frequency and/or severity of adverse events are likely to occur as a maximum tolerated dose is reached. If any of our product candidates cause unacceptable adverse events in clinical trials, we may not be able to obtain marketing approval and generate revenues from its sale, which could have a material adverse impact on our business and operations.</w:t>
      </w:r>
    </w:p>
    <w:p>
      <w:pPr>
        <w:spacing w:after="0" w:line="175"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1380" w:hanging="562"/>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1380" w:right="260" w:hanging="562"/>
        <w:spacing w:after="0" w:line="250"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1380" w:hanging="562"/>
        <w:spacing w:after="0"/>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required to change the way the product is administered, conduct additional clinical trials or change the labeling of the product;</w:t>
      </w:r>
    </w:p>
    <w:p>
      <w:pPr>
        <w:spacing w:after="0" w:line="32" w:lineRule="exact"/>
        <w:rPr>
          <w:rFonts w:ascii="Arial" w:cs="Arial" w:eastAsia="Arial" w:hAnsi="Arial"/>
          <w:sz w:val="16"/>
          <w:szCs w:val="16"/>
          <w:color w:val="auto"/>
        </w:rPr>
      </w:pPr>
    </w:p>
    <w:p>
      <w:pPr>
        <w:ind w:left="1380" w:hanging="562"/>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ind w:right="50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its ability to pursue regulatory approval.</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its product candidates.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70"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1380" w:hanging="562"/>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1380" w:right="120" w:hanging="562"/>
        <w:spacing w:after="0" w:line="250"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1380" w:hanging="562"/>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1380" w:right="100" w:hanging="562"/>
        <w:spacing w:after="0" w:line="250"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1380" w:hanging="562"/>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Institutional Review Board (“IRB”), an ethics committee or a Data Safety and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1380" w:hanging="56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1380" w:right="300" w:hanging="562"/>
        <w:spacing w:after="0" w:line="250"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1380" w:hanging="56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6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54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product candidates are in the initial stages of development and are currently manufactured in small batches for use in pre-clinical and clinical studies. Process improvements implemented to date have,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29" w:name="page30"/>
    <w:bookmarkEnd w:id="29"/>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9"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our competitors develop treatments for the target indications for which any of our product candidates may be approved, that are approved more quickly, marketed more effectively or demonstrated to be more effective than our product candidates, our commercial opportunity will be reduced or eliminated.</w:t>
      </w:r>
    </w:p>
    <w:p>
      <w:pPr>
        <w:spacing w:after="0" w:line="101" w:lineRule="exact"/>
        <w:rPr>
          <w:sz w:val="20"/>
          <w:szCs w:val="20"/>
          <w:color w:val="auto"/>
        </w:rPr>
      </w:pPr>
    </w:p>
    <w:p>
      <w:pPr>
        <w:ind w:right="340" w:firstLine="648"/>
        <w:spacing w:after="0" w:line="272" w:lineRule="auto"/>
        <w:rPr>
          <w:sz w:val="20"/>
          <w:szCs w:val="20"/>
          <w:color w:val="auto"/>
        </w:rPr>
      </w:pPr>
      <w:r>
        <w:rPr>
          <w:rFonts w:ascii="Arial" w:cs="Arial" w:eastAsia="Arial" w:hAnsi="Arial"/>
          <w:sz w:val="17"/>
          <w:szCs w:val="17"/>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69" w:lineRule="exact"/>
        <w:rPr>
          <w:sz w:val="20"/>
          <w:szCs w:val="20"/>
          <w:color w:val="auto"/>
        </w:rPr>
      </w:pPr>
    </w:p>
    <w:p>
      <w:pPr>
        <w:ind w:right="120" w:firstLine="648"/>
        <w:spacing w:after="0" w:line="228" w:lineRule="auto"/>
        <w:rPr>
          <w:sz w:val="20"/>
          <w:szCs w:val="20"/>
          <w:color w:val="auto"/>
        </w:rPr>
      </w:pPr>
      <w:r>
        <w:rPr>
          <w:rFonts w:ascii="Arial" w:cs="Arial" w:eastAsia="Arial" w:hAnsi="Arial"/>
          <w:sz w:val="17"/>
          <w:szCs w:val="17"/>
          <w:color w:val="auto"/>
        </w:rPr>
        <w:t>If approved, we expect TG-1101 to compete directly with Roche Group’s Rituxan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(Rituximab) and Gazyva (obinutuzumab or GA-101), Spectrum Pharmaceutical’s Zevalin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(Y</w:t>
      </w:r>
      <w:r>
        <w:rPr>
          <w:rFonts w:ascii="Arial" w:cs="Arial" w:eastAsia="Arial" w:hAnsi="Arial"/>
          <w:sz w:val="28"/>
          <w:szCs w:val="28"/>
          <w:color w:val="auto"/>
          <w:vertAlign w:val="superscript"/>
        </w:rPr>
        <w:t>90</w:t>
      </w:r>
      <w:r>
        <w:rPr>
          <w:rFonts w:ascii="Arial" w:cs="Arial" w:eastAsia="Arial" w:hAnsi="Arial"/>
          <w:sz w:val="17"/>
          <w:szCs w:val="17"/>
          <w:color w:val="auto"/>
        </w:rPr>
        <w:t>-Ibritumomab Tiuxetan), and Genmab and GlaxoSmithKline’s Arzerra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(Ofatumumab) among others, each of which is currently approved for the treatment of various diseases including NHL and CLL. In addition, a number of pharmaceutical companies are developing anti-CD20 antibodies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20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With respect to TGR-1202, although no PI3K delta inhibitors have been approved by the FDA, there are several PI3K delta targeted compounds in development, including, but not limited to, Gilead’s idelalisib (formerly known as GS-1101 or CAL-101), Infinity Pharmaceuticals IPI-145 and Amgen’s AMG-319, which if approved we would expect to compete directly with TGR-1202. In addition, there are numerous other novel therapies targeting similar pathways to TGR-1202 in development, which if approved would also compete with TGR-1202 in similar indications, such as the BTK inhibitor, ibrutinib (under clinical development by Pharmacyclics/JNJ), or the blc-2 inhibitor ABT-199 (under clinical development by Abbott Laboratories/Roche).</w:t>
      </w:r>
    </w:p>
    <w:p>
      <w:pPr>
        <w:spacing w:after="0" w:line="158" w:lineRule="exact"/>
        <w:rPr>
          <w:sz w:val="20"/>
          <w:szCs w:val="20"/>
          <w:color w:val="auto"/>
        </w:rPr>
      </w:pPr>
    </w:p>
    <w:p>
      <w:pPr>
        <w:ind w:right="540" w:firstLine="648"/>
        <w:spacing w:after="0" w:line="25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 w:lineRule="exact"/>
        <w:rPr>
          <w:sz w:val="20"/>
          <w:szCs w:val="20"/>
          <w:color w:val="auto"/>
        </w:rPr>
      </w:pPr>
    </w:p>
    <w:p>
      <w:pPr>
        <w:ind w:left="1380" w:hanging="56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ind w:right="32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at an appropriate scale and cost to make it commercially feasible. If they are unable to do so, it could have a material adverse impact on our business.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8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ind w:right="20"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ind w:left="1380" w:hanging="56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2" w:lineRule="exact"/>
        <w:rPr>
          <w:sz w:val="20"/>
          <w:szCs w:val="20"/>
          <w:color w:val="auto"/>
        </w:rPr>
      </w:pPr>
    </w:p>
    <w:p>
      <w:pPr>
        <w:ind w:left="1380" w:hanging="56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32" w:name="page33"/>
    <w:bookmarkEnd w:id="32"/>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1380" w:hanging="562"/>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w:t>
      </w:r>
    </w:p>
    <w:p>
      <w:pPr>
        <w:spacing w:after="0" w:line="17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3" w:name="page34"/>
    <w:bookmarkEnd w:id="33"/>
    <w:p>
      <w:pPr>
        <w:ind w:right="80"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2140" w:hanging="700"/>
        <w:spacing w:after="0"/>
        <w:tabs>
          <w:tab w:leader="none" w:pos="2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2140" w:hanging="700"/>
        <w:spacing w:after="0"/>
        <w:tabs>
          <w:tab w:leader="none" w:pos="2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2140" w:hanging="700"/>
        <w:spacing w:after="0"/>
        <w:tabs>
          <w:tab w:leader="none" w:pos="2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2140" w:hanging="700"/>
        <w:spacing w:after="0"/>
        <w:tabs>
          <w:tab w:leader="none" w:pos="2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2140" w:hanging="700"/>
        <w:spacing w:after="0"/>
        <w:tabs>
          <w:tab w:leader="none" w:pos="2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Company will need to increase the size of its organization and the scope of our outside vendor relationships, and we may experience difficulties in managing this growth.</w:t>
      </w:r>
    </w:p>
    <w:p>
      <w:pPr>
        <w:spacing w:after="0" w:line="170" w:lineRule="exact"/>
        <w:rPr>
          <w:sz w:val="20"/>
          <w:szCs w:val="20"/>
          <w:color w:val="auto"/>
        </w:rPr>
      </w:pPr>
    </w:p>
    <w:p>
      <w:pPr>
        <w:jc w:val="both"/>
        <w:ind w:right="220" w:firstLine="648"/>
        <w:spacing w:after="0" w:line="269" w:lineRule="auto"/>
        <w:rPr>
          <w:sz w:val="20"/>
          <w:szCs w:val="20"/>
          <w:color w:val="auto"/>
        </w:rPr>
      </w:pPr>
      <w:r>
        <w:rPr>
          <w:rFonts w:ascii="Arial" w:cs="Arial" w:eastAsia="Arial" w:hAnsi="Arial"/>
          <w:sz w:val="17"/>
          <w:szCs w:val="17"/>
          <w:color w:val="auto"/>
        </w:rPr>
        <w:t>As of September 30, 2013, we had six full and part time employees. Over time, we will need to expand our managerial, operational, financial and other resources in order to manage and obtain funds for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1380" w:hanging="562"/>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1380" w:right="80" w:hanging="562"/>
        <w:spacing w:after="0" w:line="250"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1380" w:hanging="562"/>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may utilize the services of outside vendors or consultants to perform tasks including clinical trial management, statistics and analysis, regulatory affairs, formulation development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the Company is not able to attract and retain the necessary personnel to accomplish its business objectives, we may experience constraints that will impede significantly the achievement of our development objectives, our ability to raise additional capital, and our ability to implement our business strategy.</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8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70"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5" w:name="page36"/>
    <w:bookmarkEnd w:id="35"/>
    <w:p>
      <w:pPr>
        <w:ind w:right="200" w:firstLine="648"/>
        <w:spacing w:after="0" w:line="274" w:lineRule="auto"/>
        <w:rPr>
          <w:sz w:val="20"/>
          <w:szCs w:val="20"/>
          <w:color w:val="auto"/>
        </w:rPr>
      </w:pPr>
      <w:r>
        <w:rPr>
          <w:rFonts w:ascii="Arial" w:cs="Arial" w:eastAsia="Arial" w:hAnsi="Arial"/>
          <w:sz w:val="17"/>
          <w:szCs w:val="17"/>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1380" w:hanging="562"/>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1380" w:right="320" w:hanging="562"/>
        <w:spacing w:after="0" w:line="250"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1380" w:hanging="562"/>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1380" w:right="100" w:hanging="562"/>
        <w:spacing w:after="0" w:line="250"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1380" w:hanging="562"/>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1" w:lineRule="exact"/>
        <w:rPr>
          <w:sz w:val="20"/>
          <w:szCs w:val="20"/>
          <w:color w:val="auto"/>
        </w:rPr>
      </w:pPr>
    </w:p>
    <w:p>
      <w:pPr>
        <w:ind w:right="40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Currently, the composition of matter patent and several method of use patents for TG-1101 and TGR-1202 in various indications and settings have been applied for but have not yet been issued. The patent application process is subject to numerous risks and uncertainties, and there can be no assurance that we or our partners will be successful in protecting our product candidates by obtaining and defending patents.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2140" w:hanging="700"/>
        <w:spacing w:after="0"/>
        <w:tabs>
          <w:tab w:leader="none" w:pos="2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1500" w:right="80" w:hanging="60"/>
        <w:spacing w:after="0" w:line="250" w:lineRule="auto"/>
        <w:tabs>
          <w:tab w:leader="none" w:pos="21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1500" w:right="100" w:hanging="60"/>
        <w:spacing w:after="0" w:line="250" w:lineRule="auto"/>
        <w:tabs>
          <w:tab w:leader="none" w:pos="21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Going forward, if we do not win the filing race, we will not be entitled to inventive priority;</w:t>
      </w:r>
    </w:p>
    <w:p>
      <w:pPr>
        <w:ind w:left="1500" w:right="260" w:hanging="60"/>
        <w:spacing w:after="0" w:line="277" w:lineRule="auto"/>
        <w:tabs>
          <w:tab w:leader="none" w:pos="2148"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6" w:name="page37"/>
    <w:bookmarkEnd w:id="36"/>
    <w:p>
      <w:pPr>
        <w:ind w:left="1500" w:right="420" w:hanging="60"/>
        <w:spacing w:after="0" w:line="256" w:lineRule="auto"/>
        <w:tabs>
          <w:tab w:leader="none" w:pos="21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ind w:left="1500" w:right="120" w:hanging="60"/>
        <w:spacing w:after="0" w:line="261" w:lineRule="auto"/>
        <w:tabs>
          <w:tab w:leader="none" w:pos="21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21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81" w:lineRule="exact"/>
        <w:rPr>
          <w:sz w:val="20"/>
          <w:szCs w:val="20"/>
          <w:color w:val="auto"/>
        </w:rPr>
      </w:pPr>
    </w:p>
    <w:p>
      <w:pPr>
        <w:ind w:right="64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1380" w:hanging="562"/>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1380" w:right="300" w:hanging="562"/>
        <w:spacing w:after="0" w:line="250"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1380" w:hanging="562"/>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1380" w:right="540" w:hanging="562"/>
        <w:spacing w:after="0" w:line="261"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 w:name="page38"/>
    <w:bookmarkEnd w:id="37"/>
    <w:p>
      <w:pPr>
        <w:ind w:right="20"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3"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its management and other employees. We may not be able to prevent, alone or with our licensors, misappropriation of our trade secrets or confidential information, particularly in countries where the laws may not protect those rights as fully as in the United States. Moreover, as of March 16, 2013, the U.S. will convert from a “first to invent” to a “first to file” system. After that time, should there be any innovations that we invented first, but on which we filed the patent application second, we will have limited options available to reclaim invention priority.</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September 30, 2013, we had net cash on hand of approximately $50,183,000. We believe that our cash on hand will sustain our operations for at least the next 24 months. As a result, we will need additional capital to continue our operations beyond that time. We will need to seek additional sources of financing in the future, which might not be available on favorable terms, if at all, to continue our operations.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on your holdings of our capital stock.</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 w:name="page39"/>
    <w:bookmarkEnd w:id="38"/>
    <w:p>
      <w:pPr>
        <w:ind w:right="840" w:firstLine="648"/>
        <w:spacing w:after="0" w:line="34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it will become profitable, if ever.</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 must be considered in light of the uncertainties, risks, expenses and difficulties frequently encountered by companies in the early stages of operations and the competitive environment in which we operate.</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have never been profitable, and, as of September 30, 2013, we had an accumulated deficit of $33,740,151. We have generated operating losses in all periods since we were incorporated. We expect to make substantial expenditures resulting in increasing operating costs in the future and our accumulated deficit may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1380" w:hanging="562"/>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completion of preclinical studies of its product candidates;</w:t>
      </w:r>
    </w:p>
    <w:p>
      <w:pPr>
        <w:spacing w:after="0" w:line="9" w:lineRule="exact"/>
        <w:rPr>
          <w:rFonts w:ascii="Arial" w:cs="Arial" w:eastAsia="Arial" w:hAnsi="Arial"/>
          <w:sz w:val="18"/>
          <w:szCs w:val="18"/>
          <w:color w:val="auto"/>
        </w:rPr>
      </w:pPr>
    </w:p>
    <w:p>
      <w:pPr>
        <w:ind w:left="1380" w:right="240" w:hanging="562"/>
        <w:spacing w:after="0" w:line="250"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its product candidates and any future product candidates we advance into clinical trials;</w:t>
      </w:r>
    </w:p>
    <w:p>
      <w:pPr>
        <w:ind w:left="1380" w:right="20" w:hanging="562"/>
        <w:spacing w:after="0" w:line="250"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1380" w:hanging="562"/>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9" w:name="page40"/>
    <w:bookmarkEnd w:id="39"/>
    <w:p>
      <w:pPr>
        <w:ind w:right="8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3" w:lineRule="exact"/>
        <w:rPr>
          <w:sz w:val="20"/>
          <w:szCs w:val="20"/>
          <w:color w:val="auto"/>
        </w:rPr>
      </w:pPr>
    </w:p>
    <w:p>
      <w:pPr>
        <w:ind w:left="1380" w:right="380" w:hanging="562"/>
        <w:spacing w:after="0" w:line="250"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1380" w:hanging="562"/>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jc w:val="both"/>
        <w:ind w:right="340" w:firstLine="648"/>
        <w:spacing w:after="0" w:line="279" w:lineRule="auto"/>
        <w:rPr>
          <w:sz w:val="20"/>
          <w:szCs w:val="20"/>
          <w:color w:val="auto"/>
        </w:rPr>
      </w:pPr>
      <w:r>
        <w:rPr>
          <w:rFonts w:ascii="Arial" w:cs="Arial" w:eastAsia="Arial" w:hAnsi="Arial"/>
          <w:sz w:val="17"/>
          <w:szCs w:val="17"/>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Following our July 2013 offering, our directors, executive officers, their affiliates, and our principal stockholders beneficially own approximately 45%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1380" w:right="260" w:hanging="562"/>
        <w:spacing w:after="0" w:line="250"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global economic crisis, which affected stock prices of many companies, and particularly many small pharmaceutical companies like ours;</w:t>
      </w:r>
    </w:p>
    <w:p>
      <w:pPr>
        <w:ind w:left="1380" w:hanging="562"/>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 or failure in initiating, completing or analyzing nonclinical or clinical trials or the unsatisfactory design or results of these trials;</w:t>
      </w:r>
    </w:p>
    <w:p>
      <w:pPr>
        <w:spacing w:after="0" w:line="20" w:lineRule="exact"/>
        <w:rPr>
          <w:rFonts w:ascii="Arial" w:cs="Arial" w:eastAsia="Arial" w:hAnsi="Arial"/>
          <w:sz w:val="17"/>
          <w:szCs w:val="17"/>
          <w:color w:val="auto"/>
        </w:rPr>
      </w:pPr>
    </w:p>
    <w:p>
      <w:pPr>
        <w:ind w:left="1380" w:hanging="562"/>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ind w:left="920"/>
              <w:spacing w:after="0"/>
              <w:rPr>
                <w:sz w:val="20"/>
                <w:szCs w:val="20"/>
                <w:color w:val="auto"/>
              </w:rPr>
            </w:pPr>
            <w:r>
              <w:rPr>
                <w:rFonts w:ascii="Arial" w:cs="Arial" w:eastAsia="Arial" w:hAnsi="Arial"/>
                <w:sz w:val="18"/>
                <w:szCs w:val="18"/>
                <w:color w:val="auto"/>
              </w:rPr>
              <w:t>3.1</w:t>
            </w:r>
          </w:p>
        </w:tc>
        <w:tc>
          <w:tcPr>
            <w:tcW w:w="9880" w:type="dxa"/>
            <w:vAlign w:val="bottom"/>
          </w:tcPr>
          <w:p>
            <w:pPr>
              <w:ind w:left="300"/>
              <w:spacing w:after="0"/>
              <w:rPr>
                <w:sz w:val="20"/>
                <w:szCs w:val="20"/>
                <w:color w:val="auto"/>
              </w:rPr>
            </w:pPr>
            <w:r>
              <w:rPr>
                <w:rFonts w:ascii="Arial" w:cs="Arial" w:eastAsia="Arial" w:hAnsi="Arial"/>
                <w:sz w:val="18"/>
                <w:szCs w:val="18"/>
                <w:color w:val="auto"/>
                <w:w w:val="94"/>
              </w:rPr>
              <w:t>Amended and Restated Certificate of Incorporation, of TG Therapeutics, Inc. dated April 26, 2012 (incorporated by reference to</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Exhibit 3.2 to the Registrant’s Quarterly Report on Form 10-Q for the quarter ended June 30, 2012).</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3.2</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Restated Bylaws of TG Therapeutics, Inc. dated May 14, 2012 (incorporated by reference to Exhibit 3.2 to the Registrant’s Quarterly</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Report on Form 10-Q for the quarter ended March 31, 2012).</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31.1</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November 14, 2013.</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31.2</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November 14, 2013.</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32.1</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Executive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November 14, 2013.</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32.2</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November 14, 2013.</w:t>
            </w:r>
          </w:p>
        </w:tc>
      </w:tr>
      <w:tr>
        <w:trPr>
          <w:trHeight w:val="905"/>
        </w:trPr>
        <w:tc>
          <w:tcPr>
            <w:tcW w:w="1540" w:type="dxa"/>
            <w:vAlign w:val="bottom"/>
          </w:tcPr>
          <w:p>
            <w:pPr>
              <w:spacing w:after="0"/>
              <w:rPr>
                <w:sz w:val="24"/>
                <w:szCs w:val="24"/>
                <w:color w:val="auto"/>
              </w:rPr>
            </w:pPr>
          </w:p>
        </w:tc>
        <w:tc>
          <w:tcPr>
            <w:tcW w:w="9880" w:type="dxa"/>
            <w:vAlign w:val="bottom"/>
          </w:tcPr>
          <w:p>
            <w:pPr>
              <w:ind w:left="4100"/>
              <w:spacing w:after="0"/>
              <w:rPr>
                <w:sz w:val="20"/>
                <w:szCs w:val="20"/>
                <w:color w:val="auto"/>
              </w:rPr>
            </w:pPr>
            <w:r>
              <w:rPr>
                <w:rFonts w:ascii="Arial" w:cs="Arial" w:eastAsia="Arial" w:hAnsi="Arial"/>
                <w:sz w:val="18"/>
                <w:szCs w:val="18"/>
                <w:color w:val="auto"/>
              </w:rPr>
              <w:t>41</w:t>
            </w:r>
          </w:p>
        </w:tc>
      </w:tr>
      <w:tr>
        <w:trPr>
          <w:trHeight w:val="338"/>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660" w:type="dxa"/>
            <w:vAlign w:val="bottom"/>
          </w:tcPr>
          <w:p>
            <w:pPr>
              <w:ind w:left="2020"/>
              <w:spacing w:after="0"/>
              <w:rPr>
                <w:sz w:val="20"/>
                <w:szCs w:val="20"/>
                <w:color w:val="auto"/>
              </w:rPr>
            </w:pPr>
            <w:r>
              <w:rPr>
                <w:rFonts w:ascii="Arial" w:cs="Arial" w:eastAsia="Arial" w:hAnsi="Arial"/>
                <w:sz w:val="18"/>
                <w:szCs w:val="18"/>
                <w:color w:val="auto"/>
              </w:rPr>
              <w:t>TG THERAPEUTICS, INC.</w:t>
            </w: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Date: November 14, 2013</w:t>
            </w:r>
          </w:p>
        </w:tc>
        <w:tc>
          <w:tcPr>
            <w:tcW w:w="7660" w:type="dxa"/>
            <w:vAlign w:val="bottom"/>
          </w:tcPr>
          <w:p>
            <w:pPr>
              <w:ind w:left="2020"/>
              <w:spacing w:after="0"/>
              <w:rPr>
                <w:sz w:val="20"/>
                <w:szCs w:val="20"/>
                <w:color w:val="auto"/>
              </w:rPr>
            </w:pPr>
            <w:r>
              <w:rPr>
                <w:rFonts w:ascii="Arial" w:cs="Arial" w:eastAsia="Arial" w:hAnsi="Arial"/>
                <w:sz w:val="18"/>
                <w:szCs w:val="18"/>
                <w:color w:val="auto"/>
              </w:rPr>
              <w:t>By:  /s/ Sean A. Power</w:t>
            </w:r>
          </w:p>
        </w:tc>
      </w:tr>
      <w:tr>
        <w:trPr>
          <w:trHeight w:val="216"/>
        </w:trPr>
        <w:tc>
          <w:tcPr>
            <w:tcW w:w="3760" w:type="dxa"/>
            <w:vAlign w:val="bottom"/>
          </w:tcPr>
          <w:p>
            <w:pPr>
              <w:spacing w:after="0"/>
              <w:rPr>
                <w:sz w:val="18"/>
                <w:szCs w:val="18"/>
                <w:color w:val="auto"/>
              </w:rPr>
            </w:pPr>
          </w:p>
        </w:tc>
        <w:tc>
          <w:tcPr>
            <w:tcW w:w="7660" w:type="dxa"/>
            <w:vAlign w:val="bottom"/>
          </w:tcPr>
          <w:p>
            <w:pPr>
              <w:ind w:left="2440"/>
              <w:spacing w:after="0"/>
              <w:rPr>
                <w:sz w:val="20"/>
                <w:szCs w:val="20"/>
                <w:color w:val="auto"/>
              </w:rPr>
            </w:pPr>
            <w:r>
              <w:rPr>
                <w:rFonts w:ascii="Arial" w:cs="Arial" w:eastAsia="Arial" w:hAnsi="Arial"/>
                <w:sz w:val="18"/>
                <w:szCs w:val="18"/>
                <w:color w:val="auto"/>
              </w:rPr>
              <w:t>Chief Financial Officer</w:t>
            </w:r>
          </w:p>
        </w:tc>
      </w:tr>
      <w:tr>
        <w:trPr>
          <w:trHeight w:val="230"/>
        </w:trPr>
        <w:tc>
          <w:tcPr>
            <w:tcW w:w="3760" w:type="dxa"/>
            <w:vAlign w:val="bottom"/>
          </w:tcPr>
          <w:p>
            <w:pPr>
              <w:spacing w:after="0"/>
              <w:rPr>
                <w:sz w:val="20"/>
                <w:szCs w:val="20"/>
                <w:color w:val="auto"/>
              </w:rPr>
            </w:pPr>
          </w:p>
        </w:tc>
        <w:tc>
          <w:tcPr>
            <w:tcW w:w="7660" w:type="dxa"/>
            <w:vAlign w:val="bottom"/>
          </w:tcPr>
          <w:p>
            <w:pPr>
              <w:ind w:left="2440"/>
              <w:spacing w:after="0"/>
              <w:rPr>
                <w:sz w:val="20"/>
                <w:szCs w:val="20"/>
                <w:color w:val="auto"/>
              </w:rPr>
            </w:pPr>
            <w:r>
              <w:rPr>
                <w:rFonts w:ascii="Arial" w:cs="Arial" w:eastAsia="Arial" w:hAnsi="Arial"/>
                <w:sz w:val="18"/>
                <w:szCs w:val="18"/>
                <w:color w:val="auto"/>
              </w:rPr>
              <w:t>Principal Financial and Accounting Officer</w:t>
            </w:r>
          </w:p>
        </w:tc>
      </w:tr>
      <w:tr>
        <w:trPr>
          <w:trHeight w:val="689"/>
        </w:trPr>
        <w:tc>
          <w:tcPr>
            <w:tcW w:w="3760" w:type="dxa"/>
            <w:vAlign w:val="bottom"/>
          </w:tcPr>
          <w:p>
            <w:pPr>
              <w:spacing w:after="0"/>
              <w:rPr>
                <w:sz w:val="24"/>
                <w:szCs w:val="24"/>
                <w:color w:val="auto"/>
              </w:rPr>
            </w:pPr>
          </w:p>
        </w:tc>
        <w:tc>
          <w:tcPr>
            <w:tcW w:w="7660" w:type="dxa"/>
            <w:vAlign w:val="bottom"/>
          </w:tcPr>
          <w:p>
            <w:pPr>
              <w:ind w:left="1880"/>
              <w:spacing w:after="0"/>
              <w:rPr>
                <w:sz w:val="20"/>
                <w:szCs w:val="20"/>
                <w:color w:val="auto"/>
              </w:rPr>
            </w:pPr>
            <w:r>
              <w:rPr>
                <w:rFonts w:ascii="Arial" w:cs="Arial" w:eastAsia="Arial" w:hAnsi="Arial"/>
                <w:sz w:val="18"/>
                <w:szCs w:val="18"/>
                <w:color w:val="auto"/>
              </w:rPr>
              <w:t>42</w:t>
            </w:r>
          </w:p>
        </w:tc>
      </w:tr>
      <w:tr>
        <w:trPr>
          <w:trHeight w:val="338"/>
        </w:trPr>
        <w:tc>
          <w:tcPr>
            <w:tcW w:w="37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000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20" w:type="dxa"/>
            <w:vAlign w:val="bottom"/>
            <w:gridSpan w:val="2"/>
          </w:tcPr>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tc>
      </w:tr>
      <w:tr>
        <w:trPr>
          <w:trHeight w:val="418"/>
        </w:trPr>
        <w:tc>
          <w:tcPr>
            <w:tcW w:w="142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10000" w:type="dxa"/>
            <w:vAlign w:val="bottom"/>
          </w:tcPr>
          <w:p>
            <w:pPr>
              <w:ind w:left="300"/>
              <w:spacing w:after="0"/>
              <w:rPr>
                <w:sz w:val="20"/>
                <w:szCs w:val="20"/>
                <w:color w:val="auto"/>
              </w:rPr>
            </w:pPr>
            <w:r>
              <w:rPr>
                <w:rFonts w:ascii="Arial" w:cs="Arial" w:eastAsia="Arial" w:hAnsi="Arial"/>
                <w:sz w:val="18"/>
                <w:szCs w:val="18"/>
                <w:color w:val="auto"/>
                <w:w w:val="93"/>
              </w:rPr>
              <w:t>Certification of Chief Executive Officer pursuant to Rule 13a-14(a)/15d-14(a), as adopted pursuant to Section 302 of the Sarbanes-</w:t>
            </w:r>
          </w:p>
        </w:tc>
      </w:tr>
      <w:tr>
        <w:trPr>
          <w:trHeight w:val="230"/>
        </w:trPr>
        <w:tc>
          <w:tcPr>
            <w:tcW w:w="142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Oxley Act of 2002, dated November 14, 2013.</w:t>
            </w:r>
          </w:p>
        </w:tc>
      </w:tr>
      <w:tr>
        <w:trPr>
          <w:trHeight w:val="418"/>
        </w:trPr>
        <w:tc>
          <w:tcPr>
            <w:tcW w:w="142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10000" w:type="dxa"/>
            <w:vAlign w:val="bottom"/>
          </w:tcPr>
          <w:p>
            <w:pPr>
              <w:ind w:left="300"/>
              <w:spacing w:after="0"/>
              <w:rPr>
                <w:sz w:val="20"/>
                <w:szCs w:val="20"/>
                <w:color w:val="auto"/>
              </w:rPr>
            </w:pPr>
            <w:r>
              <w:rPr>
                <w:rFonts w:ascii="Arial" w:cs="Arial" w:eastAsia="Arial" w:hAnsi="Arial"/>
                <w:sz w:val="18"/>
                <w:szCs w:val="18"/>
                <w:color w:val="auto"/>
                <w:w w:val="93"/>
              </w:rPr>
              <w:t>Certification of Chief Financial Officer pursuant to Rule 13a-14(a)/15d-14(a), as adopted pursuant to Section 302 of the Sarbanes-</w:t>
            </w:r>
          </w:p>
        </w:tc>
      </w:tr>
      <w:tr>
        <w:trPr>
          <w:trHeight w:val="230"/>
        </w:trPr>
        <w:tc>
          <w:tcPr>
            <w:tcW w:w="142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Oxley Act of 2002, dated November 14, 2013.</w:t>
            </w:r>
          </w:p>
        </w:tc>
      </w:tr>
      <w:tr>
        <w:trPr>
          <w:trHeight w:val="418"/>
        </w:trPr>
        <w:tc>
          <w:tcPr>
            <w:tcW w:w="142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1000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18 U.S.C. §1350, as adopted pursuant to Section 906 of the Sarbanes-Oxley Act</w:t>
            </w:r>
          </w:p>
        </w:tc>
      </w:tr>
      <w:tr>
        <w:trPr>
          <w:trHeight w:val="230"/>
        </w:trPr>
        <w:tc>
          <w:tcPr>
            <w:tcW w:w="142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of 2002, dated November 14, 2013.</w:t>
            </w:r>
          </w:p>
        </w:tc>
      </w:tr>
      <w:tr>
        <w:trPr>
          <w:trHeight w:val="418"/>
        </w:trPr>
        <w:tc>
          <w:tcPr>
            <w:tcW w:w="142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1000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 of</w:t>
            </w:r>
          </w:p>
        </w:tc>
      </w:tr>
      <w:tr>
        <w:trPr>
          <w:trHeight w:val="230"/>
        </w:trPr>
        <w:tc>
          <w:tcPr>
            <w:tcW w:w="142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2002, dated November 14, 2013.</w:t>
            </w:r>
          </w:p>
        </w:tc>
      </w:tr>
      <w:tr>
        <w:trPr>
          <w:trHeight w:val="689"/>
        </w:trPr>
        <w:tc>
          <w:tcPr>
            <w:tcW w:w="1420" w:type="dxa"/>
            <w:vAlign w:val="bottom"/>
          </w:tcPr>
          <w:p>
            <w:pPr>
              <w:spacing w:after="0"/>
              <w:rPr>
                <w:sz w:val="24"/>
                <w:szCs w:val="24"/>
                <w:color w:val="auto"/>
              </w:rPr>
            </w:pPr>
          </w:p>
        </w:tc>
        <w:tc>
          <w:tcPr>
            <w:tcW w:w="10000" w:type="dxa"/>
            <w:vAlign w:val="bottom"/>
          </w:tcPr>
          <w:p>
            <w:pPr>
              <w:ind w:left="4220"/>
              <w:spacing w:after="0"/>
              <w:rPr>
                <w:sz w:val="20"/>
                <w:szCs w:val="20"/>
                <w:color w:val="auto"/>
              </w:rPr>
            </w:pPr>
            <w:r>
              <w:rPr>
                <w:rFonts w:ascii="Arial" w:cs="Arial" w:eastAsia="Arial" w:hAnsi="Arial"/>
                <w:sz w:val="18"/>
                <w:szCs w:val="18"/>
                <w:color w:val="auto"/>
              </w:rPr>
              <w:t>43</w:t>
            </w:r>
          </w:p>
        </w:tc>
      </w:tr>
      <w:tr>
        <w:trPr>
          <w:trHeight w:val="338"/>
        </w:trPr>
        <w:tc>
          <w:tcPr>
            <w:tcW w:w="14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60" w:right="240" w:hanging="727"/>
        <w:spacing w:after="0" w:line="264"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60" w:right="560" w:hanging="727"/>
        <w:spacing w:after="0" w:line="264"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60" w:right="720" w:hanging="727"/>
        <w:spacing w:after="0" w:line="342" w:lineRule="auto"/>
        <w:tabs>
          <w:tab w:leader="none" w:pos="9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60" w:right="240" w:hanging="727"/>
        <w:spacing w:after="0" w:line="264"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60" w:right="140" w:hanging="727"/>
        <w:spacing w:after="0" w:line="277"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60" w:right="100" w:hanging="727"/>
        <w:spacing w:after="0" w:line="277"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November 14, 2013</w:t>
            </w: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920" w:type="dxa"/>
            <w:vAlign w:val="bottom"/>
          </w:tcPr>
          <w:p>
            <w:pPr>
              <w:spacing w:after="0"/>
              <w:rPr>
                <w:sz w:val="16"/>
                <w:szCs w:val="16"/>
                <w:color w:val="auto"/>
              </w:rPr>
            </w:pPr>
          </w:p>
        </w:tc>
        <w:tc>
          <w:tcPr>
            <w:tcW w:w="650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49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86"/>
        </w:trPr>
        <w:tc>
          <w:tcPr>
            <w:tcW w:w="49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60" w:right="240" w:hanging="772"/>
        <w:spacing w:after="0" w:line="264"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60" w:right="560" w:hanging="772"/>
        <w:spacing w:after="0" w:line="264"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60" w:right="720" w:hanging="772"/>
        <w:spacing w:after="0" w:line="342" w:lineRule="auto"/>
        <w:tabs>
          <w:tab w:leader="none" w:pos="9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60" w:right="240" w:hanging="772"/>
        <w:spacing w:after="0" w:line="264"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60" w:right="140" w:hanging="772"/>
        <w:spacing w:after="0" w:line="277"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60" w:right="100" w:hanging="772"/>
        <w:spacing w:after="0" w:line="277"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Date: November 14, 2013</w:t>
            </w: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5020" w:type="dxa"/>
            <w:vAlign w:val="bottom"/>
          </w:tcPr>
          <w:p>
            <w:pPr>
              <w:spacing w:after="0"/>
              <w:rPr>
                <w:sz w:val="16"/>
                <w:szCs w:val="16"/>
                <w:color w:val="auto"/>
              </w:rPr>
            </w:pPr>
          </w:p>
        </w:tc>
        <w:tc>
          <w:tcPr>
            <w:tcW w:w="64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50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0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50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54"/>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2013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700" w:hanging="36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Date: November 14, 2013</w:t>
            </w: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860" w:type="dxa"/>
            <w:vAlign w:val="bottom"/>
          </w:tcPr>
          <w:p>
            <w:pPr>
              <w:spacing w:after="0"/>
              <w:rPr>
                <w:sz w:val="16"/>
                <w:szCs w:val="16"/>
                <w:color w:val="auto"/>
              </w:rPr>
            </w:pPr>
          </w:p>
        </w:tc>
        <w:tc>
          <w:tcPr>
            <w:tcW w:w="656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8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486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86"/>
        </w:trPr>
        <w:tc>
          <w:tcPr>
            <w:tcW w:w="48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54"/>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2013 as filed with the Securities and Exchange Commission (the “Report”), I, Sean A. Power, Chief Financial Officer of the Company, certify, pursuant to 18 U.S.C. § 1350, as adopted pursuant to § 906 of the Sarbanes-Oxley Act of 2002, that, based on my knowledge:</w:t>
      </w:r>
    </w:p>
    <w:p>
      <w:pPr>
        <w:spacing w:after="0" w:line="181" w:lineRule="exact"/>
        <w:rPr>
          <w:sz w:val="20"/>
          <w:szCs w:val="20"/>
          <w:color w:val="auto"/>
        </w:rPr>
      </w:pPr>
    </w:p>
    <w:p>
      <w:pPr>
        <w:ind w:left="880" w:hanging="548"/>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548"/>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14, 2013</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32"/>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2019-12-06T14:08:19Z</dcterms:created>
  <dcterms:modified xsi:type="dcterms:W3CDTF">2019-12-06T14:08:19Z</dcterms:modified>
</cp:coreProperties>
</file>