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10-K</w:t>
      </w:r>
    </w:p>
    <w:p>
      <w:pPr>
        <w:spacing w:after="0" w:line="109" w:lineRule="exact"/>
        <w:rPr>
          <w:sz w:val="24"/>
          <w:szCs w:val="24"/>
          <w:color w:val="auto"/>
        </w:rPr>
      </w:pPr>
    </w:p>
    <w:p>
      <w:pPr>
        <w:jc w:val="center"/>
        <w:ind w:left="3920" w:right="1500" w:hanging="2391"/>
        <w:spacing w:after="0" w:line="243" w:lineRule="auto"/>
        <w:tabs>
          <w:tab w:leader="none" w:pos="1701"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2020.</w:t>
      </w:r>
    </w:p>
    <w:p>
      <w:pPr>
        <w:ind w:left="50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147" w:lineRule="exact"/>
        <w:rPr>
          <w:rFonts w:ascii="MS PGothic" w:cs="MS PGothic" w:eastAsia="MS PGothic" w:hAnsi="MS PGothic"/>
          <w:sz w:val="14"/>
          <w:szCs w:val="14"/>
          <w:color w:val="auto"/>
        </w:rPr>
      </w:pPr>
    </w:p>
    <w:p>
      <w:pPr>
        <w:jc w:val="center"/>
        <w:ind w:left="3640" w:right="1360" w:hanging="2261"/>
        <w:spacing w:after="0" w:line="279" w:lineRule="auto"/>
        <w:tabs>
          <w:tab w:leader="none" w:pos="1538"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979170</wp:posOffset>
            </wp:positionH>
            <wp:positionV relativeFrom="paragraph">
              <wp:posOffset>-618490</wp:posOffset>
            </wp:positionV>
            <wp:extent cx="69215" cy="70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883920</wp:posOffset>
            </wp:positionH>
            <wp:positionV relativeFrom="paragraph">
              <wp:posOffset>-215900</wp:posOffset>
            </wp:positionV>
            <wp:extent cx="69215" cy="70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1-32639</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TG THERAPEUTICS, INC.</w:t>
      </w: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3"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46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94"/>
              </w:rPr>
              <w:t>Delaware</w:t>
            </w:r>
          </w:p>
        </w:tc>
        <w:tc>
          <w:tcPr>
            <w:tcW w:w="2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jc w:val="center"/>
              <w:ind w:right="2061"/>
              <w:spacing w:after="0"/>
              <w:rPr>
                <w:sz w:val="20"/>
                <w:szCs w:val="20"/>
                <w:color w:val="auto"/>
              </w:rPr>
            </w:pPr>
            <w:r>
              <w:rPr>
                <w:rFonts w:ascii="Arial" w:cs="Arial" w:eastAsia="Arial" w:hAnsi="Arial"/>
                <w:sz w:val="14"/>
                <w:szCs w:val="14"/>
                <w:b w:val="1"/>
                <w:bCs w:val="1"/>
                <w:color w:val="auto"/>
              </w:rPr>
              <w:t>36</w:t>
            </w:r>
            <w:r>
              <w:rPr>
                <w:rFonts w:ascii="Arial" w:cs="Arial" w:eastAsia="Arial" w:hAnsi="Arial"/>
                <w:sz w:val="17"/>
                <w:szCs w:val="17"/>
                <w:b w:val="1"/>
                <w:bCs w:val="1"/>
                <w:color w:val="auto"/>
              </w:rPr>
              <w:t>-</w:t>
            </w:r>
            <w:r>
              <w:rPr>
                <w:rFonts w:ascii="Arial" w:cs="Arial" w:eastAsia="Arial" w:hAnsi="Arial"/>
                <w:sz w:val="14"/>
                <w:szCs w:val="14"/>
                <w:b w:val="1"/>
                <w:bCs w:val="1"/>
                <w:color w:val="auto"/>
              </w:rPr>
              <w:t>3898269</w:t>
            </w:r>
          </w:p>
        </w:tc>
        <w:tc>
          <w:tcPr>
            <w:tcW w:w="0" w:type="dxa"/>
            <w:vAlign w:val="bottom"/>
          </w:tcPr>
          <w:p>
            <w:pPr>
              <w:spacing w:after="0"/>
              <w:rPr>
                <w:sz w:val="1"/>
                <w:szCs w:val="1"/>
                <w:color w:val="auto"/>
              </w:rPr>
            </w:pPr>
          </w:p>
        </w:tc>
      </w:tr>
      <w:tr>
        <w:trPr>
          <w:trHeight w:val="182"/>
        </w:trPr>
        <w:tc>
          <w:tcPr>
            <w:tcW w:w="4460" w:type="dxa"/>
            <w:vAlign w:val="bottom"/>
            <w:gridSpan w:val="2"/>
          </w:tcPr>
          <w:p>
            <w:pPr>
              <w:jc w:val="center"/>
              <w:ind w:left="504"/>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5780" w:type="dxa"/>
            <w:vAlign w:val="bottom"/>
            <w:gridSpan w:val="3"/>
          </w:tcPr>
          <w:p>
            <w:pPr>
              <w:jc w:val="center"/>
              <w:ind w:left="676"/>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259"/>
        </w:trPr>
        <w:tc>
          <w:tcPr>
            <w:tcW w:w="446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92"/>
              </w:rPr>
              <w:t>2 Gansevoort St., 9th Floor</w:t>
            </w:r>
          </w:p>
        </w:tc>
        <w:tc>
          <w:tcPr>
            <w:tcW w:w="2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960" w:type="dxa"/>
            <w:vAlign w:val="bottom"/>
            <w:vMerge w:val="restart"/>
          </w:tcPr>
          <w:p>
            <w:pPr>
              <w:jc w:val="right"/>
              <w:ind w:right="2261"/>
              <w:spacing w:after="0"/>
              <w:rPr>
                <w:sz w:val="20"/>
                <w:szCs w:val="20"/>
                <w:color w:val="auto"/>
              </w:rPr>
            </w:pPr>
            <w:r>
              <w:rPr>
                <w:rFonts w:ascii="Arial" w:cs="Arial" w:eastAsia="Arial" w:hAnsi="Arial"/>
                <w:sz w:val="14"/>
                <w:szCs w:val="14"/>
                <w:b w:val="1"/>
                <w:bCs w:val="1"/>
                <w:color w:val="auto"/>
              </w:rPr>
              <w:t>10014</w:t>
            </w:r>
          </w:p>
        </w:tc>
        <w:tc>
          <w:tcPr>
            <w:tcW w:w="0" w:type="dxa"/>
            <w:vAlign w:val="bottom"/>
          </w:tcPr>
          <w:p>
            <w:pPr>
              <w:spacing w:after="0"/>
              <w:rPr>
                <w:sz w:val="1"/>
                <w:szCs w:val="1"/>
                <w:color w:val="auto"/>
              </w:rPr>
            </w:pPr>
          </w:p>
        </w:tc>
      </w:tr>
      <w:tr>
        <w:trPr>
          <w:trHeight w:val="153"/>
        </w:trPr>
        <w:tc>
          <w:tcPr>
            <w:tcW w:w="4460" w:type="dxa"/>
            <w:vAlign w:val="bottom"/>
            <w:gridSpan w:val="2"/>
          </w:tcPr>
          <w:p>
            <w:pPr>
              <w:jc w:val="center"/>
              <w:ind w:left="504"/>
              <w:spacing w:after="0" w:line="153" w:lineRule="exact"/>
              <w:rPr>
                <w:sz w:val="20"/>
                <w:szCs w:val="20"/>
                <w:color w:val="auto"/>
              </w:rPr>
            </w:pPr>
            <w:r>
              <w:rPr>
                <w:rFonts w:ascii="Arial" w:cs="Arial" w:eastAsia="Arial" w:hAnsi="Arial"/>
                <w:sz w:val="14"/>
                <w:szCs w:val="14"/>
                <w:b w:val="1"/>
                <w:bCs w:val="1"/>
                <w:color w:val="auto"/>
                <w:w w:val="94"/>
              </w:rPr>
              <w:t>New York, New York</w:t>
            </w:r>
          </w:p>
        </w:tc>
        <w:tc>
          <w:tcPr>
            <w:tcW w:w="2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460" w:type="dxa"/>
            <w:vAlign w:val="bottom"/>
            <w:gridSpan w:val="2"/>
          </w:tcPr>
          <w:p>
            <w:pPr>
              <w:jc w:val="center"/>
              <w:ind w:left="504"/>
              <w:spacing w:after="0"/>
              <w:rPr>
                <w:sz w:val="20"/>
                <w:szCs w:val="20"/>
                <w:color w:val="auto"/>
              </w:rPr>
            </w:pPr>
            <w:r>
              <w:rPr>
                <w:rFonts w:ascii="Arial" w:cs="Arial" w:eastAsia="Arial" w:hAnsi="Arial"/>
                <w:sz w:val="14"/>
                <w:szCs w:val="14"/>
                <w:color w:val="auto"/>
                <w:w w:val="95"/>
              </w:rPr>
              <w:t>(Address of principal executive offices)</w:t>
            </w:r>
          </w:p>
        </w:tc>
        <w:tc>
          <w:tcPr>
            <w:tcW w:w="2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60" w:type="dxa"/>
            <w:vAlign w:val="bottom"/>
          </w:tcPr>
          <w:p>
            <w:pPr>
              <w:jc w:val="center"/>
              <w:ind w:right="1981"/>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83"/>
        </w:trPr>
        <w:tc>
          <w:tcPr>
            <w:tcW w:w="7280" w:type="dxa"/>
            <w:vAlign w:val="bottom"/>
            <w:gridSpan w:val="4"/>
          </w:tcPr>
          <w:p>
            <w:pPr>
              <w:jc w:val="center"/>
              <w:ind w:left="2904"/>
              <w:spacing w:after="0"/>
              <w:rPr>
                <w:sz w:val="20"/>
                <w:szCs w:val="20"/>
                <w:color w:val="auto"/>
              </w:rPr>
            </w:pPr>
            <w:r>
              <w:rPr>
                <w:rFonts w:ascii="Arial" w:cs="Arial" w:eastAsia="Arial" w:hAnsi="Arial"/>
                <w:sz w:val="14"/>
                <w:szCs w:val="14"/>
                <w:b w:val="1"/>
                <w:bCs w:val="1"/>
                <w:color w:val="auto"/>
                <w:w w:val="92"/>
              </w:rPr>
              <w:t>Registrant’s telephone number, including area code: (212) 554-4484</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280" w:type="dxa"/>
            <w:vAlign w:val="bottom"/>
            <w:gridSpan w:val="4"/>
          </w:tcPr>
          <w:p>
            <w:pPr>
              <w:jc w:val="center"/>
              <w:ind w:left="2884"/>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38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jc w:val="center"/>
              <w:ind w:left="104"/>
              <w:spacing w:after="0"/>
              <w:rPr>
                <w:sz w:val="20"/>
                <w:szCs w:val="20"/>
                <w:color w:val="auto"/>
              </w:rPr>
            </w:pPr>
            <w:r>
              <w:rPr>
                <w:rFonts w:ascii="Arial" w:cs="Arial" w:eastAsia="Arial" w:hAnsi="Arial"/>
                <w:sz w:val="18"/>
                <w:szCs w:val="18"/>
                <w:b w:val="1"/>
                <w:bCs w:val="1"/>
                <w:color w:val="auto"/>
                <w:w w:val="91"/>
              </w:rPr>
              <w:t>Title of Class</w:t>
            </w:r>
          </w:p>
        </w:tc>
        <w:tc>
          <w:tcPr>
            <w:tcW w:w="660" w:type="dxa"/>
            <w:vAlign w:val="bottom"/>
            <w:tcBorders>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center"/>
              <w:ind w:right="436"/>
              <w:spacing w:after="0"/>
              <w:rPr>
                <w:sz w:val="20"/>
                <w:szCs w:val="20"/>
                <w:color w:val="auto"/>
              </w:rPr>
            </w:pPr>
            <w:r>
              <w:rPr>
                <w:rFonts w:ascii="Arial" w:cs="Arial" w:eastAsia="Arial" w:hAnsi="Arial"/>
                <w:sz w:val="18"/>
                <w:szCs w:val="18"/>
                <w:b w:val="1"/>
                <w:bCs w:val="1"/>
                <w:color w:val="auto"/>
                <w:w w:val="91"/>
              </w:rPr>
              <w:t>Trading Symbol(s)</w:t>
            </w:r>
          </w:p>
        </w:tc>
        <w:tc>
          <w:tcPr>
            <w:tcW w:w="420" w:type="dxa"/>
            <w:vAlign w:val="bottom"/>
            <w:tcBorders>
              <w:bottom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jc w:val="center"/>
              <w:ind w:right="201"/>
              <w:spacing w:after="0"/>
              <w:rPr>
                <w:sz w:val="20"/>
                <w:szCs w:val="20"/>
                <w:color w:val="auto"/>
              </w:rPr>
            </w:pPr>
            <w:r>
              <w:rPr>
                <w:rFonts w:ascii="Arial" w:cs="Arial" w:eastAsia="Arial" w:hAnsi="Arial"/>
                <w:sz w:val="18"/>
                <w:szCs w:val="18"/>
                <w:b w:val="1"/>
                <w:bCs w:val="1"/>
                <w:color w:val="auto"/>
                <w:w w:val="89"/>
              </w:rPr>
              <w:t>Exchange Name</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jc w:val="center"/>
              <w:ind w:left="104"/>
              <w:spacing w:after="0"/>
              <w:rPr>
                <w:sz w:val="20"/>
                <w:szCs w:val="20"/>
                <w:color w:val="auto"/>
              </w:rPr>
            </w:pPr>
            <w:r>
              <w:rPr>
                <w:rFonts w:ascii="Arial" w:cs="Arial" w:eastAsia="Arial" w:hAnsi="Arial"/>
                <w:sz w:val="18"/>
                <w:szCs w:val="18"/>
                <w:color w:val="auto"/>
                <w:w w:val="90"/>
              </w:rPr>
              <w:t>Common Stock, par value $0.001</w:t>
            </w:r>
          </w:p>
        </w:tc>
        <w:tc>
          <w:tcPr>
            <w:tcW w:w="660" w:type="dxa"/>
            <w:vAlign w:val="bottom"/>
            <w:tcBorders>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center"/>
              <w:ind w:right="436"/>
              <w:spacing w:after="0"/>
              <w:rPr>
                <w:sz w:val="20"/>
                <w:szCs w:val="20"/>
                <w:color w:val="auto"/>
              </w:rPr>
            </w:pPr>
            <w:r>
              <w:rPr>
                <w:rFonts w:ascii="Arial" w:cs="Arial" w:eastAsia="Arial" w:hAnsi="Arial"/>
                <w:sz w:val="18"/>
                <w:szCs w:val="18"/>
                <w:color w:val="auto"/>
                <w:w w:val="99"/>
              </w:rPr>
              <w:t>TGTX</w:t>
            </w:r>
          </w:p>
        </w:tc>
        <w:tc>
          <w:tcPr>
            <w:tcW w:w="420" w:type="dxa"/>
            <w:vAlign w:val="bottom"/>
            <w:tcBorders>
              <w:bottom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jc w:val="center"/>
              <w:ind w:right="201"/>
              <w:spacing w:after="0"/>
              <w:rPr>
                <w:sz w:val="20"/>
                <w:szCs w:val="20"/>
                <w:color w:val="auto"/>
              </w:rPr>
            </w:pPr>
            <w:r>
              <w:rPr>
                <w:rFonts w:ascii="Arial" w:cs="Arial" w:eastAsia="Arial" w:hAnsi="Arial"/>
                <w:sz w:val="18"/>
                <w:szCs w:val="18"/>
                <w:color w:val="auto"/>
                <w:w w:val="91"/>
              </w:rPr>
              <w:t>Nasdaq Capital Market</w:t>
            </w:r>
          </w:p>
        </w:tc>
        <w:tc>
          <w:tcPr>
            <w:tcW w:w="0" w:type="dxa"/>
            <w:vAlign w:val="bottom"/>
          </w:tcPr>
          <w:p>
            <w:pPr>
              <w:spacing w:after="0"/>
              <w:rPr>
                <w:sz w:val="1"/>
                <w:szCs w:val="1"/>
                <w:color w:val="auto"/>
              </w:rPr>
            </w:pPr>
          </w:p>
        </w:tc>
      </w:tr>
    </w:tbl>
    <w:p>
      <w:pPr>
        <w:spacing w:after="0" w:line="382" w:lineRule="exact"/>
        <w:rPr>
          <w:sz w:val="24"/>
          <w:szCs w:val="24"/>
          <w:color w:val="auto"/>
        </w:rPr>
      </w:pPr>
    </w:p>
    <w:p>
      <w:pPr>
        <w:jc w:val="center"/>
        <w:ind w:right="-19"/>
        <w:spacing w:after="0"/>
        <w:tabs>
          <w:tab w:leader="none" w:pos="120" w:val="left"/>
        </w:tabs>
        <w:rPr>
          <w:sz w:val="20"/>
          <w:szCs w:val="20"/>
          <w:color w:val="auto"/>
        </w:rPr>
      </w:pPr>
      <w:r>
        <w:rPr>
          <w:rFonts w:ascii="Arial" w:cs="Arial" w:eastAsia="Arial" w:hAnsi="Arial"/>
          <w:sz w:val="14"/>
          <w:szCs w:val="14"/>
          <w:b w:val="1"/>
          <w:bCs w:val="1"/>
          <w:color w:val="auto"/>
        </w:rPr>
        <w:t>Securities registered pursuant to Section 12(g) of the Act:</w:t>
      </w:r>
      <w:r>
        <w:rPr>
          <w:sz w:val="20"/>
          <w:szCs w:val="20"/>
          <w:color w:val="auto"/>
        </w:rPr>
        <w:tab/>
      </w:r>
      <w:r>
        <w:rPr>
          <w:rFonts w:ascii="Arial" w:cs="Arial" w:eastAsia="Arial" w:hAnsi="Arial"/>
          <w:sz w:val="12"/>
          <w:szCs w:val="12"/>
          <w:color w:val="auto"/>
        </w:rPr>
        <w:t>None</w:t>
      </w:r>
    </w:p>
    <w:p>
      <w:pPr>
        <w:spacing w:after="0" w:line="86" w:lineRule="exact"/>
        <w:rPr>
          <w:sz w:val="24"/>
          <w:szCs w:val="24"/>
          <w:color w:val="auto"/>
        </w:rPr>
      </w:pPr>
    </w:p>
    <w:p>
      <w:pPr>
        <w:ind w:left="20" w:right="2540"/>
        <w:spacing w:after="0" w:line="25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3" w:lineRule="exact"/>
        <w:rPr>
          <w:sz w:val="24"/>
          <w:szCs w:val="24"/>
          <w:color w:val="auto"/>
        </w:rPr>
      </w:pPr>
    </w:p>
    <w:p>
      <w:pPr>
        <w:ind w:left="20" w:right="4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left="20" w:right="44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left="20" w:right="6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20" w:top="665" w:right="859" w:bottom="1440" w:gutter="0" w:footer="0" w:header="0"/>
        </w:sectPr>
      </w:pPr>
    </w:p>
    <w:p>
      <w:pPr>
        <w:spacing w:after="0" w:line="43"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65"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ind w:left="6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6"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36" w:lineRule="exact"/>
        <w:rPr>
          <w:sz w:val="24"/>
          <w:szCs w:val="24"/>
          <w:color w:val="auto"/>
        </w:rPr>
      </w:pPr>
    </w:p>
    <w:p>
      <w:pPr>
        <w:sectPr>
          <w:pgSz w:w="11900" w:h="16838" w:orient="portrait"/>
          <w:cols w:equalWidth="0" w:num="2">
            <w:col w:w="7760" w:space="720"/>
            <w:col w:w="1740"/>
          </w:cols>
          <w:pgMar w:left="820" w:top="665" w:right="859" w:bottom="1440" w:gutter="0" w:footer="0" w:header="0"/>
          <w:type w:val="continuous"/>
        </w:sectPr>
      </w:pPr>
    </w:p>
    <w:p>
      <w:pPr>
        <w:ind w:left="20" w:right="2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ind w:left="20" w:right="420"/>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8"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left="20" w:right="280"/>
        <w:spacing w:after="0" w:line="290" w:lineRule="auto"/>
        <w:rPr>
          <w:sz w:val="20"/>
          <w:szCs w:val="20"/>
          <w:color w:val="auto"/>
        </w:rPr>
      </w:pPr>
      <w:r>
        <w:rPr>
          <w:rFonts w:ascii="Arial" w:cs="Arial" w:eastAsia="Arial" w:hAnsi="Arial"/>
          <w:sz w:val="13"/>
          <w:szCs w:val="13"/>
          <w:color w:val="auto"/>
        </w:rPr>
        <w:t>The aggregate market value of voting common stock held by non-affiliates of the registrant (assuming, for purposes of this calculation, without conceding, that all executive officers and directors are “affiliates”) was $2,163,126,348 as of June 30, 2020, based on the closing sale price of such stock as reported on the NASDAQ Capital Market.</w:t>
      </w:r>
    </w:p>
    <w:p>
      <w:pPr>
        <w:spacing w:after="0" w:line="44" w:lineRule="exact"/>
        <w:rPr>
          <w:sz w:val="24"/>
          <w:szCs w:val="24"/>
          <w:color w:val="auto"/>
        </w:rPr>
      </w:pPr>
    </w:p>
    <w:p>
      <w:pPr>
        <w:ind w:left="20"/>
        <w:spacing w:after="0"/>
        <w:rPr>
          <w:sz w:val="20"/>
          <w:szCs w:val="20"/>
          <w:color w:val="auto"/>
        </w:rPr>
      </w:pPr>
      <w:r>
        <w:rPr>
          <w:rFonts w:ascii="Arial" w:cs="Arial" w:eastAsia="Arial" w:hAnsi="Arial"/>
          <w:sz w:val="14"/>
          <w:szCs w:val="14"/>
          <w:color w:val="auto"/>
        </w:rPr>
        <w:t>There were 140,586,187 shares of the registrant’s common stock, $0.001 par value, outstanding as of February 24, 2021.</w:t>
      </w:r>
    </w:p>
    <w:p>
      <w:pPr>
        <w:spacing w:after="0" w:line="92"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ind w:left="660"/>
        <w:spacing w:after="0"/>
        <w:rPr>
          <w:sz w:val="20"/>
          <w:szCs w:val="20"/>
          <w:color w:val="auto"/>
        </w:rPr>
      </w:pPr>
      <w:r>
        <w:rPr>
          <w:rFonts w:ascii="Arial" w:cs="Arial" w:eastAsia="Arial" w:hAnsi="Arial"/>
          <w:sz w:val="13"/>
          <w:szCs w:val="13"/>
          <w:color w:val="auto"/>
        </w:rPr>
        <w:t>Portions of the registrant’s Proxy Statement for the 2021 Annual Meeting of Stockholders are incorporated by reference in Part III of this Annual Report on Form 10-</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4"/>
          <w:szCs w:val="14"/>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613410</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56515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99060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8900" w:type="dxa"/>
            <w:vAlign w:val="bottom"/>
            <w:gridSpan w:val="4"/>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TG THERAPEUTICS, INC.</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ANNUAL REPORT ON FORM 10-K</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FOR THE FISCAL YEAR ENDED DECEMBER 31, 2020</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TABLE OF CONTENTS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900" w:type="dxa"/>
            <w:vAlign w:val="bottom"/>
            <w:gridSpan w:val="4"/>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CAUTIONARY NOTICE REGARDING FORWARD-LOOKING STATEMENTS</w:t>
              </w:r>
            </w:hyperlink>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5"/>
        </w:trPr>
        <w:tc>
          <w:tcPr>
            <w:tcW w:w="8900" w:type="dxa"/>
            <w:vAlign w:val="bottom"/>
            <w:gridSpan w:val="4"/>
            <w:vMerge w:val="continue"/>
          </w:tcPr>
          <w:p>
            <w:pPr>
              <w:spacing w:after="0"/>
              <w:rPr>
                <w:sz w:val="16"/>
                <w:szCs w:val="16"/>
                <w:color w:val="auto"/>
              </w:rPr>
            </w:pPr>
          </w:p>
        </w:tc>
        <w:tc>
          <w:tcPr>
            <w:tcW w:w="1320" w:type="dxa"/>
            <w:vAlign w:val="bottom"/>
          </w:tcPr>
          <w:p>
            <w:pPr>
              <w:jc w:val="center"/>
              <w:spacing w:after="0" w:line="195"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0"/>
        </w:trPr>
        <w:tc>
          <w:tcPr>
            <w:tcW w:w="890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SUMMARY RISK FACTORS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18"/>
        </w:trPr>
        <w:tc>
          <w:tcPr>
            <w:tcW w:w="1040" w:type="dxa"/>
            <w:vAlign w:val="bottom"/>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PART I</w:t>
              </w:r>
            </w:hyperlink>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10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104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1A</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104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ITEM 2</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Properties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216"/>
        </w:trPr>
        <w:tc>
          <w:tcPr>
            <w:tcW w:w="104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ITEM 3</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Legal Proceedings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230"/>
        </w:trPr>
        <w:tc>
          <w:tcPr>
            <w:tcW w:w="104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ITEM 4</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Mine Safety Disclosures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432"/>
        </w:trPr>
        <w:tc>
          <w:tcPr>
            <w:tcW w:w="1040" w:type="dxa"/>
            <w:vAlign w:val="bottom"/>
          </w:tcPr>
          <w:p>
            <w:pPr>
              <w:spacing w:after="0"/>
              <w:rPr>
                <w:rFonts w:ascii="Arial" w:cs="Arial" w:eastAsia="Arial" w:hAnsi="Arial"/>
                <w:sz w:val="18"/>
                <w:szCs w:val="18"/>
                <w:b w:val="1"/>
                <w:bCs w:val="1"/>
                <w:u w:val="single" w:color="auto"/>
                <w:color w:val="0000EE"/>
              </w:rPr>
            </w:pPr>
            <w:hyperlink w:anchor="page78">
              <w:r>
                <w:rPr>
                  <w:rFonts w:ascii="Arial" w:cs="Arial" w:eastAsia="Arial" w:hAnsi="Arial"/>
                  <w:sz w:val="18"/>
                  <w:szCs w:val="18"/>
                  <w:b w:val="1"/>
                  <w:bCs w:val="1"/>
                  <w:u w:val="single" w:color="auto"/>
                  <w:color w:val="0000EE"/>
                </w:rPr>
                <w:t>PART II</w:t>
              </w:r>
            </w:hyperlink>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391"/>
        </w:trPr>
        <w:tc>
          <w:tcPr>
            <w:tcW w:w="104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ITEM 5</w:t>
              </w:r>
            </w:hyperlink>
          </w:p>
        </w:tc>
        <w:tc>
          <w:tcPr>
            <w:tcW w:w="7860" w:type="dxa"/>
            <w:vAlign w:val="bottom"/>
            <w:gridSpan w:val="3"/>
          </w:tcPr>
          <w:p>
            <w:pPr>
              <w:spacing w:after="0"/>
              <w:rPr>
                <w:rFonts w:ascii="Arial" w:cs="Arial" w:eastAsia="Arial" w:hAnsi="Arial"/>
                <w:sz w:val="18"/>
                <w:szCs w:val="18"/>
                <w:color w:val="0000EE"/>
                <w:w w:val="97"/>
              </w:rPr>
            </w:pPr>
            <w:hyperlink w:anchor="page78">
              <w:r>
                <w:rPr>
                  <w:rFonts w:ascii="Arial" w:cs="Arial" w:eastAsia="Arial" w:hAnsi="Arial"/>
                  <w:sz w:val="18"/>
                  <w:szCs w:val="18"/>
                  <w:color w:val="0000EE"/>
                  <w:w w:val="97"/>
                </w:rPr>
                <w:t>Market for Registrant’s Common Equity, Related Stockholder Matters and Issuer Purchases of Equity</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Securities</w:t>
              </w:r>
            </w:hyperlink>
          </w:p>
        </w:tc>
        <w:tc>
          <w:tcPr>
            <w:tcW w:w="660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ITEM 6</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Selected Financial Data</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r>
        <w:trPr>
          <w:trHeight w:val="216"/>
        </w:trPr>
        <w:tc>
          <w:tcPr>
            <w:tcW w:w="104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7</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Management’s Discussion and Analysis of Financial Condition and Results of Operations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16"/>
        </w:trPr>
        <w:tc>
          <w:tcPr>
            <w:tcW w:w="104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ITEM 7A</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Quantitative and Qualitative Disclosure About Market Risk</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216"/>
        </w:trPr>
        <w:tc>
          <w:tcPr>
            <w:tcW w:w="104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ITEM 8</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Financial Statements and Supplementary Data</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216"/>
        </w:trPr>
        <w:tc>
          <w:tcPr>
            <w:tcW w:w="104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ITEM 9</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Changes in and Disagreements With Accountants on Accounting and Financial Disclosures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216"/>
        </w:trPr>
        <w:tc>
          <w:tcPr>
            <w:tcW w:w="1040" w:type="dxa"/>
            <w:vAlign w:val="bottom"/>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ITEM 9A</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Controls and Procedures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230"/>
        </w:trPr>
        <w:tc>
          <w:tcPr>
            <w:tcW w:w="104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ITEM 9B</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Other Information</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91</w:t>
            </w:r>
          </w:p>
        </w:tc>
        <w:tc>
          <w:tcPr>
            <w:tcW w:w="0" w:type="dxa"/>
            <w:vAlign w:val="bottom"/>
          </w:tcPr>
          <w:p>
            <w:pPr>
              <w:spacing w:after="0"/>
              <w:rPr>
                <w:sz w:val="1"/>
                <w:szCs w:val="1"/>
                <w:color w:val="auto"/>
              </w:rPr>
            </w:pPr>
          </w:p>
        </w:tc>
      </w:tr>
      <w:tr>
        <w:trPr>
          <w:trHeight w:val="432"/>
        </w:trPr>
        <w:tc>
          <w:tcPr>
            <w:tcW w:w="1040" w:type="dxa"/>
            <w:vAlign w:val="bottom"/>
          </w:tcPr>
          <w:p>
            <w:pPr>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PART III</w:t>
              </w:r>
            </w:hyperlink>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91</w:t>
            </w:r>
          </w:p>
        </w:tc>
        <w:tc>
          <w:tcPr>
            <w:tcW w:w="0" w:type="dxa"/>
            <w:vAlign w:val="bottom"/>
          </w:tcPr>
          <w:p>
            <w:pPr>
              <w:spacing w:after="0"/>
              <w:rPr>
                <w:sz w:val="1"/>
                <w:szCs w:val="1"/>
                <w:color w:val="auto"/>
              </w:rPr>
            </w:pPr>
          </w:p>
        </w:tc>
      </w:tr>
      <w:tr>
        <w:trPr>
          <w:trHeight w:val="418"/>
        </w:trPr>
        <w:tc>
          <w:tcPr>
            <w:tcW w:w="104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ITEM 10</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Directors, Executive Officers and Corporate Governance</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91</w:t>
            </w:r>
          </w:p>
        </w:tc>
        <w:tc>
          <w:tcPr>
            <w:tcW w:w="0" w:type="dxa"/>
            <w:vAlign w:val="bottom"/>
          </w:tcPr>
          <w:p>
            <w:pPr>
              <w:spacing w:after="0"/>
              <w:rPr>
                <w:sz w:val="1"/>
                <w:szCs w:val="1"/>
                <w:color w:val="auto"/>
              </w:rPr>
            </w:pPr>
          </w:p>
        </w:tc>
      </w:tr>
      <w:tr>
        <w:trPr>
          <w:trHeight w:val="216"/>
        </w:trPr>
        <w:tc>
          <w:tcPr>
            <w:tcW w:w="104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ITEM 11</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Executive Compensation</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91</w:t>
            </w:r>
          </w:p>
        </w:tc>
        <w:tc>
          <w:tcPr>
            <w:tcW w:w="0" w:type="dxa"/>
            <w:vAlign w:val="bottom"/>
          </w:tcPr>
          <w:p>
            <w:pPr>
              <w:spacing w:after="0"/>
              <w:rPr>
                <w:sz w:val="1"/>
                <w:szCs w:val="1"/>
                <w:color w:val="auto"/>
              </w:rPr>
            </w:pPr>
          </w:p>
        </w:tc>
      </w:tr>
      <w:tr>
        <w:trPr>
          <w:trHeight w:val="216"/>
        </w:trPr>
        <w:tc>
          <w:tcPr>
            <w:tcW w:w="104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ITEM 12</w:t>
              </w:r>
            </w:hyperlink>
          </w:p>
        </w:tc>
        <w:tc>
          <w:tcPr>
            <w:tcW w:w="7860" w:type="dxa"/>
            <w:vAlign w:val="bottom"/>
            <w:gridSpan w:val="3"/>
          </w:tcPr>
          <w:p>
            <w:pPr>
              <w:spacing w:after="0"/>
              <w:rPr>
                <w:rFonts w:ascii="Arial" w:cs="Arial" w:eastAsia="Arial" w:hAnsi="Arial"/>
                <w:sz w:val="18"/>
                <w:szCs w:val="18"/>
                <w:u w:val="single" w:color="auto"/>
                <w:color w:val="0000EE"/>
                <w:w w:val="97"/>
              </w:rPr>
            </w:pPr>
            <w:hyperlink w:anchor="page92">
              <w:r>
                <w:rPr>
                  <w:rFonts w:ascii="Arial" w:cs="Arial" w:eastAsia="Arial" w:hAnsi="Arial"/>
                  <w:sz w:val="18"/>
                  <w:szCs w:val="18"/>
                  <w:u w:val="single" w:color="auto"/>
                  <w:color w:val="0000EE"/>
                  <w:w w:val="97"/>
                </w:rPr>
                <w:t>Security Ownership of Certain Beneficial Owners and Management and Related Stockholder Matters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91</w:t>
            </w:r>
          </w:p>
        </w:tc>
        <w:tc>
          <w:tcPr>
            <w:tcW w:w="0" w:type="dxa"/>
            <w:vAlign w:val="bottom"/>
          </w:tcPr>
          <w:p>
            <w:pPr>
              <w:spacing w:after="0"/>
              <w:rPr>
                <w:sz w:val="1"/>
                <w:szCs w:val="1"/>
                <w:color w:val="auto"/>
              </w:rPr>
            </w:pPr>
          </w:p>
        </w:tc>
      </w:tr>
      <w:tr>
        <w:trPr>
          <w:trHeight w:val="216"/>
        </w:trPr>
        <w:tc>
          <w:tcPr>
            <w:tcW w:w="104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ITEM 13</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Certain Relationships and Related Transactions, and Director Independence</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91</w:t>
            </w:r>
          </w:p>
        </w:tc>
        <w:tc>
          <w:tcPr>
            <w:tcW w:w="0" w:type="dxa"/>
            <w:vAlign w:val="bottom"/>
          </w:tcPr>
          <w:p>
            <w:pPr>
              <w:spacing w:after="0"/>
              <w:rPr>
                <w:sz w:val="1"/>
                <w:szCs w:val="1"/>
                <w:color w:val="auto"/>
              </w:rPr>
            </w:pPr>
          </w:p>
        </w:tc>
      </w:tr>
      <w:tr>
        <w:trPr>
          <w:trHeight w:val="230"/>
        </w:trPr>
        <w:tc>
          <w:tcPr>
            <w:tcW w:w="104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ITEM 14</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Principal Accounting Fees and Services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91</w:t>
            </w:r>
          </w:p>
        </w:tc>
        <w:tc>
          <w:tcPr>
            <w:tcW w:w="0" w:type="dxa"/>
            <w:vAlign w:val="bottom"/>
          </w:tcPr>
          <w:p>
            <w:pPr>
              <w:spacing w:after="0"/>
              <w:rPr>
                <w:sz w:val="1"/>
                <w:szCs w:val="1"/>
                <w:color w:val="auto"/>
              </w:rPr>
            </w:pPr>
          </w:p>
        </w:tc>
      </w:tr>
      <w:tr>
        <w:trPr>
          <w:trHeight w:val="432"/>
        </w:trPr>
        <w:tc>
          <w:tcPr>
            <w:tcW w:w="1040" w:type="dxa"/>
            <w:vAlign w:val="bottom"/>
          </w:tcPr>
          <w:p>
            <w:pPr>
              <w:spacing w:after="0"/>
              <w:rPr>
                <w:rFonts w:ascii="Arial" w:cs="Arial" w:eastAsia="Arial" w:hAnsi="Arial"/>
                <w:sz w:val="18"/>
                <w:szCs w:val="18"/>
                <w:b w:val="1"/>
                <w:bCs w:val="1"/>
                <w:u w:val="single" w:color="auto"/>
                <w:color w:val="0000EE"/>
              </w:rPr>
            </w:pPr>
            <w:hyperlink w:anchor="page93">
              <w:r>
                <w:rPr>
                  <w:rFonts w:ascii="Arial" w:cs="Arial" w:eastAsia="Arial" w:hAnsi="Arial"/>
                  <w:sz w:val="18"/>
                  <w:szCs w:val="18"/>
                  <w:b w:val="1"/>
                  <w:bCs w:val="1"/>
                  <w:u w:val="single" w:color="auto"/>
                  <w:color w:val="0000EE"/>
                </w:rPr>
                <w:t>PART IV</w:t>
              </w:r>
            </w:hyperlink>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92</w:t>
            </w:r>
          </w:p>
        </w:tc>
        <w:tc>
          <w:tcPr>
            <w:tcW w:w="0" w:type="dxa"/>
            <w:vAlign w:val="bottom"/>
          </w:tcPr>
          <w:p>
            <w:pPr>
              <w:spacing w:after="0"/>
              <w:rPr>
                <w:sz w:val="1"/>
                <w:szCs w:val="1"/>
                <w:color w:val="auto"/>
              </w:rPr>
            </w:pPr>
          </w:p>
        </w:tc>
      </w:tr>
      <w:tr>
        <w:trPr>
          <w:trHeight w:val="432"/>
        </w:trPr>
        <w:tc>
          <w:tcPr>
            <w:tcW w:w="104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ITEM 15</w:t>
              </w:r>
            </w:hyperlink>
          </w:p>
        </w:tc>
        <w:tc>
          <w:tcPr>
            <w:tcW w:w="7860" w:type="dxa"/>
            <w:vAlign w:val="bottom"/>
            <w:gridSpan w:val="3"/>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Exhibits and Financial Statement Schedules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CAUTIONARY NOTICE REGARDING FORWARD-LOOKING STATEMENTS</w:t>
      </w:r>
    </w:p>
    <w:p>
      <w:pPr>
        <w:spacing w:after="0" w:line="3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21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 our:</w:t>
      </w:r>
    </w:p>
    <w:p>
      <w:pPr>
        <w:ind w:left="700" w:right="20" w:hanging="359"/>
        <w:spacing w:after="0" w:line="21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establish and maintain a commercial infrastructure, and to successfully launch, market and sell UKONIQ</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(umbralisib) in the U.S. and any products for which we obtain regulatory approval in the future;</w:t>
      </w:r>
    </w:p>
    <w:p>
      <w:pPr>
        <w:spacing w:after="0" w:line="1" w:lineRule="exact"/>
        <w:rPr>
          <w:rFonts w:ascii="Arial" w:cs="Arial" w:eastAsia="Arial" w:hAnsi="Arial"/>
          <w:sz w:val="18"/>
          <w:szCs w:val="18"/>
          <w:color w:val="auto"/>
        </w:rPr>
      </w:pPr>
    </w:p>
    <w:p>
      <w:pPr>
        <w:ind w:left="700" w:right="20" w:hanging="359"/>
        <w:spacing w:after="0" w:line="25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commercialization of UKONIQ and any future products, including the rate and degree of market acceptance and pricing and reimbursement;</w:t>
      </w:r>
    </w:p>
    <w:p>
      <w:pPr>
        <w:ind w:left="700" w:hanging="35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and our ability to apply for, obtain and maintain regulatory approvals for our product candidates;</w:t>
      </w:r>
    </w:p>
    <w:p>
      <w:pPr>
        <w:spacing w:after="0" w:line="9" w:lineRule="exact"/>
        <w:rPr>
          <w:rFonts w:ascii="Arial" w:cs="Arial" w:eastAsia="Arial" w:hAnsi="Arial"/>
          <w:sz w:val="18"/>
          <w:szCs w:val="18"/>
          <w:color w:val="auto"/>
        </w:rPr>
      </w:pPr>
    </w:p>
    <w:p>
      <w:pPr>
        <w:ind w:left="700" w:right="20" w:hanging="359"/>
        <w:spacing w:after="0" w:line="25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 trials, including, without limitation, UNITY-CLL Phase 3 clinical trial, ULTIMATE I and II Phase 3 clinical trial and UNITY-NHL Phase 2b clinical trial;</w:t>
      </w:r>
    </w:p>
    <w:p>
      <w:pPr>
        <w:ind w:left="700" w:hanging="35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9" w:lineRule="exact"/>
        <w:rPr>
          <w:rFonts w:ascii="Arial" w:cs="Arial" w:eastAsia="Arial" w:hAnsi="Arial"/>
          <w:sz w:val="18"/>
          <w:szCs w:val="18"/>
          <w:color w:val="auto"/>
        </w:rPr>
      </w:pPr>
    </w:p>
    <w:p>
      <w:pPr>
        <w:jc w:val="both"/>
        <w:ind w:left="700" w:right="20" w:hanging="359"/>
        <w:spacing w:after="0" w:line="25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establish and maintain contractual relationships, on commercially reasonable terms, with third parties for manufacturing, distribution and supply, and a range of other support functions for our clinical development and commercialization efforts;</w:t>
      </w:r>
    </w:p>
    <w:p>
      <w:pPr>
        <w:spacing w:after="0" w:line="1" w:lineRule="exact"/>
        <w:rPr>
          <w:rFonts w:ascii="Arial" w:cs="Arial" w:eastAsia="Arial" w:hAnsi="Arial"/>
          <w:sz w:val="18"/>
          <w:szCs w:val="18"/>
          <w:color w:val="auto"/>
        </w:rPr>
      </w:pPr>
    </w:p>
    <w:p>
      <w:pPr>
        <w:ind w:left="700" w:hanging="35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9" w:lineRule="exact"/>
        <w:rPr>
          <w:rFonts w:ascii="Arial" w:cs="Arial" w:eastAsia="Arial" w:hAnsi="Arial"/>
          <w:sz w:val="18"/>
          <w:szCs w:val="18"/>
          <w:color w:val="auto"/>
        </w:rPr>
      </w:pPr>
    </w:p>
    <w:p>
      <w:pPr>
        <w:ind w:left="700" w:right="20" w:hanging="359"/>
        <w:spacing w:after="0" w:line="25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products and product candidates;</w:t>
      </w:r>
    </w:p>
    <w:p>
      <w:pPr>
        <w:ind w:left="700" w:hanging="35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9" w:lineRule="exact"/>
        <w:rPr>
          <w:rFonts w:ascii="Arial" w:cs="Arial" w:eastAsia="Arial" w:hAnsi="Arial"/>
          <w:sz w:val="18"/>
          <w:szCs w:val="18"/>
          <w:color w:val="auto"/>
        </w:rPr>
      </w:pPr>
    </w:p>
    <w:p>
      <w:pPr>
        <w:ind w:left="700" w:hanging="35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and enter into strategic arrangements, if desired;</w:t>
      </w:r>
    </w:p>
    <w:p>
      <w:pPr>
        <w:spacing w:after="0" w:line="9" w:lineRule="exact"/>
        <w:rPr>
          <w:rFonts w:ascii="Arial" w:cs="Arial" w:eastAsia="Arial" w:hAnsi="Arial"/>
          <w:sz w:val="18"/>
          <w:szCs w:val="18"/>
          <w:color w:val="auto"/>
        </w:rPr>
      </w:pPr>
    </w:p>
    <w:p>
      <w:pPr>
        <w:ind w:left="700" w:hanging="35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 and cash burn management; and</w:t>
      </w:r>
    </w:p>
    <w:p>
      <w:pPr>
        <w:spacing w:after="0" w:line="9" w:lineRule="exact"/>
        <w:rPr>
          <w:rFonts w:ascii="Arial" w:cs="Arial" w:eastAsia="Arial" w:hAnsi="Arial"/>
          <w:sz w:val="18"/>
          <w:szCs w:val="18"/>
          <w:color w:val="auto"/>
        </w:rPr>
      </w:pPr>
    </w:p>
    <w:p>
      <w:pPr>
        <w:ind w:left="700" w:hanging="35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394335</wp:posOffset>
            </wp:positionV>
            <wp:extent cx="6497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in Item IA, and the other reports and documents that we have filed with the Securities and Exchange Commission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229" w:lineRule="exact"/>
        <w:rPr>
          <w:sz w:val="20"/>
          <w:szCs w:val="20"/>
          <w:color w:val="auto"/>
        </w:rPr>
      </w:pPr>
    </w:p>
    <w:p>
      <w:pPr>
        <w:ind w:left="660" w:right="20" w:hanging="23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limited experience as a commercial company and the marketing and sale of UKONIQ (umbralisib) or any future approved products may be less successful than anticipated or unsuccessful.</w:t>
      </w:r>
    </w:p>
    <w:p>
      <w:pPr>
        <w:spacing w:after="0" w:line="1" w:lineRule="exact"/>
        <w:rPr>
          <w:rFonts w:ascii="Arial" w:cs="Arial" w:eastAsia="Arial" w:hAnsi="Arial"/>
          <w:sz w:val="18"/>
          <w:szCs w:val="18"/>
          <w:color w:val="auto"/>
        </w:rPr>
      </w:pPr>
    </w:p>
    <w:p>
      <w:pPr>
        <w:ind w:left="660" w:right="20" w:hanging="23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UKONIQ or any future approved product does not achieve broad market acceptance among physicians, patients, healthcare payors, and the medical community, the revenues that we generate from product sales will be limited.</w:t>
      </w:r>
    </w:p>
    <w:p>
      <w:pPr>
        <w:ind w:left="660" w:right="20" w:hanging="23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maintain regulatory approval for UKONIQ or obtain or maintain regulatory approval for our drug candidates, or experience significant delays in doing so, our business will be materially harmed.</w:t>
      </w:r>
    </w:p>
    <w:p>
      <w:pPr>
        <w:ind w:left="660" w:right="20" w:hanging="23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opportunities for UKONIQ and future approved products are smaller than we estimate or if any approval that we obtain is based on a narrower patient population, our revenue will be adversely affected.</w:t>
      </w:r>
    </w:p>
    <w:p>
      <w:pPr>
        <w:ind w:left="660" w:right="20" w:hanging="23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for treatments for our target indications, which may result in others commercializing drugs before or more successfully than we do resulting in the reduction or elimination of our commercial opportunity.</w:t>
      </w:r>
    </w:p>
    <w:p>
      <w:pPr>
        <w:ind w:left="660" w:right="20" w:hanging="23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establish additional commercial capabilities and infrastructure, we may be unable to generate sufficient revenue to sustain our business.</w:t>
      </w:r>
    </w:p>
    <w:p>
      <w:pPr>
        <w:ind w:left="660" w:right="20" w:hanging="23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lawsuits against us could cause us to incur substantial liabilities and could limit commercialization of any of our approved products or drug candidates that we may develop.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left="660" w:right="20" w:hanging="23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anticipate that we will incur continued losses for the foreseeable future.</w:t>
      </w:r>
    </w:p>
    <w:p>
      <w:pPr>
        <w:spacing w:after="0" w:line="1" w:lineRule="exact"/>
        <w:rPr>
          <w:rFonts w:ascii="Arial" w:cs="Arial" w:eastAsia="Arial" w:hAnsi="Arial"/>
          <w:sz w:val="18"/>
          <w:szCs w:val="18"/>
          <w:color w:val="auto"/>
        </w:rPr>
      </w:pPr>
    </w:p>
    <w:p>
      <w:pPr>
        <w:ind w:left="660" w:right="20" w:hanging="23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to raise substantial additional funding. If we are unable to raise capital when needed, we will be forced to delay, reduce or eliminate some of our drug development programs or commercialization efforts.</w:t>
      </w:r>
    </w:p>
    <w:p>
      <w:pPr>
        <w:ind w:left="660" w:right="20" w:hanging="23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 of indebtedness and debt service obligations could adversely affect our financial condition and may make it more difficult for us to fund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229" w:lineRule="exact"/>
        <w:rPr>
          <w:sz w:val="20"/>
          <w:szCs w:val="20"/>
          <w:color w:val="auto"/>
        </w:rPr>
      </w:pPr>
    </w:p>
    <w:p>
      <w:pPr>
        <w:ind w:left="660" w:right="20" w:hanging="23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clinical development and commercialization of our drug candidates.</w:t>
      </w:r>
    </w:p>
    <w:p>
      <w:pPr>
        <w:spacing w:after="0" w:line="1" w:lineRule="exact"/>
        <w:rPr>
          <w:rFonts w:ascii="Arial" w:cs="Arial" w:eastAsia="Arial" w:hAnsi="Arial"/>
          <w:sz w:val="18"/>
          <w:szCs w:val="18"/>
          <w:color w:val="auto"/>
        </w:rPr>
      </w:pPr>
    </w:p>
    <w:p>
      <w:pPr>
        <w:ind w:left="660" w:right="20" w:hanging="23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and product candidates may cause undesirable side effects that could delay or prevent their regulatory approval or significantly limit their commercial profile following marketing approval, if any.</w:t>
      </w:r>
    </w:p>
    <w:p>
      <w:pPr>
        <w:jc w:val="both"/>
        <w:ind w:left="660" w:right="20" w:hanging="23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impacted, as more patient data or additional endpoints (including efficacy and safety) are analyzed.</w:t>
      </w:r>
    </w:p>
    <w:p>
      <w:pPr>
        <w:ind w:left="660" w:right="20" w:hanging="23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product candidates we may advance through clinical development are subject to extensive regulation, which can be costly and time consuming, cause unanticipated delays or prevent the receipt of the required approvals.</w:t>
      </w:r>
    </w:p>
    <w:p>
      <w:pPr>
        <w:ind w:left="660" w:right="20" w:hanging="23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Fast Track or Breakthrough Therapy designation by the FDA may not actually lead to a faster development, regulatory review or approval process.</w:t>
      </w:r>
    </w:p>
    <w:p>
      <w:pPr>
        <w:jc w:val="both"/>
        <w:ind w:left="660" w:right="20" w:hanging="23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we have received orphan drug designation for UKONIQ and for some of our drug candidates for specified indications and may seek orphan drug designation for additional indications or drug candidates, we may be unsuccessful in obtaining or may be unable to maintain the benefits associated with orphan drug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Governmental Regulation of the Pharmaceutical Industry</w:t>
      </w:r>
    </w:p>
    <w:p>
      <w:pPr>
        <w:spacing w:after="0" w:line="229" w:lineRule="exact"/>
        <w:rPr>
          <w:sz w:val="20"/>
          <w:szCs w:val="20"/>
          <w:color w:val="auto"/>
        </w:rPr>
      </w:pPr>
    </w:p>
    <w:p>
      <w:pPr>
        <w:ind w:left="660" w:hanging="238"/>
        <w:spacing w:after="0" w:line="274"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subject to extensive regulation, including new legislation, regulatory proposals and managed care initiatives, that may increase our costs of compliance and adversely affect our ability to market our products, obtain collaborators and raise capital.</w:t>
      </w:r>
    </w:p>
    <w:p>
      <w:pPr>
        <w:ind w:left="660" w:hanging="23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comply with various healthcare laws and regulations, we may incur losses or be subject to liability.</w:t>
      </w:r>
    </w:p>
    <w:p>
      <w:pPr>
        <w:spacing w:after="0" w:line="9" w:lineRule="exact"/>
        <w:rPr>
          <w:rFonts w:ascii="Arial" w:cs="Arial" w:eastAsia="Arial" w:hAnsi="Arial"/>
          <w:sz w:val="18"/>
          <w:szCs w:val="18"/>
          <w:color w:val="auto"/>
        </w:rPr>
      </w:pPr>
    </w:p>
    <w:p>
      <w:pPr>
        <w:ind w:left="660" w:hanging="23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fail to comply with regulatory requirements, any product for which we obtain marketing approval could be subject to restrictions or withdrawal from the market and we may be subject to penalties.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jc w:val="both"/>
        <w:ind w:left="660" w:hanging="23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third parties on which we rely to conduct our clinical trials and generate clinical, preclinical and other data necessary to support our regulatory applications do not perform their services as required, we may not be able to obtain regulatory approval for or commercialize our product candidates when expected or at all.</w:t>
      </w:r>
    </w:p>
    <w:p>
      <w:pPr>
        <w:spacing w:after="0" w:line="2" w:lineRule="exact"/>
        <w:rPr>
          <w:rFonts w:ascii="Arial" w:cs="Arial" w:eastAsia="Arial" w:hAnsi="Arial"/>
          <w:sz w:val="18"/>
          <w:szCs w:val="18"/>
          <w:color w:val="auto"/>
        </w:rPr>
      </w:pPr>
    </w:p>
    <w:p>
      <w:pPr>
        <w:jc w:val="both"/>
        <w:ind w:left="660" w:hanging="23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 parties for commercial and clinical supply of our products and product candidates increases the risk that we will not have sufficient quantities of our products or product candidates or such quantities at an acceptable cost or quality, which could delay, prevent or impair our development or commercialization efforts.</w:t>
      </w:r>
    </w:p>
    <w:p>
      <w:pPr>
        <w:spacing w:after="0" w:line="1" w:lineRule="exact"/>
        <w:rPr>
          <w:rFonts w:ascii="Arial" w:cs="Arial" w:eastAsia="Arial" w:hAnsi="Arial"/>
          <w:sz w:val="18"/>
          <w:szCs w:val="18"/>
          <w:color w:val="auto"/>
        </w:rPr>
      </w:pPr>
    </w:p>
    <w:p>
      <w:pPr>
        <w:ind w:left="660" w:hanging="23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we have in-licensed our products and product candidates from third parties, any dispute with or non-performance by our licensors will adversely affect our ability to develop and commercialize the applicable product.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left="660" w:hanging="23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depends upon our ability to obtain and protect our intellectual property and if the scope of our patent protection obtained is not sufficiently broad, our competitors could develop and commercialize products similar or identical to ours, and our ability to successfully commercialize our products may be impaired.</w:t>
      </w:r>
    </w:p>
    <w:p>
      <w:pPr>
        <w:spacing w:after="0" w:line="2" w:lineRule="exact"/>
        <w:rPr>
          <w:rFonts w:ascii="Arial" w:cs="Arial" w:eastAsia="Arial" w:hAnsi="Arial"/>
          <w:sz w:val="18"/>
          <w:szCs w:val="18"/>
          <w:color w:val="auto"/>
        </w:rPr>
      </w:pPr>
    </w:p>
    <w:p>
      <w:pPr>
        <w:ind w:left="660" w:hanging="23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patent protection could be reduced or eliminated for non-compliance with various procedural, document submission, fee payment and other requirements imposed by governmental patent agencies.</w:t>
      </w:r>
    </w:p>
    <w:p>
      <w:pPr>
        <w:ind w:left="660" w:hanging="23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need to license certain intellectual property from third parties, and such licenses may not be available or may not be available on commercially reasonable terms.</w:t>
      </w:r>
    </w:p>
    <w:p>
      <w:pPr>
        <w:ind w:left="660" w:hanging="23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or our partners are sued for infringing intellectual property rights of third parties, it will be costly and time consuming, and an unfavorable outcome in that litigation would have a material adverse effect on our business.</w:t>
      </w:r>
    </w:p>
    <w:p>
      <w:pPr>
        <w:ind w:left="660" w:hanging="23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are unable to protect the confidentiality of our trade secrets, our business and competitive position may be harmed.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229" w:lineRule="exact"/>
        <w:rPr>
          <w:sz w:val="20"/>
          <w:szCs w:val="20"/>
          <w:color w:val="auto"/>
        </w:rPr>
      </w:pPr>
    </w:p>
    <w:p>
      <w:pPr>
        <w:ind w:left="660" w:hanging="23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 health issues, and specifically the pandemic caused by COVID-19, could have an adverse impact on our financial condition and results of operations and other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 Related to Our Business Organization and Governance, Strategy, Employees and Growth Management</w:t>
      </w:r>
    </w:p>
    <w:p>
      <w:pPr>
        <w:spacing w:after="0" w:line="229" w:lineRule="exact"/>
        <w:rPr>
          <w:sz w:val="20"/>
          <w:szCs w:val="20"/>
          <w:color w:val="auto"/>
        </w:rPr>
      </w:pPr>
    </w:p>
    <w:p>
      <w:pPr>
        <w:ind w:left="660" w:hanging="23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need to develop and expand our business, which could disrupt our operations.</w:t>
      </w:r>
    </w:p>
    <w:p>
      <w:pPr>
        <w:spacing w:after="0" w:line="23" w:lineRule="exact"/>
        <w:rPr>
          <w:rFonts w:ascii="Arial" w:cs="Arial" w:eastAsia="Arial" w:hAnsi="Arial"/>
          <w:sz w:val="18"/>
          <w:szCs w:val="18"/>
          <w:color w:val="auto"/>
        </w:rPr>
      </w:pPr>
    </w:p>
    <w:p>
      <w:pPr>
        <w:ind w:left="660" w:hanging="23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our clinical development and commercialization activities will depend on our ability to attract and maintain key management and other personnel.</w:t>
      </w:r>
    </w:p>
    <w:p>
      <w:pPr>
        <w:ind w:left="660" w:hanging="238"/>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Certain of our executive officers, directors and other stockholders own more than 10% of our outstanding common stock and may be able to influence our management and the outcome of matters submitted to shareholders for approval.</w:t>
      </w:r>
    </w:p>
    <w:p>
      <w:pPr>
        <w:ind w:left="660" w:hanging="23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anti-takeover provisions in our charter documents and Delaware law could make a third-party acquisition more difficult, which could limit the price investors might be willing to pay for our common stock.</w:t>
      </w:r>
    </w:p>
    <w:p>
      <w:pPr>
        <w:ind w:left="640"/>
        <w:spacing w:after="0"/>
        <w:rPr>
          <w:rFonts w:ascii="Arial" w:cs="Arial" w:eastAsia="Arial" w:hAnsi="Arial"/>
          <w:sz w:val="18"/>
          <w:szCs w:val="18"/>
          <w:color w:val="auto"/>
        </w:rPr>
      </w:pPr>
      <w:r>
        <w:rPr>
          <w:rFonts w:ascii="Arial" w:cs="Arial" w:eastAsia="Arial" w:hAnsi="Arial"/>
          <w:sz w:val="18"/>
          <w:szCs w:val="18"/>
          <w:color w:val="auto"/>
        </w:rPr>
        <w:t>Our stock price is, and we expect it to remain, volatile, which could limit investors ability to sell stock at a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right="20" w:firstLine="722"/>
        <w:spacing w:after="0" w:line="311" w:lineRule="auto"/>
        <w:rPr>
          <w:sz w:val="20"/>
          <w:szCs w:val="20"/>
          <w:color w:val="auto"/>
        </w:rPr>
      </w:pPr>
      <w:r>
        <w:rPr>
          <w:rFonts w:ascii="Arial" w:cs="Arial" w:eastAsia="Arial" w:hAnsi="Arial"/>
          <w:sz w:val="16"/>
          <w:szCs w:val="16"/>
          <w:i w:val="1"/>
          <w:iCs w:val="1"/>
          <w:color w:val="auto"/>
        </w:rPr>
        <w:t>Unless the context requires otherwise, references in this report to “TG,” “Company,” “we,” “us” and “our” refer to TG Therapeutics, Inc. and our subsidiaries. Our name, logo and UKONIQ are trademarks or tradenames of TG Therapeutics, Inc. All other trademarks, service marks or other tradenames appearing in this Annual Report on Form 10-K are the property of their respective owners.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TG Therapeutics is a fully-integrated, commercial stage biopharmaceutical company focused on the acquisition, development and commercialization of novel treatments for B-cell malignancies and autoimmune diseases. In addition to an active research pipeline including five investigational medicines across these therapeutic areas, we have received accelerated approval from the U.S. Food and Drug Administration (FDA) for UKONIQ (umbralisib), for the treatment of adult patients with relapsed or refractory marginal zone lymphoma who have received at least one prior anti-CD20-based regimen and relapsed or refractory follicular lymphoma who have received at least three prior lines of systemic therapies. Currently, we have two programs in Phase 3 development for the treatment of patients with relapsing forms of multiple sclerosis (RMS) and patients with chronic lymphocytic leukemia (CLL) and several investigational medicines in Phase 1 clinical development. We also actively evaluate complementary products, technologies and companies for in-licensing, partnership, acquisition and/or investment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Accelerated Approval of UKONIQ</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February 5, 2021, we announced that the FDA granted accelerated approval of umbralisib, now referred to as UKONIQ, for the treatment of adult patients with relapsed or refractory Marginal Zone Lymphoma (MZL) who have received at least one prior anti-CD20 based regimen and adult patients with relapsed or refractory Follicular Lymphoma (FL) who have received at least three prior lines of systemic therapy. UKONIQ is the first and only, oral, once daily, inhibitor of phosphoinositide 3 kinase (PI3K) delta and casein kinase 1 (CK1) epsilon. Accelerated approval was granted for these indications based on overall response rate (ORR) data from the Phase 2b UNITY-NHL Trial (NCT02793583). Continued approval for these indications may be contingent upon verification and description of clinical benefit in a confirmatory trial. This application was granted priority review for the MZL indication. In addition, UKONIQ was granted Breakthrough Therapy Designation (BTD) for the treatment of MZL and orphan drug designation (ODD) for the treatment of MZL and FL.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Phase 3 or Registration Directed Clinical Trial Highlights: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initiated and enrolled several Phase 3 and registration-directed Phase 2b clinical trials (i.e., clinical trials that may support a marketing application for approval). The following are highlights from our current Phase 3 trials and registration-directed Phase 2b clinical trials:</w:t>
      </w:r>
    </w:p>
    <w:p>
      <w:pPr>
        <w:spacing w:after="0" w:line="180" w:lineRule="exact"/>
        <w:rPr>
          <w:sz w:val="20"/>
          <w:szCs w:val="20"/>
          <w:color w:val="auto"/>
        </w:rPr>
      </w:pPr>
    </w:p>
    <w:p>
      <w:pPr>
        <w:jc w:val="both"/>
        <w:ind w:left="980" w:right="20" w:hanging="315"/>
        <w:spacing w:after="0" w:line="258"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UNITY-NHL Phase 2b Trial:</w:t>
      </w:r>
      <w:r>
        <w:rPr>
          <w:rFonts w:ascii="Arial" w:cs="Arial" w:eastAsia="Arial" w:hAnsi="Arial"/>
          <w:sz w:val="18"/>
          <w:szCs w:val="18"/>
          <w:b w:val="1"/>
          <w:bCs w:val="1"/>
          <w:color w:val="auto"/>
        </w:rPr>
        <w:t xml:space="preserve"> </w:t>
      </w:r>
      <w:r>
        <w:rPr>
          <w:rFonts w:ascii="Arial" w:cs="Arial" w:eastAsia="Arial" w:hAnsi="Arial"/>
          <w:sz w:val="18"/>
          <w:szCs w:val="18"/>
          <w:color w:val="auto"/>
        </w:rPr>
        <w:t>UNITY-NHL is a broad Phase 2b registration-directed clinical trial designed to evaluate the</w:t>
      </w:r>
      <w:r>
        <w:rPr>
          <w:rFonts w:ascii="Arial" w:cs="Arial" w:eastAsia="Arial" w:hAnsi="Arial"/>
          <w:sz w:val="18"/>
          <w:szCs w:val="18"/>
          <w:b w:val="1"/>
          <w:bCs w:val="1"/>
          <w:color w:val="auto"/>
        </w:rPr>
        <w:t xml:space="preserve"> </w:t>
      </w:r>
      <w:r>
        <w:rPr>
          <w:rFonts w:ascii="Arial" w:cs="Arial" w:eastAsia="Arial" w:hAnsi="Arial"/>
          <w:sz w:val="18"/>
          <w:szCs w:val="18"/>
          <w:color w:val="auto"/>
        </w:rPr>
        <w:t>efficacy and safety of umbralisib monotherapy and ublituximab and umbralisib (U2) combinations in patients with previously treated non-Hodgkin’s lymphoma (NHL). The trial is currently enrolling patients with relapsed/refractory marginal zone lymphoma (MZL), follicular lymphoma (FL), small lymphocytic lymphoma (SLL), and mantle cell lymphoma (MCL) to receive umbralisib either alone or in combination.</w:t>
      </w:r>
    </w:p>
    <w:p>
      <w:pPr>
        <w:spacing w:after="0" w:line="183" w:lineRule="exact"/>
        <w:rPr>
          <w:sz w:val="20"/>
          <w:szCs w:val="20"/>
          <w:color w:val="auto"/>
        </w:rPr>
      </w:pPr>
    </w:p>
    <w:p>
      <w:pPr>
        <w:jc w:val="both"/>
        <w:ind w:left="1560" w:right="20" w:hanging="328"/>
        <w:spacing w:after="0" w:line="243" w:lineRule="auto"/>
        <w:tabs>
          <w:tab w:leader="none" w:pos="1560" w:val="left"/>
        </w:tabs>
        <w:numPr>
          <w:ilvl w:val="1"/>
          <w:numId w:val="12"/>
        </w:numPr>
        <w:rPr>
          <w:rFonts w:ascii="Courier New" w:cs="Courier New" w:eastAsia="Courier New" w:hAnsi="Courier New"/>
          <w:sz w:val="17"/>
          <w:szCs w:val="17"/>
          <w:color w:val="auto"/>
        </w:rPr>
      </w:pPr>
      <w:r>
        <w:rPr>
          <w:rFonts w:ascii="Arial" w:cs="Arial" w:eastAsia="Arial" w:hAnsi="Arial"/>
          <w:sz w:val="17"/>
          <w:szCs w:val="17"/>
          <w:b w:val="1"/>
          <w:bCs w:val="1"/>
          <w:u w:val="single" w:color="auto"/>
          <w:color w:val="auto"/>
        </w:rPr>
        <w:t>UMBRALISIB MONOTHERAPY MZL/FL COHORTS:</w:t>
      </w:r>
      <w:r>
        <w:rPr>
          <w:rFonts w:ascii="Arial" w:cs="Arial" w:eastAsia="Arial" w:hAnsi="Arial"/>
          <w:sz w:val="17"/>
          <w:szCs w:val="17"/>
          <w:b w:val="1"/>
          <w:bCs w:val="1"/>
          <w:color w:val="auto"/>
        </w:rPr>
        <w:t xml:space="preserve"> </w:t>
      </w:r>
      <w:r>
        <w:rPr>
          <w:rFonts w:ascii="Arial" w:cs="Arial" w:eastAsia="Arial" w:hAnsi="Arial"/>
          <w:sz w:val="17"/>
          <w:szCs w:val="17"/>
          <w:color w:val="auto"/>
        </w:rPr>
        <w:t>The MZL and the FL single agent umbralisib cohorts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UNITY-NHL trial met their primary endpoint of ORR. Data from these cohorts were presented in December 2020 at the 62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American Society of Hematology annual meeting. In addition, data from the MZL and FL monotherapy cohorts were used to support a New Drug Application (NDA) for umbralisib to treat adult patients with relapsed or refractory MZL and FL, which was approved by the FDA on February 5, 2021.</w:t>
      </w:r>
    </w:p>
    <w:p>
      <w:pPr>
        <w:spacing w:after="0" w:line="198" w:lineRule="exact"/>
        <w:rPr>
          <w:rFonts w:ascii="Courier New" w:cs="Courier New" w:eastAsia="Courier New" w:hAnsi="Courier New"/>
          <w:sz w:val="17"/>
          <w:szCs w:val="17"/>
          <w:color w:val="auto"/>
        </w:rPr>
      </w:pPr>
    </w:p>
    <w:p>
      <w:pPr>
        <w:jc w:val="both"/>
        <w:ind w:left="980" w:right="20" w:hanging="315"/>
        <w:spacing w:after="0" w:line="303"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UNITY-CLL Phase 3 Trial Evaluating Umbralisib plus Ublituximab (U2):</w:t>
      </w:r>
      <w:r>
        <w:rPr>
          <w:rFonts w:ascii="Arial" w:cs="Arial" w:eastAsia="Arial" w:hAnsi="Arial"/>
          <w:sz w:val="16"/>
          <w:szCs w:val="16"/>
          <w:b w:val="1"/>
          <w:bCs w:val="1"/>
          <w:color w:val="auto"/>
        </w:rPr>
        <w:t xml:space="preserve"> </w:t>
      </w:r>
      <w:r>
        <w:rPr>
          <w:rFonts w:ascii="Arial" w:cs="Arial" w:eastAsia="Arial" w:hAnsi="Arial"/>
          <w:sz w:val="16"/>
          <w:szCs w:val="16"/>
          <w:color w:val="auto"/>
        </w:rPr>
        <w:t>UNITY-CLL is a global Phase 3 randomized</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controlled clinical trial comparing the U2 combination to an active control arm of obinutuzumab plus chlorambucil in patients with both treatment naive and relapsed or refractory CLL. Two additional arms evaluating single agent ublituximab and single agent umbralisib were also enrolled for purposes of evaluating contribution in the U2 combination regimen. The primary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right="20"/>
        <w:spacing w:after="0" w:line="291" w:lineRule="auto"/>
        <w:rPr>
          <w:sz w:val="20"/>
          <w:szCs w:val="20"/>
          <w:color w:val="auto"/>
        </w:rPr>
      </w:pPr>
      <w:r>
        <w:rPr>
          <w:rFonts w:ascii="Arial" w:cs="Arial" w:eastAsia="Arial" w:hAnsi="Arial"/>
          <w:sz w:val="16"/>
          <w:szCs w:val="16"/>
          <w:color w:val="auto"/>
        </w:rPr>
        <w:t>endpoint for this study is progression free survival (PFS). This trial is conducted under Special Protocol Assessment (SPA) with the FDA. In early December 2020, we initiated a rolling submission of a Biologics License Application (BLA) for ublituximab in combination with umbralisib as a treatment for patients with CLL, with the completion of the rolling submission targeted for the first half of 2021. On December 7, 2020, we presented safety and efficacy results from the UNITY- CLL trial at the American Society of Hematology (ASH) annual meeting, demonstrating that U2 significantly improved PFS over obinutuzumab plus chlorambucil (HR=0.54, p&lt;0.0001) as well as ORR (p&lt;0.001) in patients with CLL; with consistent PFS improvement across subgroups, including treatment naïve CLL (HR=0.48) and relapsed/refractory CLL (HR=0.60).</w:t>
      </w:r>
    </w:p>
    <w:p>
      <w:pPr>
        <w:spacing w:after="0" w:line="162" w:lineRule="exact"/>
        <w:rPr>
          <w:sz w:val="20"/>
          <w:szCs w:val="20"/>
          <w:color w:val="auto"/>
        </w:rPr>
      </w:pPr>
    </w:p>
    <w:p>
      <w:pPr>
        <w:jc w:val="both"/>
        <w:ind w:left="980" w:right="20" w:hanging="315"/>
        <w:spacing w:after="0" w:line="269"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ULTIMATE I &amp; II Trials Evaluating Single Agent Ublituximab in RMS:</w:t>
      </w:r>
      <w:r>
        <w:rPr>
          <w:rFonts w:ascii="Arial" w:cs="Arial" w:eastAsia="Arial" w:hAnsi="Arial"/>
          <w:sz w:val="17"/>
          <w:szCs w:val="17"/>
          <w:b w:val="1"/>
          <w:bCs w:val="1"/>
          <w:color w:val="auto"/>
        </w:rPr>
        <w:t xml:space="preserve"> </w:t>
      </w:r>
      <w:r>
        <w:rPr>
          <w:rFonts w:ascii="Arial" w:cs="Arial" w:eastAsia="Arial" w:hAnsi="Arial"/>
          <w:sz w:val="17"/>
          <w:szCs w:val="17"/>
          <w:color w:val="auto"/>
        </w:rPr>
        <w:t>ULTIMATE I and ULTIMATE II are two</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Phase 3 trials. Each trial is a global, randomized, multi-center, double-blinded, double-dummy, active-controlled study comparing ublituximab to teriflunomide in subjects with relapsing forms of Multiple Sclerosis (RMS). The primary endpoint for each study is Annualized Relapse Rate (ARR) following 96 weeks of treatment which we intend to use to support a submission for approval of ublituximab in RMS. These trials are conducted under a SPA with the FDA. In December 2020, we announced positive topline results from the ULTIMATE I &amp; II Phase 3 trials. Both studies met their primary endpoint of significantly reducing ARR (p&lt;0.005 in each study) with ublituximab demonstrating an ARR of &lt;0.10 in each of the studies with relative reductions of approximately 60% and 50% in ARR over teriflunomide observed in ULTIMATE I &amp; II, respectively. Further analyses of the ULTIMATE I &amp; II studies including safety and secondary endpoints are being conducted and detailed data is targeted to be presented in first half of 2021. Additionally, data from these studies are intended to support a BLA submission for ublituximab in RMS targeted in mid-year 2021.</w:t>
      </w:r>
    </w:p>
    <w:p>
      <w:pPr>
        <w:spacing w:after="0" w:line="181" w:lineRule="exact"/>
        <w:rPr>
          <w:rFonts w:ascii="Arial" w:cs="Arial" w:eastAsia="Arial" w:hAnsi="Arial"/>
          <w:sz w:val="17"/>
          <w:szCs w:val="17"/>
          <w:color w:val="auto"/>
        </w:rPr>
      </w:pPr>
    </w:p>
    <w:p>
      <w:pPr>
        <w:jc w:val="both"/>
        <w:ind w:left="980" w:right="20" w:hanging="315"/>
        <w:spacing w:after="0" w:line="303"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b w:val="1"/>
          <w:bCs w:val="1"/>
          <w:u w:val="single" w:color="auto"/>
          <w:color w:val="auto"/>
        </w:rPr>
        <w:t>ULTRA-V Phase 2 Trial Evaluating U2 plus Venetoclax in CLL:</w:t>
      </w:r>
      <w:r>
        <w:rPr>
          <w:rFonts w:ascii="Arial" w:cs="Arial" w:eastAsia="Arial" w:hAnsi="Arial"/>
          <w:sz w:val="16"/>
          <w:szCs w:val="16"/>
          <w:b w:val="1"/>
          <w:bCs w:val="1"/>
          <w:color w:val="auto"/>
        </w:rPr>
        <w:t xml:space="preserve"> </w:t>
      </w:r>
      <w:r>
        <w:rPr>
          <w:rFonts w:ascii="Arial" w:cs="Arial" w:eastAsia="Arial" w:hAnsi="Arial"/>
          <w:sz w:val="16"/>
          <w:szCs w:val="16"/>
          <w:color w:val="auto"/>
        </w:rPr>
        <w:t>ULTRA-V is a Phase 2 open-label, multicenter,</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registration-directed clinical trial designed to investigate the efficacy and safety of U2 combined with venetoclax in subjects with treatment-naïve and relapsed or refractory CLL. The primary endpoint for the Phase 2 component of this study is ORR and Complete Response (CR) rate. The primary endpoints for this study are ORR and Complete Response (CR) rate.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were incorporated in Delaware in 1993. Our executive offices are located at 2 Gansevoort Street, 9th Floor, New York, New York 10014. Our telephone number is 1-877-575-TGTX(8489), and our e-mail address is info@tgtxinc.com.</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We maintain a website with the address www.tgtherapeutics.com and maintain various social media accounts, including but not limited to Twitter and LinkedIn. We make available free of charge through our corporate website our annual reports on Form 10-K, quarterly reports on Form 10-Q and current reports on Form 8-K, as well as any amendments to these reports, as soon as reasonably practicable after we electronically file such material with, or furnish such material to, the SEC. We are not including the information on our website or our social media accounts as a part of, nor incorporating either by reference into, this report. The SEC maintains a website that contains annual, quarterly, and current reports, proxy statements, and other information that issuers (including us) file electronically with the SEC. The SEC’s website address is </w:t>
      </w:r>
      <w:r>
        <w:rPr>
          <w:rFonts w:ascii="Arial" w:cs="Arial" w:eastAsia="Arial" w:hAnsi="Arial"/>
          <w:sz w:val="18"/>
          <w:szCs w:val="18"/>
          <w:u w:val="single" w:color="auto"/>
          <w:color w:val="0563C1"/>
        </w:rPr>
        <w:t>http://www.sec.gov</w:t>
      </w:r>
      <w:r>
        <w:rPr>
          <w:rFonts w:ascii="Arial" w:cs="Arial" w:eastAsia="Arial" w:hAnsi="Arial"/>
          <w:sz w:val="18"/>
          <w:szCs w:val="18"/>
          <w:color w:val="auto"/>
        </w:rPr>
        <w:t>.</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intend to use our corporate website, SEC filings, press releases, public conference calls and webcasts as well as social media to communicate with our subscribers and the public. It is possible that the information we post on social media could be deemed to be material information. Therefore, in light of the SEC’s guidance, we encourage investors, the media and others interested in us to review the information we post on the U.S. social media channels listed on our website.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 fully-integrated, commercial stage biopharmaceutical company focused on the acquisition, development and commercialization of novel treatments for B-cell malignancies and autoimmune diseases, our key corporate objectives include:</w:t>
      </w:r>
    </w:p>
    <w:p>
      <w:pPr>
        <w:spacing w:after="0" w:line="1" w:lineRule="exact"/>
        <w:rPr>
          <w:sz w:val="20"/>
          <w:szCs w:val="20"/>
          <w:color w:val="auto"/>
        </w:rPr>
      </w:pPr>
    </w:p>
    <w:p>
      <w:pPr>
        <w:ind w:left="980" w:hanging="315"/>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commercializing UKONIQ in the U.S. for relapsed or refractory MZL and FL;</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Completing U.S. regulatory submissions for U2 in CLL and ublituximab in MS;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FDA approval for U2 in CLL, and ublituximab in MS;</w:t>
      </w:r>
    </w:p>
    <w:p>
      <w:pPr>
        <w:spacing w:after="0" w:line="9"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Preparing for additional commercial launches and scaling commercialization capabilities to ensure, if approved, broad access to patients for the approved indications for umbralisib and ublituximab;</w:t>
      </w:r>
    </w:p>
    <w:p>
      <w:pPr>
        <w:ind w:left="980" w:hanging="315"/>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U2 in NHL as well as in combination with other novel agents for CLL;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0" w:hanging="315"/>
        <w:spacing w:after="0" w:line="274"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Advancing cosibelimab (TG-1501), TG-1701, and TG-1801 through clinical development and defining potential regulatory paths for these drug candidates either as single agents and in combination with umbralisib, ublituximab, and/or U2;</w:t>
      </w:r>
    </w:p>
    <w:p>
      <w:pPr>
        <w:ind w:left="980" w:hanging="315"/>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Building upon the MS clinical program to develop ublituximab in additional MS indications and other autoimmune diseases;</w:t>
      </w:r>
    </w:p>
    <w:p>
      <w:pPr>
        <w:spacing w:after="0" w:line="20" w:lineRule="exact"/>
        <w:rPr>
          <w:rFonts w:ascii="Arial" w:cs="Arial" w:eastAsia="Arial" w:hAnsi="Arial"/>
          <w:sz w:val="17"/>
          <w:szCs w:val="17"/>
          <w:color w:val="auto"/>
        </w:rPr>
      </w:pPr>
    </w:p>
    <w:p>
      <w:pPr>
        <w:ind w:left="980" w:hanging="315"/>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Continuing to expand our pipeline with mechanisms of importance to B-cell mediated diseases;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Evaluating potential strategic collaborations to maximize the value of our programs and B-cell directed platform;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our “patient first” culture as we grow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and Platform</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approach to drug development is centered on developing solutions for patients rather than developing single therapies for a disease. Our process begins by identifying validated targets against B-cell diseases, and then searching for and, ideally, acquiring what we believe to be “best-in-class” compounds with complementary mechanisms against these targets, with the goal of developing multi-drug proprietary targeted combinations, which can potentially offer new treatment options for patients in need.</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Our preference is to identify targets for which there is human clinical proof of concept that the mechanism is active in B-cell diseases and then to identify drug candidates that effectively modulate the desired molecular target. We identify these drug candidates at academic centers of excellence or in development at biotech companies or pharmaceutical companies globally. Our current drug candidates were acquired through license agreements, collaborations, or joint ventures with biopharmaceutical companies located in the US, France, Switzerland, India, and China. This approach enables us to minimize target risk while looking for the best available drug candidates around the world. By focusing on B-cell diseases and targets </w:t>
      </w:r>
      <w:r>
        <w:rPr>
          <w:rFonts w:ascii="Arial" w:cs="Arial" w:eastAsia="Arial" w:hAnsi="Arial"/>
          <w:sz w:val="18"/>
          <w:szCs w:val="18"/>
          <w:color w:val="auto"/>
        </w:rPr>
        <w:t>with</w:t>
      </w:r>
      <w:r>
        <w:rPr>
          <w:rFonts w:ascii="Arial" w:cs="Arial" w:eastAsia="Arial" w:hAnsi="Arial"/>
          <w:sz w:val="16"/>
          <w:szCs w:val="16"/>
          <w:color w:val="auto"/>
        </w:rPr>
        <w:t xml:space="preserve"> a known activity profile, we believe that we can quickly identify the patients most likely to respond, resulting in a more efficient development path with the potential for a greater likelihood of success. Importantly, since our drug candidates have complementary mechanisms of action, we can rapidly explore combination therapies, which we believe is essential to improving outcomes for patients and may hold the key to potentially identifying cures for patients with B-cell diseases.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approach is enabled by our clinical development platform which includes:</w:t>
      </w:r>
    </w:p>
    <w:p>
      <w:pPr>
        <w:spacing w:after="0" w:line="158" w:lineRule="exact"/>
        <w:rPr>
          <w:sz w:val="20"/>
          <w:szCs w:val="20"/>
          <w:color w:val="auto"/>
        </w:rPr>
      </w:pPr>
    </w:p>
    <w:p>
      <w:pPr>
        <w:ind w:left="980" w:right="20" w:hanging="315"/>
        <w:spacing w:after="0" w:line="25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internal team with a deep understanding of B-cell diseases and significant experience successfully pioneering innovative treatments for these complex diseases; and</w:t>
      </w:r>
    </w:p>
    <w:p>
      <w:pPr>
        <w:spacing w:after="0" w:line="1" w:lineRule="exact"/>
        <w:rPr>
          <w:rFonts w:ascii="Arial" w:cs="Arial" w:eastAsia="Arial" w:hAnsi="Arial"/>
          <w:sz w:val="18"/>
          <w:szCs w:val="18"/>
          <w:color w:val="auto"/>
        </w:rPr>
      </w:pPr>
    </w:p>
    <w:p>
      <w:pPr>
        <w:ind w:left="980" w:right="20" w:hanging="315"/>
        <w:spacing w:after="0" w:line="26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vast external network of more than 350 community and academic clinical trial sites with significant experience researching B-cell diseases.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B-CELL DISEASES OVERVIEW</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constellation of diseases that arise from abnormally growing or behaving B-cells is substantial. One group of diseases related to abnormal B-cell growth is malignant lymphomas, including NHL and CLL. There are over 80 types of NHL, approximately 40 to 50 of which are due to malignant B-cells. These diseases can include some of the slowest and fastest growing cancers known to medicine. Some of the more common B-cell malignancies include MZL, FL, SLL and CLL.</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other major group of diseases caused by abnormally functioning B-cells is autoimmune disorders. These diseases may result from inappropriate production of antibodies from the B-cells. These antibodies cannot discriminate “self” from “non-self,” and inadvertently mount a disabling immune response against normal organs. Examples of common and very debilitating autoimmune disorders for which abnormally functioning B-cells have been implicated include MS and rheumatoid arthritis (RA).</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current clinical programs are focused on MZL, FL, CLL and 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Marginal Zone Lymphoma Overview</w:t>
      </w:r>
    </w:p>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MZL comprises a group of indolent (slow growing) mature B-cell non-Hodgkin lymphomas (NHLs). MZL is generally considered a chronic and incurable disease. With an annual incidence of approximately 8,200 newly diagnosed patients in the United States MZL is the third most common B-cell NHL, accounting for approximately ten percent of all NHL cases. MZL consists of three different subtypes: extranodal MZL of the mucosal-associated lymphoid tissue (MALT), nodal marginal zone lymphoma (NMZL), and splenic marginal zone lymphoma (SMZL).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 w:name="page9"/>
    <w:bookmarkEnd w:id="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Follicular Lymphoma Overview</w:t>
      </w:r>
    </w:p>
    <w:p>
      <w:pPr>
        <w:spacing w:after="0" w:line="148" w:lineRule="exact"/>
        <w:rPr>
          <w:sz w:val="20"/>
          <w:szCs w:val="20"/>
          <w:color w:val="auto"/>
        </w:rPr>
      </w:pPr>
    </w:p>
    <w:p>
      <w:pPr>
        <w:jc w:val="both"/>
        <w:ind w:left="20" w:firstLine="648"/>
        <w:spacing w:after="0" w:line="259" w:lineRule="auto"/>
        <w:rPr>
          <w:sz w:val="20"/>
          <w:szCs w:val="20"/>
          <w:color w:val="auto"/>
        </w:rPr>
      </w:pPr>
      <w:r>
        <w:rPr>
          <w:rFonts w:ascii="Arial" w:cs="Arial" w:eastAsia="Arial" w:hAnsi="Arial"/>
          <w:sz w:val="18"/>
          <w:szCs w:val="18"/>
          <w:color w:val="auto"/>
        </w:rPr>
        <w:t>FL is typically an indolent form of NHL that arises from B-lymphocytes. It is the second most common form of NHL. FL is generally not curable and is considered a chronic disease, as patients can live for many years with this form of lymphoma. With an annual incidence in the United States of approximately 13,200 newly diagnosed patients FL is the most common indolent lymphoma accounting for approximately 17 percent of all NHL cases.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Chronic Lymphocytic Leukemia Overview</w:t>
      </w:r>
    </w:p>
    <w:p>
      <w:pPr>
        <w:spacing w:after="0" w:line="162" w:lineRule="exact"/>
        <w:rPr>
          <w:sz w:val="20"/>
          <w:szCs w:val="20"/>
          <w:color w:val="auto"/>
        </w:rPr>
      </w:pPr>
    </w:p>
    <w:p>
      <w:pPr>
        <w:ind w:left="20" w:right="80" w:firstLine="648"/>
        <w:spacing w:after="0" w:line="259" w:lineRule="auto"/>
        <w:rPr>
          <w:sz w:val="20"/>
          <w:szCs w:val="20"/>
          <w:color w:val="auto"/>
        </w:rPr>
      </w:pPr>
      <w:r>
        <w:rPr>
          <w:rFonts w:ascii="Arial" w:cs="Arial" w:eastAsia="Arial" w:hAnsi="Arial"/>
          <w:sz w:val="18"/>
          <w:szCs w:val="18"/>
          <w:color w:val="auto"/>
        </w:rPr>
        <w:t>Chronic lymphocytic leukemia (CLL) is the most common type of adult leukemia. It is estimated there will be more than 20,000 new cases of CLL diagnosed in the United States in 2020 and approximately 45,000 new cases globally in 2020. Although signs and symptoms of CLL may disappear for a period of time after initial treatment, the disease is considered incurable and many people will require additional treatment due to the return of malignant cells.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Multiple Sclerosis Overview</w:t>
      </w:r>
    </w:p>
    <w:p>
      <w:pPr>
        <w:spacing w:after="0" w:line="162" w:lineRule="exact"/>
        <w:rPr>
          <w:sz w:val="20"/>
          <w:szCs w:val="20"/>
          <w:color w:val="auto"/>
        </w:rPr>
      </w:pPr>
    </w:p>
    <w:p>
      <w:pPr>
        <w:jc w:val="both"/>
        <w:ind w:left="20" w:firstLine="648"/>
        <w:spacing w:after="0" w:line="293" w:lineRule="auto"/>
        <w:rPr>
          <w:sz w:val="20"/>
          <w:szCs w:val="20"/>
          <w:color w:val="auto"/>
        </w:rPr>
      </w:pPr>
      <w:r>
        <w:rPr>
          <w:rFonts w:ascii="Arial" w:cs="Arial" w:eastAsia="Arial" w:hAnsi="Arial"/>
          <w:sz w:val="16"/>
          <w:szCs w:val="16"/>
          <w:color w:val="auto"/>
        </w:rPr>
        <w:t>Relapsing multiple sclerosis (RMS) is a chronic demyelinating disease of the central nervous system (CNS) and includes people with relapsing-remitting multiple sclerosis (RRMS) and people with secondary progressive multiple sclerosis (SPMS) who continue to experience relapses. RRMS is the most common form of multiple sclerosis (MS) and is characterized by episodes of new or worsening signs or symptoms (relapses) followed by periods of recovery. It is estimated that nearly 1 million people are living with MS in the United States and approximately 85% are initially diagnosed with RRMS. The majority of people who are diagnosed with RRMS will eventually transition to SPMS, in which they experience steadily worsening disability over time. Worldwide, more than 2.3 million people have a diagnosis of MS.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PRODUCTS UNDER DEVELOPMENT</w:t>
      </w:r>
    </w:p>
    <w:p>
      <w:pPr>
        <w:spacing w:after="0" w:line="229" w:lineRule="exact"/>
        <w:rPr>
          <w:sz w:val="20"/>
          <w:szCs w:val="20"/>
          <w:color w:val="auto"/>
        </w:rPr>
      </w:pPr>
    </w:p>
    <w:p>
      <w:pPr>
        <w:jc w:val="both"/>
        <w:ind w:left="20" w:firstLine="648"/>
        <w:spacing w:after="0" w:line="301" w:lineRule="auto"/>
        <w:rPr>
          <w:sz w:val="20"/>
          <w:szCs w:val="20"/>
          <w:color w:val="auto"/>
        </w:rPr>
      </w:pPr>
      <w:r>
        <w:rPr>
          <w:rFonts w:ascii="Arial" w:cs="Arial" w:eastAsia="Arial" w:hAnsi="Arial"/>
          <w:sz w:val="16"/>
          <w:szCs w:val="16"/>
          <w:color w:val="auto"/>
        </w:rPr>
        <w:t>We have leveraged our B-cell platform to develop a robust drug pipeline of both targeted orally available, potent and selective small molecule kinase inhibitors and intravenously delivered “off-the-shelf” immunotherapies that leverage the patient’s own immune system to fight cancer. We currently license worldwide development and commercial rights, subject to certain limited geographical restrictions, to all of our pre-clinical and clinical programs. The following table summarizes our most advanced drug candidates as of February 2021.</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4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b w:val="1"/>
                <w:bCs w:val="1"/>
                <w:color w:val="auto"/>
              </w:rPr>
              <w:t>Clinical Drug Candidate</w:t>
            </w:r>
          </w:p>
        </w:tc>
        <w:tc>
          <w:tcPr>
            <w:tcW w:w="600" w:type="dxa"/>
            <w:vAlign w:val="bottom"/>
            <w:tcBorders>
              <w:top w:val="single" w:sz="8" w:color="auto"/>
              <w:right w:val="single" w:sz="8" w:color="auto"/>
            </w:tcBorders>
          </w:tcPr>
          <w:p>
            <w:pPr>
              <w:spacing w:after="0"/>
              <w:rPr>
                <w:sz w:val="18"/>
                <w:szCs w:val="18"/>
                <w:color w:val="auto"/>
              </w:rPr>
            </w:pPr>
          </w:p>
        </w:tc>
        <w:tc>
          <w:tcPr>
            <w:tcW w:w="34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Initial Target Disease</w:t>
            </w:r>
          </w:p>
        </w:tc>
        <w:tc>
          <w:tcPr>
            <w:tcW w:w="34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Stage of Development</w:t>
            </w:r>
          </w:p>
        </w:tc>
      </w:tr>
      <w:tr>
        <w:trPr>
          <w:trHeight w:val="234"/>
        </w:trPr>
        <w:tc>
          <w:tcPr>
            <w:tcW w:w="27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(molecular target)</w:t>
            </w:r>
          </w:p>
        </w:tc>
        <w:tc>
          <w:tcPr>
            <w:tcW w:w="60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(pivotal study)</w:t>
            </w:r>
          </w:p>
        </w:tc>
      </w:tr>
      <w:tr>
        <w:trPr>
          <w:trHeight w:val="210"/>
        </w:trPr>
        <w:tc>
          <w:tcPr>
            <w:tcW w:w="27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Ublituximab (anti-CD20/mAb)</w:t>
            </w:r>
          </w:p>
        </w:tc>
        <w:tc>
          <w:tcPr>
            <w:tcW w:w="6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Chronic Lymphocytic Leukemia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 (UNITY-CLL)</w:t>
            </w:r>
          </w:p>
        </w:tc>
      </w:tr>
      <w:tr>
        <w:trPr>
          <w:trHeight w:val="216"/>
        </w:trPr>
        <w:tc>
          <w:tcPr>
            <w:tcW w:w="2740" w:type="dxa"/>
            <w:vAlign w:val="bottom"/>
            <w:tcBorders>
              <w:left w:val="single" w:sz="8" w:color="auto"/>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Sclerosis</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trials (ULTIMATE I and II)</w:t>
            </w:r>
          </w:p>
        </w:tc>
      </w:tr>
      <w:tr>
        <w:trPr>
          <w:trHeight w:val="216"/>
        </w:trPr>
        <w:tc>
          <w:tcPr>
            <w:tcW w:w="27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Umbralisib (PI3K delta and CK1</w:t>
            </w:r>
          </w:p>
        </w:tc>
        <w:tc>
          <w:tcPr>
            <w:tcW w:w="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87"/>
              </w:rPr>
              <w:t>epsilon</w:t>
            </w: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Chronic Lymphocytic Leukemia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 (UNITY-CLL)</w:t>
            </w:r>
          </w:p>
        </w:tc>
      </w:tr>
      <w:tr>
        <w:trPr>
          <w:trHeight w:val="210"/>
        </w:trPr>
        <w:tc>
          <w:tcPr>
            <w:tcW w:w="27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inhibitor)</w:t>
            </w:r>
          </w:p>
        </w:tc>
        <w:tc>
          <w:tcPr>
            <w:tcW w:w="6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Marginal Zone Lymphoma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2b trial (UNITY-NHL)</w:t>
            </w:r>
          </w:p>
        </w:tc>
      </w:tr>
      <w:tr>
        <w:trPr>
          <w:trHeight w:val="209"/>
        </w:trPr>
        <w:tc>
          <w:tcPr>
            <w:tcW w:w="2740" w:type="dxa"/>
            <w:vAlign w:val="bottom"/>
            <w:tcBorders>
              <w:left w:val="single" w:sz="8" w:color="auto"/>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Follicular Lymphoma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2b trial (UNITY-NHL)</w:t>
            </w:r>
          </w:p>
        </w:tc>
      </w:tr>
      <w:tr>
        <w:trPr>
          <w:trHeight w:val="210"/>
        </w:trPr>
        <w:tc>
          <w:tcPr>
            <w:tcW w:w="27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Cosibelimab (anti-PDL1)</w:t>
            </w:r>
          </w:p>
        </w:tc>
        <w:tc>
          <w:tcPr>
            <w:tcW w:w="600" w:type="dxa"/>
            <w:vAlign w:val="bottom"/>
            <w:tcBorders>
              <w:bottom w:val="single" w:sz="8" w:color="auto"/>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210"/>
        </w:trPr>
        <w:tc>
          <w:tcPr>
            <w:tcW w:w="27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TG-1701 (BTK inhibitor)</w:t>
            </w:r>
          </w:p>
        </w:tc>
        <w:tc>
          <w:tcPr>
            <w:tcW w:w="600" w:type="dxa"/>
            <w:vAlign w:val="bottom"/>
            <w:tcBorders>
              <w:bottom w:val="single" w:sz="8" w:color="auto"/>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210"/>
        </w:trPr>
        <w:tc>
          <w:tcPr>
            <w:tcW w:w="27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TG-1801 (anti-CD47/CD19)</w:t>
            </w:r>
          </w:p>
        </w:tc>
        <w:tc>
          <w:tcPr>
            <w:tcW w:w="600" w:type="dxa"/>
            <w:vAlign w:val="bottom"/>
            <w:tcBorders>
              <w:bottom w:val="single" w:sz="8" w:color="auto"/>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6485255</wp:posOffset>
            </wp:positionH>
            <wp:positionV relativeFrom="paragraph">
              <wp:posOffset>-890905</wp:posOffset>
            </wp:positionV>
            <wp:extent cx="82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-890905</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-890905</wp:posOffset>
            </wp:positionV>
            <wp:extent cx="82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Ublituximab Overview</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Ublituximab is an investigational glycoengineered monoclonal antibody that targets a unique epitope on CD20-expressing B-cells. When ublituximab binds to the B-cell it triggers a series of immunological reactions (including antibody-dependent cellular cytotoxicity (ADCC) and complement dependent cytotoxicity (CDC), leading to destruction of the cell. Additionally, ublituximab is uniquely designed to lack certain sugar molecules normally expressed on the antibody. Removal of these sugar molecules, a process called glycoengineering, has been shown to enhance the potency of ublituximab, especially the ADCC activity.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Targeting CD20 using monoclonal antibodies has proven to be an important therapeutic approach for the management of B-cell malignancies and autoimmune disorders, both diseases driven by the abnormal growth or function of B-cells.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Ublituximab is being evaluated in pivotal and early phase clinical trials for patients with NHL, CLL, and RMS. In December 2020, we announced initiation of a rolling BLA submission of ublituximab in combination with umbralisib for the treatment of CLL based on the results of the UNITY-CLL Phase 3 trial.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Umbralisib - UKONIQ Overview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Umbralisib is an oral inhibitor of PI3K-delta and CK1-epsilon administered once daily. The phosphoinositide-3-kinases (PI3Ks) are a family of enzymes involved in many important cellular functions, including cell proliferation and survival, cell differentiation, intracellular trafficking, and immunity.</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There are 4 isoforms of PI3K (alpha, beta, delta, and gamma), of which the delta isoform is highly expressed in hematopoietic cells and malignant lymphoid diseases. Dysregulation of the PI3K pathway is among one of the most commonly mutated pathways across all of cancer biology. Umbralisib is highly selective for the delta isoform of PI3K and has limited to no impact on the other PI3K isoforms. Umbralisib also inhibits casein kinase 1 epsilon (CK1-epsilon). CK1-epsilon is a major regulator of oncoprotein translation, which drives growth and survival of lymphoma cells, including c-Myc. A manuscript titled, "Silencing c-Myc Translation as a Therapeutic Strategy through Targeting PI3K Delta and CK1 Epsilon in Hematological Malignancies," was published in the First Edition section of Blood, the Journal of the American Society of Hematology. Importantly, the manuscript for the first time reported on umbralisib’s unique complimentary mechanism of inhibiting the protein kinase casein kinase-1 epsilon (CK1e), which may lead to a differentiated safety profile by supporting T regulatory cells, a part of the immune system necessary to protect against autoimmune mediated toxicities.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commercializing umbralisib in the U.S. for the treatment of relapsed or refractory MZL and FL under the brand name UKONIQ. In February 2021, we obtained accelerated approval of UKONIQ by the FDA for the treatment of adult patients with relapsed or refractory MZL who have received at least 1 prior anti-CD20-based regimen and adult patients with relapsed or refractory FL who have received at least 3 prior lines of systemic therapy. Both indications were approved based on overall response rate observed in the UNITY-NHL trial. Continued approval for these indications may be contingent upon verification and description of clinical benefit in a confirmatory trial. In December 2020, we announced initiation of a rolling BLA submission of umbralisib in combination with ublituximab for the treatment of CLL based on the results of the UNITY-CLL trial. In addition, we are studying umbralisib in combination regimens with ublituximab and other treatments, including venetoclax and TG-1701, our investigational Bruton's tyrosine kinase (BTK) inhibitor.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Clinical Development of Ublituximab and Umbralisib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Ublituximab (TG-1101) in Relapsed/Refractory NHL &amp; CLL</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In February 2017, data from the Phase 1/2 trial of ublituximab (TG-1101) were published in the </w:t>
      </w:r>
      <w:r>
        <w:rPr>
          <w:rFonts w:ascii="Arial" w:cs="Arial" w:eastAsia="Arial" w:hAnsi="Arial"/>
          <w:sz w:val="18"/>
          <w:szCs w:val="18"/>
          <w:i w:val="1"/>
          <w:iCs w:val="1"/>
          <w:color w:val="auto"/>
        </w:rPr>
        <w:t>British Journal of Haematology</w:t>
      </w:r>
      <w:r>
        <w:rPr>
          <w:rFonts w:ascii="Arial" w:cs="Arial" w:eastAsia="Arial" w:hAnsi="Arial"/>
          <w:sz w:val="18"/>
          <w:szCs w:val="18"/>
          <w:color w:val="auto"/>
        </w:rPr>
        <w:t xml:space="preserve"> in a manuscript titled “A phase 1/2 trial of ublituximab, a novel, glycoengineered anti-CD20 monoclonal antibody, in patients with B-cell non-Hodgkin lymphoma or chronic lymphocytic leukemia previously exposed to rituximab”.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Ublituximab (TG-1101) in Relapsing Forms of Multiple Sclerosis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May 2016, we commenced our first study of ublituximab in patients with RMS, a chronic demyelinating disease of the CNS. The study, entitled "A Placebo-Controlled Multi-Center Phase 2 Dose Finding Study of Ublituximab, a Third-Generation Anti-CD20 Monoclonal Antibody, in Patients with Relapsing Forms of Multiple Sclerosis," was led by Edward Fox, MD, PhD, Director of the Multiple Sclerosis Clinic of Central Texas and Clinical Associate Professor at the University of Texas Dell Medical School in Austin, TX. The</w:t>
      </w:r>
    </w:p>
    <w:p>
      <w:pPr>
        <w:sectPr>
          <w:pgSz w:w="11900" w:h="16838" w:orient="portrait"/>
          <w:cols w:equalWidth="0" w:num="1">
            <w:col w:w="10220"/>
          </w:cols>
          <w:pgMar w:left="840" w:top="517" w:right="839" w:bottom="1440" w:gutter="0" w:footer="0" w:header="0"/>
        </w:sect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394335</wp:posOffset>
            </wp:positionV>
            <wp:extent cx="6497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primary objective of the study was to determine the optimal dosing regimen for ublituximab with a focus on accelerating infusion times. In addition to monitoring for safety and tolerability at each dosing cohort, B-cell depletion and established MS efficacy endpoints were also evaluated.</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October 2018, final data from this Phase 2 study were presented at the 34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Congress of the European Committee for Treatment and Research in Multiple Sclerosis (ECTRIMS) meeting in Berlin, Germany. The presentation included final data on all 48 patients enrolled in the study through 48 weeks of treatment. Ublituximab was well tolerated across all patients including those receiving rapid infusions, as low as a one hour for the 450mg dose currently being studied in the Phase 3 ULTIMATE program and no study drug related discontinuations occurred. Median B cell depletion was &gt;99% at the primary analysis point of Week 4 (n=48) and maintained at Week 24 and Week 48. Ublituximab also completely eliminated all (100%) T1 Gd-enhancing lesions at Week 24 and maintained complete elimination at Week 48 (n=46) and an ARR of 0.07 was observed with 93% of subjects relapse free at Week 48.</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October of 2019, at the 35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Congress of the ECTRIMS meeting in Stockholm, Sweden, we re-presented the final 48-week data from the Phase 2 trial, and also presented long-term follow-up data for 45 patients from the Phase 2 trial that enrolled into the Open Label Extension (OLE) trial. With a median duration of follow-up of 124.7 weeks, ublituximab continued to be well tolerated, no subjects discontinued due to an adverse event (AE) related to ublituximab, and AEs deemed at least possibly related to ublituximab were infrequent with all patients dosed at 450mg administered in a one-hour infusion. Additionally, infusion related reactions (IRRs) were rare during the OLE, occurring in only 5 patients (11%) all Grade 1 or 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Umbralisib (TGR-1202) in Patients with Relapsed/Refractory Hematologic Malignancies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February 2018, data from this first-in-human Phase 1 clinical trial of umbralisib was published in The Lancet Oncology. The manuscript was titled, “Umbralisib, a novel PI3K and casein kinase-1 epsilon inhibitor, in relapsed or refractory chronic lymphocytic leukemia and lymphoma: an open-label, phase 1, dose-escalation, first-in-human study.”</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addition to the above Phase 1 trials for ublituximab and umbralisib, the following Phase 1 and Phase 2 studies were conducted:</w:t>
      </w:r>
    </w:p>
    <w:p>
      <w:pPr>
        <w:spacing w:after="0" w:line="244" w:lineRule="exact"/>
        <w:rPr>
          <w:sz w:val="20"/>
          <w:szCs w:val="20"/>
          <w:color w:val="auto"/>
        </w:rPr>
      </w:pPr>
    </w:p>
    <w:p>
      <w:pPr>
        <w:jc w:val="both"/>
        <w:ind w:left="980" w:right="20" w:hanging="315"/>
        <w:spacing w:after="0" w:line="286"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Phase 1/2 Study of Umbralisib, Ublituximab and Venetoclax in patients with relapsed or refractory CLL –</w:t>
      </w:r>
      <w:r>
        <w:rPr>
          <w:rFonts w:ascii="Arial" w:cs="Arial" w:eastAsia="Arial" w:hAnsi="Arial"/>
          <w:sz w:val="16"/>
          <w:szCs w:val="16"/>
          <w:b w:val="1"/>
          <w:bCs w:val="1"/>
          <w:color w:val="auto"/>
        </w:rPr>
        <w:t xml:space="preserve"> </w:t>
      </w:r>
      <w:r>
        <w:rPr>
          <w:rFonts w:ascii="Arial" w:cs="Arial" w:eastAsia="Arial" w:hAnsi="Arial"/>
          <w:sz w:val="16"/>
          <w:szCs w:val="16"/>
          <w:color w:val="auto"/>
        </w:rPr>
        <w:t>In December</w:t>
      </w:r>
      <w:r>
        <w:rPr>
          <w:rFonts w:ascii="Arial" w:cs="Arial" w:eastAsia="Arial" w:hAnsi="Arial"/>
          <w:sz w:val="16"/>
          <w:szCs w:val="16"/>
          <w:b w:val="1"/>
          <w:bCs w:val="1"/>
          <w:color w:val="auto"/>
        </w:rPr>
        <w:t xml:space="preserve"> </w:t>
      </w:r>
      <w:r>
        <w:rPr>
          <w:rFonts w:ascii="Arial" w:cs="Arial" w:eastAsia="Arial" w:hAnsi="Arial"/>
          <w:sz w:val="16"/>
          <w:szCs w:val="16"/>
          <w:color w:val="auto"/>
        </w:rPr>
        <w:t>2020, we presented data from patients with relapsed/refractory CLL treated with the triple therapy combination of ublituximab, umbralisib and venetoclax during the 62nd ASH annual meeting and exposition. At the time of presentation, 43 patients were evaluable for safety and 29 were evaluable for efficacy. The triple therapy regimen was administered with 3 cycles of U2 as induction in cycles 1 through 3, U2 plus venetoclax in cycles 4,5 and 6, followed by umbralisib plus venetoclax in cycles 7 through 12 in patients with R/R CLL. Patients with centrally confirmed undetectable minimal residual disease (uMRD) in the bone marrow after cycle 12 were permitted to stop all therapy, while MRD detectable patients continued on single agent umbralisib. Among evaluable patients, ORR was 77% (30/39) after cycle 3 (U2 only), 100% (31/31) after cycle 7, and 100% (27/27) after cycle 12. Among the 27 patients who finished 12 cycles of therapy, 41% achieved a complete response (CR) by iwCLL criteria, 96% achieved undetectable MRD in the peripheral blood and 77% achieved undetectable MRD in the bone marrow. At a median follow up of 15.6 months (n=43), only 1 patient has progressed, occurring 10 months after stopping treatment in cycle 12. Grade 3/4 adverse events occurring in &gt; 5% of patients were neutropenia (21%), leukopenia (12%), infusion related reactions (7%), anemia (5%), and diarrhea (5%). No TLS events were observed during venetoclax administration, with one TLS event occurring prior to venetoclax administration.</w:t>
      </w:r>
    </w:p>
    <w:p>
      <w:pPr>
        <w:spacing w:after="0" w:line="170" w:lineRule="exact"/>
        <w:rPr>
          <w:rFonts w:ascii="Arial" w:cs="Arial" w:eastAsia="Arial" w:hAnsi="Arial"/>
          <w:sz w:val="16"/>
          <w:szCs w:val="16"/>
          <w:color w:val="auto"/>
        </w:rPr>
      </w:pPr>
    </w:p>
    <w:p>
      <w:pPr>
        <w:jc w:val="both"/>
        <w:ind w:left="980" w:right="20" w:hanging="315"/>
        <w:spacing w:after="0" w:line="287"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Phase 1 Study of TG-1701, a Once-Daily BTK inhibitor, as a Single Agent and in Triple Combination with Umbralisib and Ublituximab in patients with relapsed or refractory NHL and CLL –</w:t>
      </w:r>
      <w:r>
        <w:rPr>
          <w:rFonts w:ascii="Arial" w:cs="Arial" w:eastAsia="Arial" w:hAnsi="Arial"/>
          <w:sz w:val="16"/>
          <w:szCs w:val="16"/>
          <w:b w:val="1"/>
          <w:bCs w:val="1"/>
          <w:color w:val="auto"/>
        </w:rPr>
        <w:t xml:space="preserve"> </w:t>
      </w:r>
      <w:r>
        <w:rPr>
          <w:rFonts w:ascii="Arial" w:cs="Arial" w:eastAsia="Arial" w:hAnsi="Arial"/>
          <w:sz w:val="16"/>
          <w:szCs w:val="16"/>
          <w:color w:val="auto"/>
        </w:rPr>
        <w:t>In December 2020, we presented data from</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with relapsed/refractory NHL and CLL treated with TG-1701 monotherapy and the triple therapy combination of TG-1701, umbralisib and ublituximab during the 62nd ASH annual meeting and exposition. A total of 102 patients with R/R CLL or b-cell lymphoma have been treated with TG-1701, with patients receiving monotherapy in the dose-escalation cohort (n=25) or in the 200 mg dose-expansion cohort (n=61), or TG-1701 in combination with U2 in the dose escalation cohort (n=16). TG-1701 monotherapy was well tolerated and the maximum tolerated dose was not reached up through 400 mg QD. Grade 3/4 adverse events (AE) occurring in &gt;10% of patients treated with TG-1701 monotherapy were limited and included ALT increase (12%), all of which were patients treated with 400 mg QD. At the target single-agent Phase 2 dose of 200mg (QD) (n=61), AEs of special interest included Grade 3 hypertension (1.6%), atrial fibrillation (1.6%), and no instances of major bleeding observed. Grade 3/4 AEs occurring in &gt;10% of patients treated with U2+1701 were ALT increase (25%), AST increase (19%) and neutropenia (12%). At a median follow up of 7 months in the 200 mg QD monotherapy expansion cohorts, preliminary</w:t>
      </w:r>
    </w:p>
    <w:p>
      <w:pPr>
        <w:sectPr>
          <w:pgSz w:w="11900" w:h="16838" w:orient="portrait"/>
          <w:cols w:equalWidth="0" w:num="1">
            <w:col w:w="10220"/>
          </w:cols>
          <w:pgMar w:left="840" w:top="517" w:right="8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overall response rates (ORR) were: 95% (19/20) in CLL, 50% (6/12) in mantle cell lymphoma (MCL), and 95% (18/19) in Waldenstrom macroglobulinemia (WM). At a median follow up of 12 months, the 1701+U2 dose escalation (using doses of 100mg to 300 mg QD of TG-1701) resulted in 79% ORR, with 22% CR rate across patients with WM, CLL, MZL, diffuse large B-cell lymphoma (DLBCL) and FL (n=14).</w:t>
      </w:r>
    </w:p>
    <w:p>
      <w:pPr>
        <w:spacing w:after="0" w:line="183" w:lineRule="exact"/>
        <w:rPr>
          <w:sz w:val="20"/>
          <w:szCs w:val="20"/>
          <w:color w:val="auto"/>
        </w:rPr>
      </w:pPr>
    </w:p>
    <w:p>
      <w:pPr>
        <w:jc w:val="both"/>
        <w:ind w:left="980" w:hanging="315"/>
        <w:spacing w:after="0" w:line="274"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auto"/>
        </w:rPr>
        <w:t>Ublituximab in Combination with Umbralisib with/without ibrutinib or bendamustine for Relapsed/Refractory NHL &amp; CLL—</w:t>
      </w:r>
      <w:r>
        <w:rPr>
          <w:rFonts w:ascii="Arial" w:cs="Arial" w:eastAsia="Arial" w:hAnsi="Arial"/>
          <w:sz w:val="17"/>
          <w:szCs w:val="17"/>
          <w:b w:val="1"/>
          <w:bCs w:val="1"/>
          <w:color w:val="auto"/>
        </w:rPr>
        <w:t xml:space="preserve"> </w:t>
      </w:r>
      <w:r>
        <w:rPr>
          <w:rFonts w:ascii="Arial" w:cs="Arial" w:eastAsia="Arial" w:hAnsi="Arial"/>
          <w:sz w:val="17"/>
          <w:szCs w:val="17"/>
          <w:color w:val="auto"/>
        </w:rPr>
        <w:t>In November 2013, we initiated a multi-center, Phase I study to evaluate the safety and efficacy of the combination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U2, for patients with relapsed and/or refractory CLL and NHL. The MD Anderson Cancer Center was the lead center for this clinical trial. Additional cohorts were added to this study to explore the triple therapy combination of U2 plus ibrutinib and the triple therapy combination of U2 plus bendamustine. Both U2 and the triplet combinations demonstrated acceptable levels of tolerability with promising activity. Data highlights include the following:</w:t>
      </w:r>
    </w:p>
    <w:p>
      <w:pPr>
        <w:spacing w:after="0" w:line="173" w:lineRule="exact"/>
        <w:rPr>
          <w:sz w:val="20"/>
          <w:szCs w:val="20"/>
          <w:color w:val="auto"/>
        </w:rPr>
      </w:pPr>
    </w:p>
    <w:p>
      <w:pPr>
        <w:ind w:left="1320" w:hanging="331"/>
        <w:spacing w:after="0"/>
        <w:tabs>
          <w:tab w:leader="none" w:pos="1320" w:val="left"/>
        </w:tabs>
        <w:numPr>
          <w:ilvl w:val="0"/>
          <w:numId w:val="19"/>
        </w:numPr>
        <w:rPr>
          <w:rFonts w:ascii="Courier New" w:cs="Courier New" w:eastAsia="Courier New" w:hAnsi="Courier New"/>
          <w:sz w:val="18"/>
          <w:szCs w:val="18"/>
          <w:color w:val="auto"/>
        </w:rPr>
      </w:pPr>
      <w:r>
        <w:rPr>
          <w:rFonts w:ascii="Arial" w:cs="Arial" w:eastAsia="Arial" w:hAnsi="Arial"/>
          <w:sz w:val="18"/>
          <w:szCs w:val="18"/>
          <w:b w:val="1"/>
          <w:bCs w:val="1"/>
          <w:u w:val="single" w:color="auto"/>
          <w:color w:val="auto"/>
        </w:rPr>
        <w:t>Ublituximab plus Umbralisib (U2):</w:t>
      </w:r>
    </w:p>
    <w:p>
      <w:pPr>
        <w:spacing w:after="0" w:line="205"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In September of 2019, results from the Phase I/IB combination trial of U2 were published in Blood, the Journal of the</w:t>
      </w:r>
    </w:p>
    <w:p>
      <w:pPr>
        <w:ind w:left="1640"/>
        <w:spacing w:after="0" w:line="287" w:lineRule="auto"/>
        <w:rPr>
          <w:sz w:val="20"/>
          <w:szCs w:val="20"/>
          <w:color w:val="auto"/>
        </w:rPr>
      </w:pPr>
      <w:r>
        <w:rPr>
          <w:rFonts w:ascii="Arial" w:cs="Arial" w:eastAsia="Arial" w:hAnsi="Arial"/>
          <w:sz w:val="16"/>
          <w:szCs w:val="16"/>
          <w:color w:val="auto"/>
        </w:rPr>
        <w:t>American Society of Hematology in a manuscript titled, “Ublituximab and Umbralisib in Relapsed/ Refractory B-cell Non-Hodgkin Lymphoma and Chronic Lymphocytic Leukemia”. The paper includes safety and efficacy information from 22 patients with CLL or SLL and 53 patients with NHL treated with the combination of U2. Safety data was available from all 75 patients and demonstrated that the U2 combination was well tolerated with the majority of adverse events (AEs) being grade 1 or 2 in severity and no maximum tolerated dose achieved in either CLL or NHL. Importantly, U2 exhibited low rates of immune-mediated toxicities, typically associated with other PI3K-delta inhibitors including colitis, pneumonia/pneumonitis, or hepatic toxicity, and discontinuations due to AEs were limited (13%).Efficacy data was available from 69 patients and showed the combination to be highly active with a 72.5% clinical benefit rate (defined as patients obtaining a Complete Response, Partial Response, or Stable Disease) across all subtypes of B-cell cancers enrolled in the study. Of note, a median PFS of 27.57 months was observed in patients with relapsed/refractory CLL (n=15) treated at therapeutic dose levels of umbralisib and a 65% ORR was observed in patients relapsed/refractory indolent NHL (n=20), including a 100% ORR amongst MZL patients (n=5).</w:t>
      </w:r>
    </w:p>
    <w:p>
      <w:pPr>
        <w:spacing w:after="0" w:line="203" w:lineRule="exact"/>
        <w:rPr>
          <w:sz w:val="20"/>
          <w:szCs w:val="20"/>
          <w:color w:val="auto"/>
        </w:rPr>
      </w:pPr>
    </w:p>
    <w:p>
      <w:pPr>
        <w:jc w:val="both"/>
        <w:ind w:left="1320" w:hanging="331"/>
        <w:spacing w:after="0" w:line="253" w:lineRule="auto"/>
        <w:tabs>
          <w:tab w:leader="none" w:pos="1320" w:val="left"/>
        </w:tabs>
        <w:numPr>
          <w:ilvl w:val="0"/>
          <w:numId w:val="21"/>
        </w:numPr>
        <w:rPr>
          <w:rFonts w:ascii="Courier New" w:cs="Courier New" w:eastAsia="Courier New" w:hAnsi="Courier New"/>
          <w:sz w:val="18"/>
          <w:szCs w:val="18"/>
          <w:color w:val="auto"/>
        </w:rPr>
      </w:pPr>
      <w:r>
        <w:rPr>
          <w:rFonts w:ascii="Arial" w:cs="Arial" w:eastAsia="Arial" w:hAnsi="Arial"/>
          <w:sz w:val="18"/>
          <w:szCs w:val="18"/>
          <w:b w:val="1"/>
          <w:bCs w:val="1"/>
          <w:u w:val="single" w:color="auto"/>
          <w:color w:val="auto"/>
        </w:rPr>
        <w:t>U2 plus Bendamustine:</w:t>
      </w:r>
      <w:r>
        <w:rPr>
          <w:rFonts w:ascii="Arial" w:cs="Arial" w:eastAsia="Arial" w:hAnsi="Arial"/>
          <w:sz w:val="18"/>
          <w:szCs w:val="18"/>
          <w:b w:val="1"/>
          <w:bCs w:val="1"/>
          <w:color w:val="auto"/>
        </w:rPr>
        <w:t xml:space="preserve"> </w:t>
      </w:r>
      <w:r>
        <w:rPr>
          <w:rFonts w:ascii="Arial" w:cs="Arial" w:eastAsia="Arial" w:hAnsi="Arial"/>
          <w:sz w:val="18"/>
          <w:szCs w:val="18"/>
          <w:color w:val="auto"/>
        </w:rPr>
        <w:t>In December 2018, updated data for the U2 plus bendamustine cohort was presented at the 60th</w:t>
      </w:r>
      <w:r>
        <w:rPr>
          <w:rFonts w:ascii="Arial" w:cs="Arial" w:eastAsia="Arial" w:hAnsi="Arial"/>
          <w:sz w:val="18"/>
          <w:szCs w:val="18"/>
          <w:b w:val="1"/>
          <w:bCs w:val="1"/>
          <w:color w:val="auto"/>
        </w:rPr>
        <w:t xml:space="preserve"> </w:t>
      </w:r>
      <w:r>
        <w:rPr>
          <w:rFonts w:ascii="Arial" w:cs="Arial" w:eastAsia="Arial" w:hAnsi="Arial"/>
          <w:sz w:val="18"/>
          <w:szCs w:val="18"/>
          <w:color w:val="auto"/>
        </w:rPr>
        <w:t>ASH Annual Meeting. Overall, the U2 plus bendamustine combination was well tolerated and highly active in patients with advanced indolent and aggressive NHL, including those not eligible for HD/SCT or CD19 CART therapy. Efficacy highlights from this poster included an 85% (11 of 13) ORR including a 54% CR rate in patients with relapsed or refractory FL.</w:t>
      </w:r>
    </w:p>
    <w:p>
      <w:pPr>
        <w:spacing w:after="0" w:line="188" w:lineRule="exact"/>
        <w:rPr>
          <w:rFonts w:ascii="Courier New" w:cs="Courier New" w:eastAsia="Courier New" w:hAnsi="Courier New"/>
          <w:sz w:val="18"/>
          <w:szCs w:val="18"/>
          <w:color w:val="auto"/>
        </w:rPr>
      </w:pPr>
    </w:p>
    <w:p>
      <w:pPr>
        <w:jc w:val="both"/>
        <w:ind w:left="1320" w:hanging="331"/>
        <w:spacing w:after="0" w:line="268" w:lineRule="auto"/>
        <w:tabs>
          <w:tab w:leader="none" w:pos="1320" w:val="left"/>
        </w:tabs>
        <w:numPr>
          <w:ilvl w:val="0"/>
          <w:numId w:val="21"/>
        </w:numPr>
        <w:rPr>
          <w:rFonts w:ascii="Courier New" w:cs="Courier New" w:eastAsia="Courier New" w:hAnsi="Courier New"/>
          <w:sz w:val="17"/>
          <w:szCs w:val="17"/>
          <w:color w:val="auto"/>
        </w:rPr>
      </w:pPr>
      <w:r>
        <w:rPr>
          <w:rFonts w:ascii="Arial" w:cs="Arial" w:eastAsia="Arial" w:hAnsi="Arial"/>
          <w:sz w:val="17"/>
          <w:szCs w:val="17"/>
          <w:b w:val="1"/>
          <w:bCs w:val="1"/>
          <w:u w:val="single" w:color="auto"/>
          <w:color w:val="auto"/>
        </w:rPr>
        <w:t>U2 plus Ibrutinib:</w:t>
      </w:r>
      <w:r>
        <w:rPr>
          <w:rFonts w:ascii="Arial" w:cs="Arial" w:eastAsia="Arial" w:hAnsi="Arial"/>
          <w:sz w:val="17"/>
          <w:szCs w:val="17"/>
          <w:b w:val="1"/>
          <w:bCs w:val="1"/>
          <w:color w:val="auto"/>
        </w:rPr>
        <w:t xml:space="preserve"> </w:t>
      </w:r>
      <w:r>
        <w:rPr>
          <w:rFonts w:ascii="Arial" w:cs="Arial" w:eastAsia="Arial" w:hAnsi="Arial"/>
          <w:sz w:val="17"/>
          <w:szCs w:val="17"/>
          <w:color w:val="auto"/>
        </w:rPr>
        <w:t>In January 2019, we announced the publication of results from the U2 plus ibrutinib cohort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Lancet Haematology in a manuscript titled, “Tolerability and activity of ublituximab, umbralisib, and ibrutinib in patients with chronic lymphocytic leukemia and non-Hodgkin lymphoma: a phase 1 dose escalation and expansion trial”. Safety data was available from 46 patients and the triple combination of ublituximab, umbralisib, and ibrutinib was well tolerated with a manageable adverse event profile and no maximum tolerated dose achieved for the combination. Efficacy data was available from 44 patients and showed the U2 plus ibrutinib combination to be highly active. The ORR amongst all evaluable patients was 84%, with 100% (22 of 22) of patients with CLL/SLL achieving a response, including 36% achieving a CR. Among patients with NHL, 68% (15 of 22) achieved a response, including a 71% ORR in FL (n=7), a 100% ORR in MZL (n=3), and a 100% ORR in MCL (n=6).</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980" w:hanging="315"/>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Umbralisib as a single agent in CLL patients who are intolerant to prior BTK inhibitor or PI3K delta inhibitor therapy</w:t>
      </w:r>
    </w:p>
    <w:p>
      <w:pPr>
        <w:spacing w:after="0" w:line="50" w:lineRule="exact"/>
        <w:rPr>
          <w:rFonts w:ascii="Arial" w:cs="Arial" w:eastAsia="Arial" w:hAnsi="Arial"/>
          <w:sz w:val="16"/>
          <w:szCs w:val="16"/>
          <w:color w:val="auto"/>
        </w:rPr>
      </w:pPr>
    </w:p>
    <w:p>
      <w:pPr>
        <w:jc w:val="both"/>
        <w:ind w:left="980"/>
        <w:spacing w:after="0" w:line="285" w:lineRule="auto"/>
        <w:rPr>
          <w:rFonts w:ascii="Arial" w:cs="Arial" w:eastAsia="Arial" w:hAnsi="Arial"/>
          <w:sz w:val="16"/>
          <w:szCs w:val="16"/>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December 2020, we announced the publication of results from 51 patients with CLL who were intolerant to prior BTK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PI3K delta inhibitor therapy who were then treated with single agent umbralisib in Blood, the Journal of the American Society of Hematology. Umbralisib demonstrated a favorable safety profile with only 12% of patients discontinuing due to an umbralisib related adverse event, of which only one patient discontinued due to a recurrent AE also experienced with prior kinase inhibitor therapy. </w:t>
      </w:r>
      <w:r>
        <w:rPr>
          <w:rFonts w:ascii="Arial" w:cs="Arial" w:eastAsia="Arial" w:hAnsi="Arial"/>
          <w:sz w:val="16"/>
          <w:szCs w:val="16"/>
          <w:color w:val="212121"/>
        </w:rPr>
        <w:t>Most common (≥5%) grade ≥3 AEs on umbralisib (all causality) were neutropenia (18%), leukocytosis</w:t>
      </w:r>
      <w:r>
        <w:rPr>
          <w:rFonts w:ascii="Arial" w:cs="Arial" w:eastAsia="Arial" w:hAnsi="Arial"/>
          <w:sz w:val="16"/>
          <w:szCs w:val="16"/>
          <w:color w:val="auto"/>
        </w:rPr>
        <w:t xml:space="preserve"> </w:t>
      </w:r>
      <w:r>
        <w:rPr>
          <w:rFonts w:ascii="Arial" w:cs="Arial" w:eastAsia="Arial" w:hAnsi="Arial"/>
          <w:sz w:val="16"/>
          <w:szCs w:val="16"/>
          <w:color w:val="212121"/>
        </w:rPr>
        <w:t xml:space="preserve">(14%), thrombocytopenia (12%), pneumonia (12%), and diarrhea (8%). </w:t>
      </w:r>
      <w:r>
        <w:rPr>
          <w:rFonts w:ascii="Arial" w:cs="Arial" w:eastAsia="Arial" w:hAnsi="Arial"/>
          <w:sz w:val="16"/>
          <w:szCs w:val="16"/>
          <w:color w:val="000000"/>
        </w:rPr>
        <w:t>As of the data presentation, over half of the patients</w:t>
      </w:r>
      <w:r>
        <w:rPr>
          <w:rFonts w:ascii="Arial" w:cs="Arial" w:eastAsia="Arial" w:hAnsi="Arial"/>
          <w:sz w:val="16"/>
          <w:szCs w:val="16"/>
          <w:color w:val="212121"/>
        </w:rPr>
        <w:t xml:space="preserve"> </w:t>
      </w:r>
      <w:r>
        <w:rPr>
          <w:rFonts w:ascii="Arial" w:cs="Arial" w:eastAsia="Arial" w:hAnsi="Arial"/>
          <w:sz w:val="16"/>
          <w:szCs w:val="16"/>
          <w:color w:val="000000"/>
        </w:rPr>
        <w:t>enrolled had been on umbralisib for a duration longer than their prior kinase inhibitor. The estimated median progression free survival (PFS) was 23.5 months (95% confidence interval: 13.1 – Not Estimable). Enrollment is now closed with patients continuing to be followed. In December 2020, data from this trial was described further in the manuscript entitled, “Phase 2 Study of the Safety and Efficacy of Umbralisib in Patients with CLL Who Are Intolerant to BTK or PI3Kδ Inhibitor Therapy,” which was published online in the First Edition section of Blood, the Journal of the American Society of Haematology.</w:t>
      </w:r>
    </w:p>
    <w:p>
      <w:pPr>
        <w:spacing w:after="0" w:line="170" w:lineRule="exact"/>
        <w:rPr>
          <w:rFonts w:ascii="Arial" w:cs="Arial" w:eastAsia="Arial" w:hAnsi="Arial"/>
          <w:sz w:val="16"/>
          <w:szCs w:val="16"/>
          <w:color w:val="auto"/>
        </w:rPr>
      </w:pPr>
    </w:p>
    <w:p>
      <w:pPr>
        <w:jc w:val="both"/>
        <w:ind w:left="980" w:hanging="315"/>
        <w:spacing w:after="0" w:line="285"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Phase 2 trial of Umbralisib plus Ibrutinib in patients with relapsed or refractory CLL and MCL</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December 2018,</w:t>
      </w:r>
      <w:r>
        <w:rPr>
          <w:rFonts w:ascii="Arial" w:cs="Arial" w:eastAsia="Arial" w:hAnsi="Arial"/>
          <w:sz w:val="16"/>
          <w:szCs w:val="16"/>
          <w:b w:val="1"/>
          <w:bCs w:val="1"/>
          <w:color w:val="auto"/>
        </w:rPr>
        <w:t xml:space="preserve"> </w:t>
      </w:r>
      <w:r>
        <w:rPr>
          <w:rFonts w:ascii="Arial" w:cs="Arial" w:eastAsia="Arial" w:hAnsi="Arial"/>
          <w:sz w:val="16"/>
          <w:szCs w:val="16"/>
          <w:color w:val="auto"/>
        </w:rPr>
        <w:t>we announced the publication of results from the multicenter Phase 1/1b trial of umbralisib in combination with ibrutinib, the oral BTK inhibitor, in Lancet Haematology. This investigator-initiated trial was conducted at Dana-Farber Cancer Institute and four additional centers across the USA in collaboration with the Leukemia and Lymphoma Society, Blood Cancer Research Partnership with funding by TG Therapeutics. The publication includes safety and efficacy information from a total of 42 relapsed or refractory patients, 21 with CLL and 21 with MCL. In this study, the combination of umbralisib and ibrutinib was well tolerated and consistent with the additive toxicity profile of the two drugs individually. No dose-limiting toxicities were observed, and the maximum-tolerated dose of umbralisib when combined with ibrutinib was not reached. The recommended phase 2 dose of umbralisib when given in combination with ibrutinib was 800 mg once daily. Importantly, serious immune-mediated toxicities were not observed with this combination, as had previously been reported with combinations of different agents targeting this pathway, with only one case of transient Grade 3 transaminitis and no Grade 3/4 colitis or pneumonitis. The combination of umbralisib and ibrutinib was also clinically active, with 90% of relapsed/refractory CLL patients achieving an overall response (n=19), of which 62% (n=13) achieved a partial response or partial response with lymphocytosis, and 29% (n=6) achieved a complete response. Of the 21 patients treated with MCL, 67% (n=14) achieved an overall response, of which 48% (n=10) achieved a partial response and 19% (n=4) achieved a complete response. In June 2020, updated long term data from this trial were presented at the 25th European Hematology Association (EHA) Annual Congress. As of the updated data cutoff, 42 patients were evaluable for safety and efficacy (21 CLL patients and 21 MCL patients). With long term follow up (median follow-up of 43.5 months (range 8.4-61), there were no cumulative or recurrent late onset toxicities observed. In relapsed/refractory CLL, the overall response rate was 95% including a 29% complete response (CR) rate, and the 4-year Progression-free Survival (PFS) and Overall Survival (OS) were 78% and 90%, respectively. In relapsed/refractory MCL, the ORR was 71% with a 24% CR rate, and median PFS and OS were 10.8 and 30.7 months, respectively.</w:t>
      </w:r>
    </w:p>
    <w:p>
      <w:pPr>
        <w:spacing w:after="0" w:line="163" w:lineRule="exact"/>
        <w:rPr>
          <w:rFonts w:ascii="Arial" w:cs="Arial" w:eastAsia="Arial" w:hAnsi="Arial"/>
          <w:sz w:val="16"/>
          <w:szCs w:val="16"/>
          <w:color w:val="auto"/>
        </w:rPr>
      </w:pPr>
    </w:p>
    <w:p>
      <w:pPr>
        <w:jc w:val="both"/>
        <w:ind w:left="980" w:hanging="315"/>
        <w:spacing w:after="0" w:line="272"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Phase 2 trial of Ublituximab plus Ibrutinib in patients with relapsed or refractory CLL and Mantle Cell Lymphoma (MCL)—</w:t>
      </w:r>
      <w:r>
        <w:rPr>
          <w:rFonts w:ascii="Arial" w:cs="Arial" w:eastAsia="Arial" w:hAnsi="Arial"/>
          <w:sz w:val="17"/>
          <w:szCs w:val="17"/>
          <w:b w:val="1"/>
          <w:bCs w:val="1"/>
          <w:color w:val="auto"/>
        </w:rPr>
        <w:t xml:space="preserve"> </w:t>
      </w:r>
      <w:r>
        <w:rPr>
          <w:rFonts w:ascii="Arial" w:cs="Arial" w:eastAsia="Arial" w:hAnsi="Arial"/>
          <w:sz w:val="17"/>
          <w:szCs w:val="17"/>
          <w:color w:val="auto"/>
        </w:rPr>
        <w:t>In December 2013, we initiated a multi-center Phase 2 clinical trial to evaluate the safety and efficacy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of ublituximab and ibrutinib for patients with CLL and MCL. Jeff P. Sharman, MD, Medical Director, Hematology Research, US Oncology Network, was the Study Chair. This trial has completed enrollment. Final data from the MCL cohort of this study was presented at the 57th ASH meeting held in December 2015, with data from the CLL cohort published in the British Journal of Haematology in December 2016. The combination displayed marked clinical activity, reporting an 88% (35/41) response rate in patients with CLL, a 95% (19/21) response rate in those CLL patients with high-risk cytogenetics, and an 87% (13/15) response rate in patients with MCL.</w:t>
      </w:r>
    </w:p>
    <w:p>
      <w:pPr>
        <w:spacing w:after="0" w:line="171" w:lineRule="exact"/>
        <w:rPr>
          <w:rFonts w:ascii="Arial" w:cs="Arial" w:eastAsia="Arial" w:hAnsi="Arial"/>
          <w:sz w:val="17"/>
          <w:szCs w:val="17"/>
          <w:color w:val="auto"/>
        </w:rPr>
      </w:pPr>
    </w:p>
    <w:p>
      <w:pPr>
        <w:jc w:val="both"/>
        <w:ind w:left="980" w:hanging="315"/>
        <w:spacing w:after="0" w:line="25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early combination studies utilizing umbralisib with approved agents—</w:t>
      </w:r>
      <w:r>
        <w:rPr>
          <w:rFonts w:ascii="Arial" w:cs="Arial" w:eastAsia="Arial" w:hAnsi="Arial"/>
          <w:sz w:val="18"/>
          <w:szCs w:val="18"/>
          <w:b w:val="1"/>
          <w:bCs w:val="1"/>
          <w:color w:val="auto"/>
        </w:rPr>
        <w:t xml:space="preserve"> </w:t>
      </w:r>
      <w:r>
        <w:rPr>
          <w:rFonts w:ascii="Arial" w:cs="Arial" w:eastAsia="Arial" w:hAnsi="Arial"/>
          <w:sz w:val="18"/>
          <w:szCs w:val="18"/>
          <w:color w:val="auto"/>
        </w:rPr>
        <w:t>Umbralisib has been evaluated in</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with the anti-CD30 antibody drug conjugate, brentuximab vedotin, in patients with relapsed or refractory Hodgkin lymphoma and in combination with the JAK inhibitor, ruxolitinib, in patients with Myelofibrosis or Polycythemia Vera. Additional investigator sponsored trials are also underway which are combining umbralisib and or the U2 combination with other approved agents for the treatment of B-cell malignancies.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Phase 3 or Registration Directed Clinical Trials for Ublituximab and Umbralisib:</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have initiated and enrolled several Phase 3 and registration-directed Phase 2b clinical trials (i.e., clinical trials that may support a marketing application for approval). The following are the current Phase 3 trials and registration-directed Phase 2b clinical trials:</w:t>
      </w:r>
    </w:p>
    <w:p>
      <w:pPr>
        <w:sectPr>
          <w:pgSz w:w="11900" w:h="16838" w:orient="portrait"/>
          <w:cols w:equalWidth="0" w:num="1">
            <w:col w:w="10200"/>
          </w:cols>
          <w:pgMar w:left="840" w:top="517" w:right="85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UNITY-NHL Phase 2b Trial: </w:t>
      </w:r>
      <w:r>
        <w:rPr>
          <w:rFonts w:ascii="Arial" w:cs="Arial" w:eastAsia="Arial" w:hAnsi="Arial"/>
          <w:sz w:val="17"/>
          <w:szCs w:val="17"/>
          <w:color w:val="auto"/>
        </w:rPr>
        <w:t>UNITY-NHL is a broad, multicenter, open-label, Phase 2b registration-directed clinical trial designed</w:t>
      </w:r>
      <w:r>
        <w:rPr>
          <w:rFonts w:ascii="Arial" w:cs="Arial" w:eastAsia="Arial" w:hAnsi="Arial"/>
          <w:sz w:val="17"/>
          <w:szCs w:val="17"/>
          <w:b w:val="1"/>
          <w:bCs w:val="1"/>
          <w:color w:val="auto"/>
        </w:rPr>
        <w:t xml:space="preserve"> </w:t>
      </w:r>
      <w:r>
        <w:rPr>
          <w:rFonts w:ascii="Arial" w:cs="Arial" w:eastAsia="Arial" w:hAnsi="Arial"/>
          <w:sz w:val="17"/>
          <w:szCs w:val="17"/>
          <w:color w:val="auto"/>
        </w:rPr>
        <w:t>to evaluate the efficacy and safety of umbralisib monotherapy and U2 combinations in patients with previously treated NHL. The marginal zone lymphoma (MZL) and the follicular lymphoma (FL)/small lymphocytic lymphoma (SLL) single agent umbralisib cohorts of this trial are fully enrolled. These indolent lymphoma cohorts of the trial are being led by Nathan H. Fowler, MD, Associate Professor, Department of Lymphoma/Myeloma at the University of Texas MD Anderson Cancer Center. The primary objective of these cohorts is to assess the efficacy of single agent umbralisib as measured by Overall Response Rate (ORR).</w:t>
      </w:r>
    </w:p>
    <w:p>
      <w:pPr>
        <w:spacing w:after="0" w:line="173" w:lineRule="exact"/>
        <w:rPr>
          <w:sz w:val="20"/>
          <w:szCs w:val="20"/>
          <w:color w:val="auto"/>
        </w:rPr>
      </w:pPr>
    </w:p>
    <w:p>
      <w:pPr>
        <w:jc w:val="both"/>
        <w:ind w:left="980" w:right="20" w:hanging="315"/>
        <w:spacing w:after="0" w:line="281"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UNITY-NHL MZL Single Agent Umbralisib Cohort: </w:t>
      </w:r>
      <w:r>
        <w:rPr>
          <w:rFonts w:ascii="Arial" w:cs="Arial" w:eastAsia="Arial" w:hAnsi="Arial"/>
          <w:sz w:val="17"/>
          <w:szCs w:val="17"/>
          <w:color w:val="auto"/>
        </w:rPr>
        <w:t>The MZL cohort enrolled adult patients who had at least one prior line</w:t>
      </w:r>
      <w:r>
        <w:rPr>
          <w:rFonts w:ascii="Arial" w:cs="Arial" w:eastAsia="Arial" w:hAnsi="Arial"/>
          <w:sz w:val="17"/>
          <w:szCs w:val="17"/>
          <w:b w:val="1"/>
          <w:bCs w:val="1"/>
          <w:color w:val="auto"/>
        </w:rPr>
        <w:t xml:space="preserve"> </w:t>
      </w:r>
      <w:r>
        <w:rPr>
          <w:rFonts w:ascii="Arial" w:cs="Arial" w:eastAsia="Arial" w:hAnsi="Arial"/>
          <w:sz w:val="17"/>
          <w:szCs w:val="17"/>
          <w:color w:val="auto"/>
        </w:rPr>
        <w:t>of therapy that included an anti-CD20 monoclonal antibody. This cohort was designed to evaluate the safety and efficacy of single agent umbralisib and the primary endpoint is ORR as determined by Independent Review Committee (IRC) assessment. Secondary endpoints include safety, duration of response, and progression-free survival (PFS).</w:t>
      </w:r>
    </w:p>
    <w:p>
      <w:pPr>
        <w:spacing w:after="0" w:line="169" w:lineRule="exact"/>
        <w:rPr>
          <w:sz w:val="20"/>
          <w:szCs w:val="20"/>
          <w:color w:val="auto"/>
        </w:rPr>
      </w:pPr>
    </w:p>
    <w:p>
      <w:pPr>
        <w:jc w:val="both"/>
        <w:ind w:left="960"/>
        <w:spacing w:after="0" w:line="257" w:lineRule="auto"/>
        <w:rPr>
          <w:sz w:val="20"/>
          <w:szCs w:val="20"/>
          <w:color w:val="auto"/>
        </w:rPr>
      </w:pPr>
      <w:r>
        <w:rPr>
          <w:rFonts w:ascii="Arial" w:cs="Arial" w:eastAsia="Arial" w:hAnsi="Arial"/>
          <w:sz w:val="18"/>
          <w:szCs w:val="18"/>
          <w:color w:val="auto"/>
        </w:rPr>
        <w:t>In January 2019, the U.S. Food and Drug Administration (FDA) granted Breakthrough Therapy Designation (BTD) to umbralisib for the treatment of adult patients with MZL who have received at least one prior anti-CD20 regimen. The BTD was based on interim data from the MZL cohort of the UNITY-NHL trial. In April 2019, the FDA granted orphan drug designation to umbralisib for the treatment of patients with any of the three types of marginal zone lymphoma (MZL): nodal, extranodal, and splenic MZL.</w:t>
      </w:r>
    </w:p>
    <w:p>
      <w:pPr>
        <w:spacing w:after="0" w:line="188"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In December 2020, at the American Society of Hematology Annual meeting results from the MZL and FL/SLL umbralisib monotherapy cohorts of the UNITY-NHL were presented.</w:t>
      </w:r>
    </w:p>
    <w:p>
      <w:pPr>
        <w:spacing w:after="0" w:line="166" w:lineRule="exact"/>
        <w:rPr>
          <w:sz w:val="20"/>
          <w:szCs w:val="20"/>
          <w:color w:val="auto"/>
        </w:rPr>
      </w:pPr>
    </w:p>
    <w:p>
      <w:pPr>
        <w:jc w:val="both"/>
        <w:ind w:left="980" w:right="20" w:hanging="315"/>
        <w:spacing w:after="0" w:line="274"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UNITY-NHL FL/SLL Single Agent Umbralisib Cohort</w:t>
      </w:r>
      <w:r>
        <w:rPr>
          <w:rFonts w:ascii="Arial" w:cs="Arial" w:eastAsia="Arial" w:hAnsi="Arial"/>
          <w:sz w:val="17"/>
          <w:szCs w:val="17"/>
          <w:color w:val="auto"/>
        </w:rPr>
        <w:t>: The FL/SLL cohort enrolled adult patients who had two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prior lines of therapy that included an anti-CD20 monoclonal antibody and an alkylating agent. In October 2019, we announced that the FL patients within this cohort met the primary endpoint of ORR as determined by Independent Review Committee (IRC) for all treated follicular lymphoma patients (n=118). In March 2020, the US FDA granted orphan drug designation to umbralisib, for the treatment of patients with FL. As noted above, in December 2020, at the ASH meeting results from the MZL and FL/SLL umbralisib monotherapy cohorts of the UNITY-NHL were presented.</w:t>
      </w:r>
    </w:p>
    <w:p>
      <w:pPr>
        <w:spacing w:after="0" w:line="173" w:lineRule="exact"/>
        <w:rPr>
          <w:rFonts w:ascii="Arial" w:cs="Arial" w:eastAsia="Arial" w:hAnsi="Arial"/>
          <w:sz w:val="17"/>
          <w:szCs w:val="17"/>
          <w:color w:val="auto"/>
        </w:rPr>
      </w:pPr>
    </w:p>
    <w:p>
      <w:pPr>
        <w:jc w:val="both"/>
        <w:ind w:left="980" w:right="20" w:hanging="315"/>
        <w:spacing w:after="0" w:line="256"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UKONIQ Approval: </w:t>
      </w:r>
      <w:r>
        <w:rPr>
          <w:rFonts w:ascii="Arial" w:cs="Arial" w:eastAsia="Arial" w:hAnsi="Arial"/>
          <w:sz w:val="18"/>
          <w:szCs w:val="18"/>
          <w:color w:val="auto"/>
        </w:rPr>
        <w:t>On February 5, 2021, we announced the US FDA granted accelerated approval of umbralisib, now</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as UKONIQ, for the treatment of adult patients with relapsed or refractory MZL who have received at least one prior anti-CD20 based regimen and adult patients with relapsed or refractory FL who have received at least three prior lines of systemic therapy. Accelerated approval was granted for these indications based on overall response rate (ORR) data from the Phase 2 UNITY-NHL Trial (NCT02793583). Continued approval for these indications may be contingent upon verification and description of clinical benefit in a confirmatory trial.</w:t>
      </w:r>
    </w:p>
    <w:p>
      <w:pPr>
        <w:spacing w:after="0" w:line="187" w:lineRule="exact"/>
        <w:rPr>
          <w:rFonts w:ascii="Arial" w:cs="Arial" w:eastAsia="Arial" w:hAnsi="Arial"/>
          <w:sz w:val="18"/>
          <w:szCs w:val="18"/>
          <w:color w:val="auto"/>
        </w:rPr>
      </w:pPr>
    </w:p>
    <w:p>
      <w:pPr>
        <w:jc w:val="both"/>
        <w:ind w:left="980" w:right="20" w:hanging="315"/>
        <w:spacing w:after="0" w:line="314"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UNITY-NHL Additional Cohorts</w:t>
      </w:r>
      <w:r>
        <w:rPr>
          <w:rFonts w:ascii="Arial" w:cs="Arial" w:eastAsia="Arial" w:hAnsi="Arial"/>
          <w:sz w:val="16"/>
          <w:szCs w:val="16"/>
          <w:color w:val="auto"/>
        </w:rPr>
        <w:t>: There are additional exploratory cohorts of the UNITY-NHL trial focused on Diffuse Large</w:t>
      </w:r>
      <w:r>
        <w:rPr>
          <w:rFonts w:ascii="Arial" w:cs="Arial" w:eastAsia="Arial" w:hAnsi="Arial"/>
          <w:sz w:val="16"/>
          <w:szCs w:val="16"/>
          <w:b w:val="1"/>
          <w:bCs w:val="1"/>
          <w:color w:val="auto"/>
        </w:rPr>
        <w:t xml:space="preserve"> </w:t>
      </w:r>
      <w:r>
        <w:rPr>
          <w:rFonts w:ascii="Arial" w:cs="Arial" w:eastAsia="Arial" w:hAnsi="Arial"/>
          <w:sz w:val="16"/>
          <w:szCs w:val="16"/>
          <w:color w:val="auto"/>
        </w:rPr>
        <w:t>B-Cell Lymphoma (DLBCL) and Mantle Cell Lymphoma (MCL). In total, there are currently four cohorts in the UNITY-NHL trial including, MZL, FL/SLL, DLBCL, and MCL. Each cohort is enrolled and evaluated separately from the others.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UNITY-CLL Phase 3 Trial Evaluating Umbralisib plus Ublituximab (U2): </w:t>
      </w:r>
      <w:r>
        <w:rPr>
          <w:rFonts w:ascii="Arial" w:cs="Arial" w:eastAsia="Arial" w:hAnsi="Arial"/>
          <w:sz w:val="18"/>
          <w:szCs w:val="18"/>
          <w:color w:val="auto"/>
        </w:rPr>
        <w:t>UNITY-CLL is a global Phase 3 randomized</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clinical trial that includes two key objectives: first, to demonstrate contribution of each agent in the ublituximab plus umbralisib regimen (the combination sometimes referred to as "U2"), and second, to demonstrate superiority in PFS over the standard of care to support the submission for full approval of the combination. The study randomized patients into four treatment arms: ublituximab plus umbralisib, ublituximab alone, umbralisib alone, and an active control arm of obinutuzumab plus chlorambucil. The primary endpoint for this study is progression free survival (PFS) which we intend to use to support a submission for approval of the U2 combination in CLL. The UNITY-CLL trial is being led by John Gribben, MD, professor of Medical Oncology, Barts Cancer Institute, United Kingdom. The study completed enrollment in October 2017 with over 600 patients across the four treatment arms, with approximately 420 patients in the U2 arm and the active control arm combined.</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September 2015, we reached an agreement with the FDA regarding a SPA on the design, endpoints, and statistical analysis approach of the UNITY-CLL Phase 3 trial. The SPA provides agreement that the Phase 3 trial design adequately addresses objectives that, if met, would support the regulatory submission for drug approval of both ublituximab and umbralisib in combination.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May 2017, a pre-specified interim analysis was conducted to assess contribution of each single agent in the ublituximab plus umbralisib combination regimen, which allowed for the early termination of both single agent arms. A second interim analysis was planned to evaluate ORR to support accelerated approval when all patients in the U2 arm and the active control arm had at least 6 months of follow-up. In September 2018, we announced that the independent Data Safety Monitoring Board (DSMB) reviewed ongoing data from the trial and advised us that the second interim analysis of ORR could not be conducted at that time as the data were not sufficiently mature to conduct the analysis. Given the uncertainty surrounding the timing and outcome of the ORR analysis, as well as the significant regulatory hurdles associated with accelerated approval in CLL, we decided to continue to conduct the trial under the SPA and seek full approval for U2 in patients with CLL based on the PFS endpoint, if positive.</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May 2020, we announced the UNITY-CLL trial met the primary endpoint of improved PFS (p&lt;.0001) and the trial would be stopped early for superior efficacy observed at the interim analysis.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2020, we announced the US FDA granted Fast Track designation to the combination of ublituximab and umbralisib for the treatment of adult patients with CLL. The US FDA previously granted Orphan Drug Designation (ODD) covering ublituximab in combination with umbralisib for the treatment of CLL.</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1, 2020, we initiated a rolling submission of a BLA to the US FDA requesting approval of ublituximab, in combination with umbralisib, as a treatment for patients with CLL, with completion of the rolling submission for the BLA expected in the first half of 2021.</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7, 2020, we presented safety and efficacy results from the UNITY- CLL trial at the ASH annual meeting, demonstrating that U2 significantly improved PFS over obinutuzumab plus chlorambucil (HR=0.54, p&lt;0.0001) as well as ORR (p&lt;0.001) in patients with CLL; with consistent PFS improvement across treatment naïve CLL (HR=0.48) and relapsed/refractory CLL (HR=0.60). Grade 3/4 Adverse Events (AEs) of clinical interest (U2 vs O+Chl) included elevated ALT (8.3% vs 1.0%), elevated AST (5.3% vs 2.0%), non-infectious colitis (1.9% vs 0%), infectious colitis (0.5% vs 0.5%), pneumonitis (0.5% vs 0%), rash (2.4% vs 0.5%), and opportunistic infections (5.8% vs. 1.5%).</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GENUINE Phase 3 Trial Evaluating Ublituximab plus Ibrutinib: </w:t>
      </w:r>
      <w:r>
        <w:rPr>
          <w:rFonts w:ascii="Arial" w:cs="Arial" w:eastAsia="Arial" w:hAnsi="Arial"/>
          <w:sz w:val="18"/>
          <w:szCs w:val="18"/>
          <w:color w:val="auto"/>
        </w:rPr>
        <w:t>GENUINE is a randomized controlled clinical trial evaluating</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with previously treated CLL with specific high-risk cytogenetic abnormalities. Patients in this trial were randomized to receive either ublituximab plus ibrutinib or ibrutinib alone. In February 2021, final results from this trial were published in The Lancet Haematology, in a manuscript titled, “A Phase 3, Randomized Trial of Ublituximab Plus Ibrutinib for Patients With Relapsed/Refractory High-Risk Chronic Lymphocytic Leukemia”.</w:t>
      </w:r>
    </w:p>
    <w:p>
      <w:pPr>
        <w:spacing w:after="0" w:line="2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ULTIMATE I &amp; II Trials Evaluating Single Agent Ublituximab in RMS: </w:t>
      </w:r>
      <w:r>
        <w:rPr>
          <w:rFonts w:ascii="Arial" w:cs="Arial" w:eastAsia="Arial" w:hAnsi="Arial"/>
          <w:sz w:val="18"/>
          <w:szCs w:val="18"/>
          <w:color w:val="auto"/>
        </w:rPr>
        <w:t>ULTIMATE I and ULTIMATE II are two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Phase 3 trials. Each trial is a global, randomized, multi-center, double-blinded, double-dummy, active-controlled study comparing ublituximab to teriflunomide in subjects with RMS. The primary endpoint for each study is ARR following 96 weeks of treatment which we intend to use to support a submission for approval of ublituximab in RMS. Each trial was designed to enroll approximately 440 subjects, randomized in a 1:1 ratio. This program is being led by Lawrence Steinman, MD, George A. Zimmermann Professor and Professor of Pediatrics, Neurology and Neurological Sciences at Stanford University.</w:t>
      </w: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August 2017, we reached an agreement with the FDA regarding an SPA on the design of the ULTIMATE I and ULTIMATE II trials, for the treatment of RMS. The SPA provides agreement that the two Phase 3 trial designs adequately address objectives that, if met, would support the regulatory submission for approval of ublituximab in RMS.</w:t>
      </w:r>
    </w:p>
    <w:p>
      <w:pPr>
        <w:spacing w:after="0" w:line="22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August 2018, we announced that target enrollment into the ULTIMATE I and II trials had been achieved, and that enrollment would continue into September 2018 to allow identified patients to participate in the study. At completion of full enrollment in October of 2018, approximately 1,100 subjects were enrolled in both studies combined.</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October 2019, at the 35th Congress of ECTRIMS, we presented the ULTIMATE I &amp; II Phase 3 program trial design and demographic data. The presentation concluded that patient baseline characteristics were consistent with a typical RMS population.</w:t>
      </w:r>
    </w:p>
    <w:p>
      <w:pPr>
        <w:spacing w:after="0" w:line="14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December 2020, we announced positive topline results from the ULTIMATE I &amp; II trials. Both studies met their primary endpoint of significantly reducing ARR (p&lt;0.005 in each study) with ublituximab demonstrating an ARR of &lt;0.10 in each of the studies. Relative</w:t>
      </w:r>
    </w:p>
    <w:p>
      <w:pPr>
        <w:sectPr>
          <w:pgSz w:w="11900" w:h="16838" w:orient="portrait"/>
          <w:cols w:equalWidth="0" w:num="1">
            <w:col w:w="10220"/>
          </w:cols>
          <w:pgMar w:left="840" w:top="517" w:right="8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reductions of approximately 60% and 50% in ARR over teriflunomide were observed in ULTIMATE I &amp; II, respectively. Further analyses of the ULTIMATE I &amp; II studies including safety and secondary endpoints are being conducted and detailed data is targeted to be presented in first half of 2021. Additionally, data from these studies are intended to support a BLA submission for ublituximab in RMS targeted in mid-year 2021.</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ULTRA-V Phase 2 Trial Evaluating U2 plus Venetoclax in CLL: </w:t>
      </w:r>
      <w:r>
        <w:rPr>
          <w:rFonts w:ascii="Arial" w:cs="Arial" w:eastAsia="Arial" w:hAnsi="Arial"/>
          <w:sz w:val="18"/>
          <w:szCs w:val="18"/>
          <w:color w:val="auto"/>
        </w:rPr>
        <w:t>ULTRA-V is a Phase 2 open-label, multicenter, registration-directed clinical trial designed to investigate the efficacy and safety of U2 combined with venetoclax in subjects with treatment naïve and relapsed or refractory CLL. The primary endpoints for this trial are ORR and CR rate.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Pipeline Overview and Clinical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Cosibelimab (anti-PD-L1 monoclonal antibody) 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Cosibelimab (also referred to as TG-1501) is a fully human monoclonal antibody of IgG1 subtype that binds to Programmed Death-Ligand 1 (PD-L1) and blocks its interactions with PD-1 and B7.1 receptors. Cancer cells elude anti-tumor immunity through multiple mechanisms, including upregulated expression of ligands for inhibitory immune checkpoint receptors. Signals from PD-L1 on tumor cells and in the tumor microenvironment help those tumors avoid immune attack and elimination by preventing activation of tumor specific effector T-cells. Anti-PD-L1 antibodies are designed to block that signal, permitting effector T-cells to attack the cancer. Clinical studies have shown that blockade of the PD-1/PD-L1 pathway by monoclonal antibodies can enhance the immune response and result in anti-tumor activity.</w:t>
      </w:r>
    </w:p>
    <w:p>
      <w:pPr>
        <w:spacing w:after="0" w:line="12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Preclinically, it has been shown that the effects of anti-PD-L1 intervention can be enhanced by utilizing other mechanisms targeting the tumor microenvironment. Combining immunotherapies like anti-PD-L1, which counters the tumor's immune-evading defense system with other anti-cancer agents such as ublituximab or umbralisib, may better engage the body's own immune system to help fight cancer.</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comprehensive array of in vitro biochemical and cellular assays was established to characterize the binding and the functional activities of cosibelimab. The in vitro data demonstrated that the affinity, PD-L1 binding capability, relative ability to inhibit PD-1/PDL-1 interactions, and functional activity of cosibelimab in cellular assays are comparable to those of atezolizumab, durvalumab and avelumab - the currently approved products sharing the same mechanism of action.</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Cosibelimab is currently being evaluated in an ongoing study (Study CK-301-101: NCT03212404), enrolling patients with select solid tumors, being conducted by our licensor. In the dose escalation portion of this trial, doses ranging from 200mg to 800mg were tested with no dose-limiting toxicities observed and no maximum tolerated dose (MTD) was achieved; therefore, a fixed dose of 800 mg was the selected starting dose of cosibelimab for patients with hematologic malignancies.</w:t>
      </w:r>
    </w:p>
    <w:p>
      <w:pPr>
        <w:spacing w:after="0" w:line="11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December 2018, the FDA approved an IND for cosibelimab and a Phase 1 study in subjects with select subtypes of lymphoma commenced in 2019, as did a study of cosibelimab in combination with ublituximab and/or umbralisib. Based on our rapidly evolving understanding of the pathobiology of lymphoma subtypes, we envision further combinations with other immunotherapies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TG-1701 (BTK inhibitor) 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TG-1701 is a novel, orally available and covalently-bound Bruton’s tyrosine kinase (BTK) inhibitor that exhibits superior selectivity to BTK compared to ibrutinib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kinase screening.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B-cell receptor (BCR) signaling is crucial for normal B-cell development and supports the survival and growth of malignant B-cells in patients with B-cell leukemias or lymphomas. Targeting BTK, an essential element of BCR signaling pathway which regulates the survival, activation, proliferation, and differentiation of B lymphocytes, has shown remarkable efficacy with an acceptable safety profile in B-cell malignancies.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2018, pre-clinical data for TG-1701 demonstrating favorable pharmacologic properties was presented at the 23rd Congress of the European Hematology Association (EHA) in Stockholm, Sweden.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pharmacology studies have revealed that TG-1701 inhibited BTK with greater than 10-fold selectivity as measured by IC50 on the kinase activities of EGFR, ITK, TXK, JAK3, HER2 and HER4.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pharmacology studies showed that TG-1701 significantly inhibited the growth of xenograft lymphoid tumors including OCI-LY-10 and DOHH-2 in nude mice.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currently evaluating TG-1701 in a Phase 1, multi-center, dose-escalation clinical trial in patients with B-cell malignancies. This trial is designed to evaluate the safety and tolerability of TG-1701 alone and in combination with U2 in adults with B-cell malignancies and determine the recommended Phase 2 dose. Key secondary objectives include evaluation of pharmacokinetics (PK), pharmacodynamics, and preliminary anticancer activity. Preliminary data from this Phase 1 study was presented at ASH 2020 (described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 bispecific monoclonal antibody) 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TG-1801 is a first-in-class, bispecific CD47 and CD19 antibody. It is the first therapy to target both CD19, a B-cell specific market widely expressed across B-cell malignancies, and CD47, the "don’t eat me" signal used by both healthy and tumor cells to evade macrophage mediated phagocytosis. CD47 is expressed ubiquitously on normal cells, including red blood cells and platelets. CD19 is a specific B-cell marker, expressed early during pre-B cell ontogeny and until terminal differentiation into early plasma cells. The majority of B-cell lineage malignancies (more than 90%) express CD19, including NHL, CLL and acute lymphoblastic leukemia (ALL). Tumor B-cells that have lost the expression of CD20 after anti-CD20 mAb therapy, have been found to maintain the expression of CD19, making CD19 an attractive target in the treatment of B cell malignancies. By co-targeting both CD47 and CD19, TG-1801 has the potential to overcome the limitations of existing CD47 targeted therapies by avoiding the side effects caused by indiscriminate blockade of CD47 on healthy cells. In addition to potentially enhancing tolerability, the co-targeting of CD19 by TG-1801 may provide a secondary mechanism of direct anti-tumor activity through the engagement of effector cells and induction of ADCC.</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TG-1801 binds to human CD19 with significantly higher affinity than towards CD47. This difference between its affinity to CD19 and CD47 allows TG-1801 to bind and selectively block CD47 on CD19</w:t>
      </w:r>
      <w:r>
        <w:rPr>
          <w:rFonts w:ascii="Arial" w:cs="Arial" w:eastAsia="Arial" w:hAnsi="Arial"/>
          <w:sz w:val="12"/>
          <w:szCs w:val="12"/>
          <w:color w:val="auto"/>
        </w:rPr>
        <w:t>+</w:t>
      </w:r>
      <w:r>
        <w:rPr>
          <w:rFonts w:ascii="Arial" w:cs="Arial" w:eastAsia="Arial" w:hAnsi="Arial"/>
          <w:sz w:val="18"/>
          <w:szCs w:val="18"/>
          <w:color w:val="auto"/>
        </w:rPr>
        <w:t xml:space="preserve"> B-cells but not on CD19</w:t>
      </w:r>
      <w:r>
        <w:rPr>
          <w:rFonts w:ascii="Arial" w:cs="Arial" w:eastAsia="Arial" w:hAnsi="Arial"/>
          <w:sz w:val="12"/>
          <w:szCs w:val="12"/>
          <w:color w:val="auto"/>
        </w:rPr>
        <w:t>-</w:t>
      </w:r>
      <w:r>
        <w:rPr>
          <w:rFonts w:ascii="Arial" w:cs="Arial" w:eastAsia="Arial" w:hAnsi="Arial"/>
          <w:sz w:val="18"/>
          <w:szCs w:val="18"/>
          <w:color w:val="auto"/>
        </w:rPr>
        <w:t xml:space="preserve"> red blood cells or platelets in human peripheral blood.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TG-1801 induces antibody-dependent cellular phagocytosis (ADCP) and ADCC of malignant tumor B-cell lines and primary tumor B-cells from patients with B-cell acute lymphoblastic leukemia (B-ALL), B-cell chronic lymphocytic leukemia (B-CLL) and numerous subtypes of NHL.</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mouse tumor models, treatment with TG-1801 inhibited tumor growth in Raji cell subcutaneous xenograft model, NALM-6 cell disseminated tumor model, and patient-derived xenograft models, including primary tumor cells from patients with diffuse large B-cell lymphoma (DLBCL) and B-ALL. In addition, the combination of rituximab and TG-1801 demonstrated enhanced activity over TG-1801 monotherapy.</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In summary, TG-1801 demonstrates anti-tumor activity in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(ADCP and ADCC)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tumor models.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first quarter of 2019, we commenced a Phase 1 first-in-human, dose-escalation study of TG-1801. This study is evaluating escalating doses of TG-1801 in patients with B-Cell lymphoma. The primary objective of the study is to determine the recommended Phase 2 dose and to characterize the safety profile of TG-1801. Key secondary objectives are to evaluate the pharmacokinetics of TG-1801 and its preliminary anticancer activity. Enrollment is ongoing in this Phase 1 study.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to our clinical programs, we currently have licensed preclinical programs for BET (TG-1601), IRAK4, and GITR.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product candidates, proprietary information and proprietary technology through a combination of contractual arrangements and patents, both in the U.S. and elsewhere in the world.</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also depend upon the skills, knowledge and experience of our scientific and technical personnel, as well as that of our advisors, consultants and other contractors. This knowledge, trade secrets, proprietary information and experience we call “know-how.” To help protect our proprietary know-how which is not patentable, and for inventions for which patents may be difficult to enforce, we rely on trade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secret protection and confidentiality agreements to protect our interests. To this end, we seek to protect our proprietary technology and processes, in part, by entering into confidentiality agreements with our collaborators, scientific advisors, employees and consultants, and invention assignment agreements with our employees and consultants. There can be no assurance, however, that we can prevent unauthorized disclosure or use of our trade secrets, know-how and proprietary information despite the existence of confidentiality agreements.</w:t>
      </w:r>
    </w:p>
    <w:p>
      <w:pPr>
        <w:spacing w:after="0" w:line="15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Patents and other proprietary rights are crucial to the development of our business. We will be able to protect our proprietary technologies from unauthorized use by third parties only to the extent that our proprietary rights are covered by valid and enforceable patents, supported by regulatory exclusivity or are effectively maintained as trade secrets. We have a number of patents and patent applications related to our compounds and other technology, but we cannot guarantee the scope of protection of the issued patents, or that such patents will survive a validity or enforceability challenge, or that any of the pending patent applications will issue as patents.</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Generally, patent applications in the U.S. are maintained in secrecy for a period of 18 months or more. Since publication of discoveries in the scientific or patent literature often lags behind actual discoveries, we are not certain that we were the first to make the inventions covered by each of our pending patent applications or that we were the first to file those patent applications. The patent positions of biotechnology and pharmaceutical companies are highly uncertain and involve complex legal and factual questions. Therefore, we cannot predict the breadth of claims allowed in biotechnology and pharmaceutical patents, or their enforceability. To date, there has been no consistent policy regarding the breadth of claims allowed in biotechnology patents. Third parties or competitors may challenge or circumvent our patents or patent applications, if issued. If our competitors prepare and file patent applications in the U.S. that claim technology also claimed by us, we may have to participate in interference proceedings declared by the U.S. Patent and Trademark Office to determine priority of invention, which could result in substantial cost, even if the eventual outcome is favorable to us. Because of the extensive time required for development, testing and regulatory review of a potential product, it is possible that before we commercialize any of our products, any related patent may expire or remain in existence for only a short period following commercialization, thus reducing any advantage of the patent. However, the life of a patent covering a product that has been subject to regulatory approval may have the ability to be extended through the patent restoration program, although any such extension could still be minimal. If a patent is issued to a third party containing one or more preclusive or conflicting claims, and those claims are ultimately determined to be valid and enforceable, we may be required to obtain a license under such patent or to develop or obtain alternative technology. In the event of litigation involving a third-party claim, an adverse outcome in the litigation could subject us to significant liabilities to such third party, require us to seek a license for the disputed rights from such third party, and/or require us to cease use of the technology. Further, our breach of an existing license or failure to obtain a license to technology required to commercialize our products may seriously harm our business. We also may need to commence litigation to enforce any patents issued to us or to determine the scope and validity of third-party proprietary rights. Litigation would involve substantial costs.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or those companies from which we have licensed our drug candidates, file patent applications directed to our drug candidates in an effort to establish intellectual property positions regarding these new chemical entities as well as uses of these new chemical entities in the treatment of diseases. We also file patent applications directed to novel combinations of our drugs together and with drugs developed by others. The intellectual property portfolios for our most advanced drug candidates as of February 2021 are summarized below. Each of these portfolios contains one or more pending patent applications covering our products and product candidates and uses and combinations thereof. For those patents, prosecution is in progress. Prosecution is a lengthy process, during which the scope of the claims initially submitted for examination by the USPTO is often significantly narrowed by the time they issue, if they issue at all. This may be the case with respect to our pending patent applications referred to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UKONIQ (umbralisib)</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our license for UKONIQ with Rhizen, we have the exclusive commercial rights to a series of patents and patent applications in the U.S. and multiple countries around the world. The patent applications include composition of matter patents relating to the structure, mechanism of action, and formulation for UKONIQ as well as method of use patents which cover use of UKONIQ in combination with various agents and for various therapeutic indications.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composition of matter patent for UKONIQ has been issued in the U.S., Europe, and other jurisdictions, including Canada, China, Korea, Japan, and Australia. The expected expiration of the composition of matter patent is 2033, exclusive of patent term extensions, which could result in later expiration dates. Applications are pending in other jurisdictions. We also have a method of use patent on the combination of UKONIQ and ublituximab, which has been issued in the U.S., Europe, and other jurisdictions, including Australia, China, Korea, and Japan, and is pending in other territories. The expected expiration of the method of use patent for the combination of UKONIQ and ublituximab is 2033.</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Ublituximab</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our license for ublituximab with LFB Biotechnologies, GTC Biotherapeutics, and LFB/GTC LLC, we have the exclusive commercial rights to a series of patents and patent applications in the U.S. and in multiple countries around the world, as well as a non-exclusive license to additional background patent rights. These patents and patent applications include composition of matter patents relating to the structure and mechanism of action for ublituximab, as well as method of use patents which cover use of ublituximab in combination with various agents and for various therapeutic indications.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composition of matter patent for ublituximab has been issued in the U.S., Europe and other jurisdictions, including Australia, Canada, China, Japan, Korea, and India. The expected expiration for the composition of matter patent is 2029 in the U.S. and 2025 in Europe and other non-US jurisdictions, exclusive of patent term extensions, which could result in later expiration dates. We also have a method of use patent on the combination of UKONIQ and ublituximab, which has been issued in the U.S., Europe, and other jurisdictions, including Australia, China, Korea, and Japan, and is pending in other territories. The expected expiration of the method of use patent for the combination of UKONIQ and ublituximab is 2033.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Cosibelimab (anti-PD-L1 monoclonal antibody)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our Global Collaboration with Checkpoint Therapeutics, we have the exclusive commercial rights in the treatment of hematological cancers and autoimmune diseases to a series of patents and patent applications. Patents to the anti-PD-L1 antibody and methods of use have issued in the U.S., Australia, Japan, Israel, Korea, and Mexico, and are pending in other jurisdictions. Any patents maturing from these pending applications are expected to expire no sooner than October 2033. A patent directed to the composition of matter of cosibelimab has issued in the United States and is expected to expire in 2037, exclusive of patent term extensions, which could result in later expiration dates. Applications are pending in many other jurisdictions.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TG-1701 (BTK inhibitor)</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Pursuant to our license agreement with Jiangsu Hengrui, we have the exclusive commercial rights in the treatment of hematologic cancers to a patent family which covers the composition of matter and proposed methods of use for various therapeutic indications in the U.S. and certain other countries. Patents directed to the compound have granted in the U.S., Europe, and other jurisdictions, including Australia, Canada, Japan, China, and Korea and are expected to expire no sooner than October 2034. Applications are pending in other jurisdictions.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 bispecific antibody)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our joint venture and license option agreement with NovImmune, we maintain an exclusive option, exercisable at specific times during development, to license the commercial rights to a series of global patent applications and patents, and the non-exclusive right to certain technology patent applications. Patents directed to a bispecific antibody have issued in Australia, China, Europe, Japan, and Russia and are pending in other jurisdictions including the U.S. Any patents maturing from these pending applications are expected to expire no sooner than December 2033.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Patent Rights and Trade Secrets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patent rights that we own or have licensed relating to our product candidates are limited in ways that may affect our ability to exclude third parties from competing against us if we obtain regulatory approval to market these product candidates. See </w:t>
      </w:r>
      <w:r>
        <w:rPr>
          <w:rFonts w:ascii="Arial" w:cs="Arial" w:eastAsia="Arial" w:hAnsi="Arial"/>
          <w:sz w:val="17"/>
          <w:szCs w:val="17"/>
          <w:i w:val="1"/>
          <w:iCs w:val="1"/>
          <w:color w:val="auto"/>
        </w:rPr>
        <w:t>“Item 1A – 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 -- Risks Related to the Company’s Intellectual Property.</w:t>
      </w:r>
      <w:r>
        <w:rPr>
          <w:rFonts w:ascii="Arial" w:cs="Arial" w:eastAsia="Arial" w:hAnsi="Arial"/>
          <w:sz w:val="17"/>
          <w:szCs w:val="17"/>
          <w:color w:val="auto"/>
        </w:rPr>
        <w:t>” In addition, the limited patent protection may adversely affect the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products or product candidates and may inhibit our ability to obtain a corporate partner at terms acceptable to us, if at all.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Proof of direct infringement by a competitor for method of use patents can prove difficult because the competitors making and marketing a product typically do not engage in the patented use. Additionally, proof that a competitor contributes to or induces infringement of a patented method of use by another can also prove difficult because an off-label use of a product could prohibit a finding of contributory infringement, and inducement of infringement requires proof of intent by the competitor.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Moreover, physicians may prescribe such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 or prosecute.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In addition to patent protection, we may utilize orphan drug regulations or other provisions of the Food, Drug and Cosmetic Act of 1938, as amended, or FDCA, to provide market exclusivity for certain of our drug candidates. Orphan drug regulations provide incentives to pharmaceutical and biotechnology companies to develop and manufacture drugs for the treatment of rare diseases, currently defined as diseases that exist in fewer than 200,000 individuals in the U.S., or, diseases that affect more than 200,000 individuals in the U.S. but that the sponsor does not realistically anticipate will generate a net profit. Under these provisions, a manufacturer of a designated orphan-drug can seek tax benefits, and the holder of the first FDA approval of a designated orphan product will be granted a seven-year period of marketing exclusivity for such FDA-approved orphan product.</w:t>
      </w:r>
    </w:p>
    <w:p>
      <w:pPr>
        <w:spacing w:after="0" w:line="14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Pursuant to these regulations, ublituximab received Orphan Drug Designation from the FDA for the treatment of MZL (Nodal and Extranodal) in September 2013, for the treatment of CLL in August of 2010, and Orphan Drug Designation by the European Medicines Agency (“EMA”) for the treatment of CLL in November of 2009.</w:t>
      </w:r>
    </w:p>
    <w:p>
      <w:pPr>
        <w:spacing w:after="0" w:line="14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We also obtained Orphan Drug Designation for umbralisib as monotherapy for the treatment of CLL in August 2016, for the treatment of nodal, extranodal, and splenic MZL in April 2019, and for the treatment of FL in March 2020. In addition, in January 2017, we announced that the FDA granted Orphan Drug Designation covering the combination of ublituximab and umbralisib for the treatment of patients with CLL and DLBCL.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Patent Term Restoration and Marketing Exclusivity</w:t>
      </w:r>
    </w:p>
    <w:p>
      <w:pPr>
        <w:spacing w:after="0" w:line="21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BLA plus the time between the submission date of an NDA or BLA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 or the BLA.</w:t>
      </w:r>
    </w:p>
    <w:p>
      <w:pPr>
        <w:spacing w:after="0" w:line="14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7"/>
          <w:szCs w:val="17"/>
          <w:color w:val="auto"/>
        </w:rPr>
        <w:t>Also under the Hatch-Waxman Amendments, drugs that are new chemical entities (NCEs) are eligible for a five-year period of non-patent marketing exclusivity in the United States.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Hatch-Waxman Amendments also provide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During this period, FDA will not approve an application filed by a third party for the protected conditions of use that relies on any of the data from the new clinical investigations that was submitted by the innovator company. Five-year and three-year exclusivity will not delay the submission or approval of a full NDA that does not rely on the innovator company’s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The Biologics Price Competition and Innovation Act of 2009 (BPCIA) created a 12-year period of data exclusivity for innovator biologics. FDA therefore cannot approve a biosimilar application relying on data for a specific reference product until 12 years after the reference product is first licensed. BLA supplements are not eligible for any additional exclusivity. The objectives of the BPCIA are conceptually similar to those of the Hatch-Waxman Act described above. The implementation of an abbreviated approval pathway for biological products is under the direction of the FDA. Since the enactment of the BPCIA, the FDA has issued several draft guidance’s for industry related to the BPCIA, addressing scientific, quality and procedural issues relevant to an abbreviated application for a biosimilar product. As of December 2020, FDA had approved 29 biosimilar applications.</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Orphan drug exclusivity, as described below,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LICENSING AGREEMENTS AND COLLABORATIONS</w:t>
      </w:r>
    </w:p>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have formed strategic alliances with a number of companies for the manufacture and commercialization of our products. Our current key strategic alliances are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Ublituximab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LFB Biotechnologies S.A.S, GTC Biotherapeutics, LFB/GTC LLC.</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January 2012, we entered into an exclusive license agreement with LFB Biotechnologies, GTC Biotherapeutics, and LFB/GTC LLC, all wholly-owned subsidiaries of LFB Group, relating to the development and commercialization of ublituximab. Under the license agreement, we have acquired the exclusive worldwide rights (exclusive of France/Belgium) for the development and commercialization of ublituximab. To date, we have made no payments to LFB Group under the license agreement, excluding an upfront equity payment. LFB Group is eligible to receive payments of up to an aggregate of approximately $31.0 million upon our successful achievement of certain clinical development, regulatory and sales milestones, in addition to royalty payments on net sales of ublituximab at a royalty rate that escalates from mid-single digits to high-single digits. The license will terminate on a country by 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Ildong Pharmaceutical Co. Ltd.</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November 2012, we entered into an exclusive (within the territory) sublicense agreement with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 To date, we have received $2 million in the form of an upfront payment from Ildong and are eligible to receive sales-based milestone payments up to an aggregate of $5 million and royalty payments on net sales of ublituximab at a royalty rate that escalates from mid-teens to high-teens upon approval in South Korea and/or Southeast Asia. The license will terminate on a country by country basis upon the expiration of the last licensed patent right or 15 years after the first commercial sale of a product in such country, unless the agreement is earlier terminated (i) by Ildong if the Company challenges any of the licensed patent rights, (ii) by either party due to a breach of the agreement, or (iii) by either party in the event of the insolvency of the other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UKONIQ (umbralisib)</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September 2014, we exercised our option to license the global rights to umbralisib, thereby entering into an exclusive licensing agreement (the “Umbralisib License”) with Rhizen Pharmaceuticals, S A (“Rhizen”) for the development and commercialization of umbralisib. Prior to this, we had been jointly developing umbralisib in a 50:50 joint venture with Rhizen.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69" w:lineRule="auto"/>
        <w:rPr>
          <w:sz w:val="20"/>
          <w:szCs w:val="20"/>
          <w:color w:val="auto"/>
        </w:rPr>
      </w:pPr>
      <w:r>
        <w:rPr>
          <w:rFonts w:ascii="Arial" w:cs="Arial" w:eastAsia="Arial" w:hAnsi="Arial"/>
          <w:sz w:val="17"/>
          <w:szCs w:val="17"/>
          <w:color w:val="auto"/>
        </w:rPr>
        <w:t>Under the terms of the Umbralisib License, Rhizen received a $4.0 million cash payment and 371,530 shares of our common stock as an upfront license fee. With respect to umbralisib, Rhizen will be eligible to receive regulatory filing, approval and sales-based milestone payments in the aggregate of approximately $175 million, a small portion of which will be payable on the first NDA filing and the remainder on approval in multiple jurisdictions for up to two oncology indications and one non-oncology indication and attaining certain sales milestones. In addition, if umbralisib is co-formulated with another drug to create a new product (a "New Product"), Rhizen will be eligible to receive similar regulatory approval and sales-based milestone payments for such New Product. Additionally, Rhizen will be entitled to tiered royalties that escalate from high single digits to low double digits on our future net sales of umbralisib and any New Product. Rhizen will also be eligible to participate in sublicensing revenue, if any, based on a percentage that decreases as a function of the number of patients treated in clinical trials following the exercise of the license option. Rhizen will retain global manufacturing rights to umbralisib, provided that they are price competitive with alternative manufacturers. The license will terminate on a country by country basis upon the expiration of the last licensed patent right or any other exclusivity right in such country, unless the agreement is earlier terminated (i) by us for any reason, (ii) by either party due to a breach of the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Cosibelimab</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March 2015, we entered into a Global Collaboration (the “Collaboration”) with Checkpoint Therapeutics, Inc. (“Checkpoint”) for the development and commercialization of Checkpoint’s anti-PD-L1 and anti-GITR antibody research programs in the field of hematological malignancies with an option to acquire rights in autoimmune diseases. These antibodies were generated at Dana-Farber Cancer Institute (Dana-Farber). In June 2019, we amended our Collaboration Agreement with Checkpoint to cover additional licenses necessary to continue the development of the anti-PD-L1 and anti-GITR research programs. Under the terms of the initial Collaboration, we made an up-front payment of $500,000, and upon entering into the amended agreement, made an additional payment of $1,000,000. Under the terms of the amended agreement, we will make development and sales-based milestone payments up to an aggregate of approximately $110 million, and will pay a tiered low double-digit royalty on net sales. The royalty term will terminate on a country by country basis upon the later of (i) ten years after the first commercial sale of any applicable licensed product in such country, or (ii) the expiration of the last-to-expire patent held by Dana Farber containing a valid claim to any licensed product in such country.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TG-1701 (BTK inhibitor)</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2018, we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for hematologic malignancies. Pursuant to the agreement, we paid Hengrui an upfront fee of $1.0 million in our common stock in April 2018. In addition, in July 2019, we paid Jiangsu the first milestone under the agreement of $0.1 million in our common stock.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 Additionally, before we can license, sell, develop, or commercialize ublituximab within China, we must notify Hengrui, giving Hengrui the right of first offer. The agreement allows combinations of TG-1701 or TG-1702 with umbralisib, ublituximab, or U2. Additional combinations may be undertaken under the agreement subject to additional pre-specified payments to Hengrui.</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 of the agreement expires after the expiration of the last royalty term to expire with respect to any of the patent rights under the agreement. We or Hengrui may terminate the agreement upon notice to the other upon breach without remedy or upon insolvency. In addition, either party may terminate the agreement upon a material breach, after providing the other party with adequate notice and allowing 45 days to cure.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 bispecific antibody)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Further milestone payments will be paid based on early clinical development, and the Company will be responsible for the costs of clinical</w:t>
      </w:r>
    </w:p>
    <w:p>
      <w:pPr>
        <w:sectPr>
          <w:pgSz w:w="11900" w:h="16838" w:orient="portrait"/>
          <w:cols w:equalWidth="0" w:num="1">
            <w:col w:w="10220"/>
          </w:cols>
          <w:pgMar w:left="840" w:top="517" w:right="8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IRAK4</w:t>
      </w:r>
    </w:p>
    <w:p>
      <w:pPr>
        <w:spacing w:after="0" w:line="22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June 2014, we entered into an exclusive licensing agreement with Ligand Pharmaceuticals Incorporated (“Ligand”) for the development and commercialization of Ligand's interleukin-1 receptor associated kinase-4 (“IRAK4”) inhibitor technology, which currently is in preclinical development for potential use against certain cancers and autoimmune diseases. IRAK4 is a serine/threonine protein kinase that is a key downstream signaling component of the interleukin-1 receptor and multiple toll-like receptors.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terms of the license agreement, Ligand received 125,000 shares of our common stock as an upfront license fee. Ligand will also be eligible to receive maximum potential milestone payments of approximately $207 million upon the achievement of specific clinical, regulatory and commercial milestone events. Additionally, Ligand will be entitled to royalties on our future net sales of licensed products containing IRAK4 inhibitors. The basic royalty rate for licensed products covered by Ligand's issued patents will be 6% for annual sales of up to $1 billion and 9.5% for annual sales in excess of that threshold. The license will terminate on a country by country basis upon the expiration of the last licensed patent right or 10 years after the first commercial sale of a product in such country, unless the agreement is earlier terminated by either party due to a breach of the agreement in the event of the insolvency of the other party.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TG-1601 (BET inhibitor)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2016, as part of a broader agreement with Jubilant Biosys (“Jubilant”), we entered into a sub-license agreement (JBET Agreement) with Checkpoint for the development and commercialization of Jubilant’s novel BET inhibitor program in the field of hematological malignancies. The BET inhibitor program is the subject of a family of patents covering compounds that inhibit BRD4, a member of the BET (Bromodomain and Extra Terminal) domain for cancer treatment. Our BET inhibitor program is currently in pre-clinical development.</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Competition in the pharmaceutical and biotechnology industries is intense. Our competitors include pharmaceutical companies and biotechnology companies, as well as universities and public and private research institutions. In addition, companies that are active in different but related fields represent substantial competition for us. Many of our competitors have significantly greater capital resources, larger research and development staffs and facilities and greater experience in drug development, regulation, manufacturing and marketing than we do. These organizations also compete with us to recruit qualified personnel, attract partners for joint ventures or other collaborations, and license technologies that are competitive with ours. To compete successfully in this industry, we must identify novel and unique drugs or methods of treatment and then complete the development of those drugs as treatments in advance of our competitors.</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drugs that we are attempting to develop will have to compete with existing therapies. In addition, a large number of companies are pursuing the development of pharmaceuticals that target the same diseases and conditions that we are targeting. Some of these potential competing drugs are further advanced in development than our drug candidates and may be commercialized earlier. The resulting changes in standard of care can impact the likelihood of regulatory accelerated approval opportunities for our drug candidates.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cancer indications for which we are developing our products there are a number of established therapies with which we will compete:</w:t>
      </w:r>
    </w:p>
    <w:p>
      <w:pPr>
        <w:spacing w:after="0" w:line="170" w:lineRule="exact"/>
        <w:rPr>
          <w:sz w:val="20"/>
          <w:szCs w:val="20"/>
          <w:color w:val="auto"/>
        </w:rPr>
      </w:pPr>
    </w:p>
    <w:p>
      <w:pPr>
        <w:jc w:val="both"/>
        <w:ind w:left="980" w:right="20" w:hanging="315"/>
        <w:spacing w:after="0" w:line="25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treatment of Chronic Lymphocytic Leukemia, if U2 is approved, we expect U2 to compete with approved drugs such as ibrutinib (AbbVie and Janssen), acalabrutinib (AstraZeneca), venetoclax (AbbVie and Roche), obinutuzumab (Roche), idelalisib (Gilead), duvelisib (Verastem), and established treatments such as rituximab (Roche), and several generically available chemotherapies. Additionally, there are second generation BTK inhibitors similar to ibrutinib in late-stage clinical testing for CLL that could enter the market in the next 12-36 months. Each of these agents can be used as monotherapy or in combination with one or more of the other agents.</w:t>
      </w:r>
    </w:p>
    <w:p>
      <w:pPr>
        <w:spacing w:after="0" w:line="1"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treatment of Marginal Zone Lymphoma, we expect UKONIQ (umbralisib) to compete with ibrutinib (AbbVie and Janssen), lenalidomide (Bristol-Myers), and established treatments such as rituximab, and several generically available chemotherapies. There are several kinase inhibitors in earlier stages of development.</w:t>
      </w:r>
    </w:p>
    <w:p>
      <w:pPr>
        <w:spacing w:after="0" w:line="1" w:lineRule="exact"/>
        <w:rPr>
          <w:rFonts w:ascii="Arial" w:cs="Arial" w:eastAsia="Arial" w:hAnsi="Arial"/>
          <w:sz w:val="18"/>
          <w:szCs w:val="18"/>
          <w:color w:val="auto"/>
        </w:rPr>
      </w:pPr>
    </w:p>
    <w:p>
      <w:pPr>
        <w:jc w:val="both"/>
        <w:ind w:left="980" w:right="20" w:hanging="315"/>
        <w:spacing w:after="0" w:line="288"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the treatment of Follicular Lymphoma, we expect umbralisib to compete with approved drugs such as obinutuzumab (Roche), idelalisib (Gilead), copanlisib (Bayer), duvelisib (Verastem), lenalidomide (Bristol-Myers), tazemetostat (Epizyme), and established treatments such as rituximab (Roche), and several generically available chemotherapies. Each of these agents can be used as monotherapy or in combination with one or more of the other agents. There are several kinase inhibitors in earlier stages of development. In addition, a number of pharmaceutical companies are developing antibodies and bispecific antibodies targeting CD20, CD19, CD47 and other B-cell associated targets, chimeric antigen receptor T-cell (“CAR-T”) immunotherapy, and other B-cell ablative therapy which, if approved, would potentially compete with U2 and UKONIQ.</w:t>
      </w:r>
    </w:p>
    <w:p>
      <w:pPr>
        <w:spacing w:after="0" w:line="16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Multiple Sclerosis for which we are developing ublituximab there are a number of established therapies with which we will compete:</w:t>
      </w:r>
    </w:p>
    <w:p>
      <w:pPr>
        <w:spacing w:after="0" w:line="170" w:lineRule="exact"/>
        <w:rPr>
          <w:sz w:val="20"/>
          <w:szCs w:val="20"/>
          <w:color w:val="auto"/>
        </w:rPr>
      </w:pPr>
    </w:p>
    <w:p>
      <w:pPr>
        <w:jc w:val="both"/>
        <w:ind w:left="980" w:right="20" w:hanging="315"/>
        <w:spacing w:after="0" w:line="286"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ublituximab is approved, we expect ublituximab will primarily compete against other CD20 targeted agents, while the group of CD20 targeted agents will also compete broadly against a number of already approved MS therapies. Currently, there are two anti-CD20 monoclonal antibodies approved, ocrelizumab (Roche) and ofatumumab (Novartis).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Cosibelimab, TG-1701 and TG-1801 if approved will also face competition from drugs on the market and under development that are in the same therapeutic class as each of those drugs.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Additional information can be found under Item “1A - Risk Factors – Other Risks Related to Our Business” within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MANUFACTURING</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limited experience in manufacturing products for clinical or commercial purposes. We currently do not have any manufacturing capabilities of our own. We have established contract manufacturing relationships for the supply of ublituximab. For the supply of umbralisib, Rhizen has established contract manufacturing relationships as part of our licensing agreement. As with any supply program, obtaining pre-clinical and clinical materials of sufficient quality and quantity to meet the requirements of our development programs cannot be guaranteed and we cannot ensure that we will be successful in this endeavor. In addition, as we move closer to commercialization for ublituximab we will need to scale-up production to ensure adequate commercial supply, complete validation batches and complete pre-approval inspection batches. We have completed validation batches and are currently in the process of scaling up ublituximab production, including completing pre-approval inspection batches for ublituximab. This is an expensive process which will require significant investment on our part over the next 24 months and there can be no assurance given that such scale-up and process validation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Process improvements are common during clinical development to accommodate raw material and component variability, enhance productivity and/or accommodate different or larger equipment utilized during the scale-up process required for commercial manufacture. These types of incremental process changes have been made during clinical development for both TG’s small and large molecule programs. For example, our UNITY-CLL Phase 3 clinical trial contains ublituximab produced from both a pre-commercial process and the current commercial process. While there are some analytical differences between the two materials, we do not expect those differences to have an effect on the clinical performance of ublituximab. The primary difference is that the commercial process has resulted in further enhancement to the ADCC effect, potentially enhancing potency. We will analyze the Phase 3 data to ensure that the materials are substantially similar in performance. If there are material differences in safety or efficacy, we may need to adjust our statistical analysis of the Phase 3 study, which could impact the approvability of the U2 combination in CLL.</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the time of commercial sale, to the extent possible and commercially practicable, we would seek to engage back-up suppliers for raw materials, manufacturing and testing services for each of our product candidates. Until such time, we expect that we will rely on a single contract manufacturer to produce each of our product candidates under current Good Manufacturing Practice, or cGMP, regulations. Our third-party manufacturers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expect to similarly rely on contract manufacturing relationships for any products that we may in-license or acquire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However, there can be no assurance that we will be able to successfully contract with such manufacturers on terms acceptable to us, or at all.</w:t>
      </w:r>
    </w:p>
    <w:p>
      <w:pPr>
        <w:spacing w:after="0" w:line="2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Contract manufacturers in the U.S. are subject to ongoing periodic and unannounced inspections by the FDA, the Drug Enforcement Administration if applicable, and corresponding state agencies to ensure strict compliance with cGMP and other state and federal regulations. Contract manufacturers outside of the United States face similar challenges from the numerous local and regional agencies and authorized bodies. We do not have control over third-party manufacturers’ compliance with these regulations and standards, other than through contractual obligations. If they are deemed out of compliance with cGMPs, product recalls could result, inventory could be destroyed, production could be stopped and supplies could be delayed or otherwise disrupted.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need to change manufacturers after commercialization, the FDA and corresponding foreign regulatory agencies must approve these new manufacturers in advance, which will involve testing, regulatory submissions, and additional inspections to ensure compliance with FDA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INDUSTRY REGULATION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Numerous governmental authorities, principally the FDA and corresponding state and foreign regulatory agencies, impose substantial regulations upon the clinical development, manufacture and marketing of our product candidates, as well as our ongoing research and development activities. We, along with our third-party contractors, will be required to navigate the various pre- and post-approval requirements of the governing regulatory agencies of the jurisdictions in which we wish to conduct clinical studies or market our product candidates. None of our product candidates, except UKONIQ, have been approved for sale in any market in which we have marketing rights. Before marketing in the U.S., any drug that we develop must undergo rigorous pre-clinical testing and clinical trials and an extensive regulatory review and approval process implemented by the FDA under the FDCA and, in the case of biologics, the Public Health Service Act (PHS Act). The FDA regulates, among other things, the pre-clinical and clinical testing, safety, efficacy, approval, manufacturing, quality control and assurance, record keeping, pharmacovigilance and adverse event reporting, packaging, labeling, storage, advertising, promotion, import and export, sale and distribution of biopharmaceutical products. The process of obtaining regulatory approvals and the subsequent compliance with applicable federal, state, local and foreign statutes and regulations require the expenditure of substantial time and financial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Applications for Marketing Authorization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regulatory review and approval process is lengthy, expensive and uncertain. We are required to submit extensive pre-clinical and clinical data and supporting information to the FDA for each indication or use to establish a drug candidate’s safety and efficacy before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can secure FDA approval to market or sell a product in the U.S. The approval process takes many years, requires the expenditure of substantial resources and may involve ongoing requirements for post-marketing studies or surveillance. Before commencing clinical trials in humans, we must submit an IND to the FDA containing, among other things, pre-clinical data, chemistry, manufacturing and control information, and an investigative plan. Our submission of an IND may not result in FDA authorization to commence a clinical trial.</w:t>
      </w:r>
    </w:p>
    <w:p>
      <w:pPr>
        <w:spacing w:after="0" w:line="1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Clinical testing must meet requirements for institutional review board oversight, informed consent and good clinical practices, and must be conducted pursuant to an IND, unless exempted. In addition, the FDA, equivalent foreign regulatory authority, or a data safety monitoring committee for a trial may place a clinical trial on hold or terminate it if it concludes that subjects are being exposed to an unacceptable health risk, or for futility. Any drug is likely to produce some toxicity or undesirable side effects in animals and in humans when administered at sufficiently high doses and/or for a sufficiently long period of time. Unacceptable toxicity or side effects may occur at any dose level at any time in the course of studies in animals designed to identify unacceptable effects of a drug candidate, known as toxicological studies, or clinical trials of drug candidates. The appearance of any unacceptable toxicity or side effect could cause us or regulatory authorities to interrupt, limit, delay or abort the development of any of our drug candidates and could ultimately prevent approval by the FDA or foreign regulatory authorities for any or all targeted indications.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clinical development and to pursue NDA or BLA approval, clinical trials are typically conducted in the following sequential phases:</w:t>
      </w:r>
    </w:p>
    <w:p>
      <w:pPr>
        <w:spacing w:after="0" w:line="170" w:lineRule="exact"/>
        <w:rPr>
          <w:sz w:val="20"/>
          <w:szCs w:val="20"/>
          <w:color w:val="auto"/>
        </w:rPr>
      </w:pPr>
    </w:p>
    <w:p>
      <w:pPr>
        <w:ind w:left="980" w:right="20" w:hanging="315"/>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is administered to a small group of humans, either healthy volunteers or patients, to test for safety, dosage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excretion, and clinical pharmacology.</w:t>
      </w:r>
    </w:p>
    <w:p>
      <w:pPr>
        <w:spacing w:after="0" w:line="170" w:lineRule="exact"/>
        <w:rPr>
          <w:rFonts w:ascii="Arial" w:cs="Arial" w:eastAsia="Arial" w:hAnsi="Arial"/>
          <w:sz w:val="18"/>
          <w:szCs w:val="18"/>
          <w:color w:val="auto"/>
        </w:rPr>
      </w:pPr>
    </w:p>
    <w:p>
      <w:pPr>
        <w:ind w:left="980" w:right="20" w:hanging="315"/>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Studies are conducted on a larger number of patients to assess the efficacy of the product, to ascertain dose tolerance</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optimal dose range, and to gather additional data relating to safety and potential adverse events.</w:t>
      </w:r>
    </w:p>
    <w:p>
      <w:pPr>
        <w:spacing w:after="0" w:line="146" w:lineRule="exact"/>
        <w:rPr>
          <w:rFonts w:ascii="Arial" w:cs="Arial" w:eastAsia="Arial" w:hAnsi="Arial"/>
          <w:sz w:val="17"/>
          <w:szCs w:val="17"/>
          <w:color w:val="auto"/>
        </w:rPr>
      </w:pPr>
    </w:p>
    <w:p>
      <w:pPr>
        <w:ind w:left="980" w:hanging="31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Studies establish safety and efficacy in an expanded patient population.</w:t>
      </w:r>
    </w:p>
    <w:p>
      <w:pPr>
        <w:spacing w:after="0" w:line="225" w:lineRule="exact"/>
        <w:rPr>
          <w:rFonts w:ascii="Arial" w:cs="Arial" w:eastAsia="Arial" w:hAnsi="Arial"/>
          <w:sz w:val="18"/>
          <w:szCs w:val="18"/>
          <w:color w:val="auto"/>
        </w:rPr>
      </w:pPr>
    </w:p>
    <w:p>
      <w:pPr>
        <w:ind w:left="980" w:right="20" w:hanging="315"/>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Phase 4: </w:t>
      </w:r>
      <w:r>
        <w:rPr>
          <w:rFonts w:ascii="Arial" w:cs="Arial" w:eastAsia="Arial" w:hAnsi="Arial"/>
          <w:sz w:val="18"/>
          <w:szCs w:val="18"/>
          <w:color w:val="auto"/>
        </w:rPr>
        <w:t>The FDA may require Phase 4 post-marketing studies to find out more about the drug’s long-term risks, benefits, and</w:t>
      </w:r>
      <w:r>
        <w:rPr>
          <w:rFonts w:ascii="Arial" w:cs="Arial" w:eastAsia="Arial" w:hAnsi="Arial"/>
          <w:sz w:val="18"/>
          <w:szCs w:val="18"/>
          <w:i w:val="1"/>
          <w:iCs w:val="1"/>
          <w:color w:val="auto"/>
        </w:rPr>
        <w:t xml:space="preserve"> </w:t>
      </w:r>
      <w:r>
        <w:rPr>
          <w:rFonts w:ascii="Arial" w:cs="Arial" w:eastAsia="Arial" w:hAnsi="Arial"/>
          <w:sz w:val="18"/>
          <w:szCs w:val="18"/>
          <w:color w:val="auto"/>
        </w:rPr>
        <w:t>optimal use, or to test the drug in different populations.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length of time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that may increase the costs of these trials, include:</w:t>
      </w:r>
    </w:p>
    <w:p>
      <w:pPr>
        <w:spacing w:after="0" w:line="184" w:lineRule="exact"/>
        <w:rPr>
          <w:sz w:val="20"/>
          <w:szCs w:val="20"/>
          <w:color w:val="auto"/>
        </w:rPr>
      </w:pPr>
    </w:p>
    <w:p>
      <w:pPr>
        <w:ind w:left="980" w:right="20" w:hanging="315"/>
        <w:spacing w:after="0" w:line="258"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slow patient enrollment due to the nature of the clinical trial plan, the proximity of patients to clinical sites, the eligibility criteria for participation in the study or other factors;</w:t>
      </w:r>
    </w:p>
    <w:p>
      <w:pPr>
        <w:spacing w:after="0" w:line="1"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 or delays in approvals from a study site’s review board;</w:t>
      </w: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treatment time required to demonstrate efficacy or determine the appropriate product dose;</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insufficient supply of the drug candidates;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ineffectiveness of the drug candidates.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clinical trials that are intended to form the basis of a new drug or biologics license application for approval, sponsors of drugs may apply for an SPA from the FDA, by which the FDA provides official evaluation and written guidance on the design and size of proposed protocols. While obtaining an SPA provides some assurance the design of a trial should be sufficient for approval, the final marketing approval depends on the results of efficacy, the adverse event profile and an evaluation of the benefit/risk of treatment demonstrated in the Phase 3 trial. The SPA agreement may only be changed through a written agreement between the sponsor and the FDA, or if the FDA becomes aware of a substantial scientific issue essential to product safety or efficacy.</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September 2015, we reached an agreement with the FDA regarding an SPA on the design, endpoints and statistical analysis approach of a Phase 3 clinical trial, referred to as the UNITY-CLL trial, for the proprietary combination of ublituximab and umbralisib, for the treatment of CLL. The SPA provides agreement that the Phase 3 trial design adequately addresses objectives that, if met, would support the regulatory submission for drug approval of both ublituximab and umbralisib in combination. Additionally, in August 2017, we reached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agreement with the FDA regarding an SPA on the design of two Phase 3 clinical trials for ublituximab, referred to as the ULTIMATE I and ULTIMATE II Phase 3 clinical trials, for the treatment of relapsing forms of Multiple Sclerosis (RMS). The SPA provides agreement that the two Phase 3 trial designs adequately address objectives that, if met, would support the regulatory submission for approval of ublituximab. Despite obtaining an SPA the trials may not be positive and even if positive may not support FDA approval.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FDA may permit expedited development, evaluation, and marketing of new therapies intended to treat persons with serious or life-threatening conditions for which there is an unmet medical need under its expedited drug development programs. A sponsor can apply for Fast Track designation at the time of submission of an IND, or at any time prior to receiving marketing approval of the new drug application, or NDA. To receive Fast Track designation, an applicant must demonstrate:</w:t>
      </w:r>
    </w:p>
    <w:p>
      <w:pPr>
        <w:spacing w:after="0" w:line="177" w:lineRule="exact"/>
        <w:rPr>
          <w:sz w:val="20"/>
          <w:szCs w:val="20"/>
          <w:color w:val="auto"/>
        </w:rPr>
      </w:pPr>
    </w:p>
    <w:p>
      <w:pPr>
        <w:ind w:left="980" w:hanging="315"/>
        <w:spacing w:after="0"/>
        <w:tabs>
          <w:tab w:leader="none" w:pos="9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that the drug is intended to treat a serious or life-threatening condition; and</w:t>
      </w:r>
    </w:p>
    <w:p>
      <w:pPr>
        <w:spacing w:after="0" w:line="23" w:lineRule="exact"/>
        <w:rPr>
          <w:rFonts w:ascii="Arial" w:cs="Arial" w:eastAsia="Arial" w:hAnsi="Arial"/>
          <w:sz w:val="22"/>
          <w:szCs w:val="22"/>
          <w:color w:val="auto"/>
        </w:rPr>
      </w:pPr>
    </w:p>
    <w:p>
      <w:pPr>
        <w:ind w:left="980" w:hanging="315"/>
        <w:spacing w:after="0" w:line="208" w:lineRule="auto"/>
        <w:tabs>
          <w:tab w:leader="none" w:pos="9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that nonclinical or clinical data demonstrate the potential to address an unmet medical need.</w:t>
      </w:r>
    </w:p>
    <w:p>
      <w:pPr>
        <w:spacing w:after="0" w:line="21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FDA must respond to a request for Fast Track designation within 60 calendar days of receipt of the request. Over the course of drug development, a product in a Fast Track development program must continue to meet the criteria for Fast Track designation. Sponsors of products in Fast Track drug development programs must be in regular contact with the reviewing division of the FDA to ensure that the evidence necessary to support marketing approval will be developed and presented in a format conducive to an efficient review. Sponsors of products in Fast Track drug development programs are also permitted to submit portions of an NDA or BLA to the FDA on a rolling basis where the FDA may consider reviewing portions of a marketing application before the sponsor submits the complete application.</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sponsors may also apply to the FDA for Breakthrough Therapy Designation (“BTD”). The procedures and requirements for BTD are similar to those required for Fast Track such that the Breakthrough Therapy Designation is intended to expedite the development and review of a potential new drug for serious or life-threatening diseases, however, with BTD, there is a further requirement that the sponsor present “preliminary clinical evidence” which “indicates that the drug may demonstrate substantial improvement over existing therapies on one or more clinically significant endpoints, such as substantial treatment effects observed early in clinical development.” The designation of a drug as a Breakthrough Therapy was enacted as part of the 2012 Food and Drug Administration Safety and Innovation Act.</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January 2019, we announced that the FDA granted Breakthrough Therapy Designation for umbralisib for the treatment of adult patients with marginal zone lymphoma (MZL) who have received at least one prior anti-CD20 regimen based on interim results from a subset of patients from the MZL cohort of the UNITY-NHL clinical trial.</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Sponsors of drugs granted Fast Track or breakthrough therapy designation also may seek approval under the FDA’s accelerated approval regulations. Under this authority,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To obtain accelerated approval a sponsor must be able to demonstrate the drug candidate treats a serious condition, provides a meaningful advantage over other available therapies, and demonstrates an effect on a surrogate endpoint that is reasonably likely to predict clinical benefit. Many companies have filed for accelerated approval and have subsequently failed to obtain such approval for a variety of reasons. To the extent a product does obtain an accelerated approval, such approval will be subject to the requirement that the applicant study the drug further in a post-marketing confirmatory clinical trial to verify and describe its clinical benefit where there is uncertainty as to the relation of the surrogate endpoint to clinical benefit or uncertainty as to the relation of the observed clinical benefit to ultimate outcome. Accelerated approval is sometimes referred to as conditional approval because if the results of these confirmatory clinical trials fail to verify clinical benefit, the FDA has the right to remove the drug from the market and has done so in the recent past. Post-marketing confirmation studies are usually underway at the time an applicant files the NDA. When required to be conducted, such post-marketing confirmation studies must also be adequate and well-controlled. The applicant must carry out any such post-marketing confirmation studies with due diligence.</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2021, we obtained accelerated approval of UKONIQ for relapsed or refractory MZL who have received at least one prior anti-CD20-based regimen and for relapsed or refractory FL who have received at least three prior lines of systemic therapy. The FDA approved these indications based on overall response rate. Continued approval for these indications may be contingent upon verification and description of clinical benefit in a confirmatory trial.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also becoming more common for the FDA to request a Risk Evaluation and Mitigation Strategy, or REMS, as part of an NDA/BLA. The REMS plan contains post-market obligations of the sponsor to train prescribing physicians, monitor off-label drug use, and conduct Phase 4 follow-up studies and registries to ensure the continued safe use of the drug.</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NDA and BLA review process also generally includes a pre-approval inspection, or PAI, to assess the manufacturing facilities and relevant processes and data for compliance, and readiness for commercial manufacture in accordance with cGMPs. Among the conditions of approval is the requirement that a manufacturer’s quality systems and manufacturing procedures conform to cGMP. Even when product approval is received, manufacturers must expend significant time, money and effort to ensure continued compliance, and the FDA conducts periodic surveillance inspections to monitor the manufacturing process and drug quality and evaluate whether the manufacturers are in compliance. It may be difficult for our manufacturers or us to comply with the applicable cGMP, as interpreted by the FDA, and other FDA regulatory requirements. If we, or our contract manufacturers, fail to comply, then the FDA may not allow us to market products that have been affected by the failure. Many drug approvals have been delayed due to issues at contract manufacturing facilities. If we were to experience any such delay that would negatively impact our business and timeline to commercialization of any of our drug candidates affected by such manufacturing issue.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216" w:lineRule="exact"/>
        <w:rPr>
          <w:sz w:val="20"/>
          <w:szCs w:val="20"/>
          <w:color w:val="auto"/>
        </w:rPr>
      </w:pPr>
    </w:p>
    <w:p>
      <w:pPr>
        <w:jc w:val="both"/>
        <w:ind w:right="20" w:firstLine="648"/>
        <w:spacing w:after="0"/>
        <w:rPr>
          <w:sz w:val="20"/>
          <w:szCs w:val="20"/>
          <w:color w:val="auto"/>
        </w:rPr>
      </w:pPr>
      <w:r>
        <w:rPr>
          <w:rFonts w:ascii="Arial" w:cs="Arial" w:eastAsia="Arial" w:hAnsi="Arial"/>
          <w:sz w:val="17"/>
          <w:szCs w:val="17"/>
          <w:color w:val="auto"/>
        </w:rPr>
        <w:t>Any products for which we receive FDA approval are subject to continuing regulation by the FDA and other federal and state regulators on a wide range of matters, including, among other things cGMPs and product quality, pharmacovigilance and reporting of adverse events, product distribution requirements, fulfilling post-marketing or confirmatory study or REMS commitments, and complying with FDA promotion and advertising requirements. Violations of the FDCA or other post-approval regulatory requirements may result in agency enforcement actions, including withdrawal of approval, recall, seizure of products, warning letters, injunctions, fines and/or civil or criminal penalties. Any agency enforcement action could have a material adverse effect on our business.</w:t>
      </w:r>
    </w:p>
    <w:p>
      <w:pPr>
        <w:spacing w:after="0" w:line="15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The FDA promotion and advertising requirements applicable to marketed products include, among other things, standards for direct-to-consumer advertising, restrictions against promoting products for uses or in patient populations that are not either described in the product’s approved indications and uses or otherwise consistent with the FDA-approved product labeling, limitations on industry-sponsored scientific and educational activities, rules regarding communication of health care economic information regarding biopharmaceutical products to payors and formularies, and requirements for promotional activities involving the internet. Drugs whose review was accelerated may carry additional requirements on marketing activities, including the requirement that all promotional materials are pre-submitted to the FDA. Although a healthcare provider may prescribe a product for a use that has not been approved by the FDA when the healthcare provider deems such use to be appropriate in his or her professional medical judgment, manufacturers may not market or promote unapproved uses. Although court decisions have to some degree impacted FDA’s enforcement activity regarding alleged off-label promotion in light of First Amendment considerations, there are still significant risks in this area, in part because there is the potential for False Claims Act exposure in addition to the potential for enforcement under the FDCA.</w:t>
      </w:r>
    </w:p>
    <w:p>
      <w:pPr>
        <w:spacing w:after="0" w:line="167" w:lineRule="exact"/>
        <w:rPr>
          <w:sz w:val="20"/>
          <w:szCs w:val="20"/>
          <w:color w:val="auto"/>
        </w:rPr>
      </w:pPr>
    </w:p>
    <w:p>
      <w:pPr>
        <w:jc w:val="both"/>
        <w:ind w:firstLine="492"/>
        <w:spacing w:after="0" w:line="269" w:lineRule="auto"/>
        <w:rPr>
          <w:sz w:val="20"/>
          <w:szCs w:val="20"/>
          <w:color w:val="auto"/>
        </w:rPr>
      </w:pPr>
      <w:r>
        <w:rPr>
          <w:rFonts w:ascii="Arial" w:cs="Arial" w:eastAsia="Arial" w:hAnsi="Arial"/>
          <w:sz w:val="17"/>
          <w:szCs w:val="17"/>
          <w:color w:val="auto"/>
        </w:rPr>
        <w:t>After product approval, quality control and manufacturing procedures must continue to conform to applicable manufacturing requirements. FDA regulations require among other things, quality control and quality assurance as well as the corresponding maintenance of records and documentation and the obligation to investigate and correct any deviations from cGMPs. Manufacturers and other entities involved in the manufacture and distribution of approved products are required to register their establishments and list their products with the FDA and certain state agencies. Manufacturers and their third-party contractors may be subject to periodic unannounced inspections by the FDA and certain state agencies for assessment of compliance with cGMPs and other applicable laws. Accordingly, manufacturers must continue to expend time, money, and effort in the areas of production and quality control to maintain quality control and manufacturing compliance. Discovery of problems with a product after approval may result in restrictions on a product, including, among other things, withdrawal of approval, recall or withdrawal of the product from the market. In addition, changes to the manufacturing process are strictly regulated, and depending on the significance of the change, may require prior FDA approval or notification before being implemented. Other types of changes to the approved product, such as adding new indications and claims to the product labeling, are also subject to further FDA review and approval.</w:t>
      </w:r>
    </w:p>
    <w:p>
      <w:pPr>
        <w:spacing w:after="0" w:line="179" w:lineRule="exact"/>
        <w:rPr>
          <w:sz w:val="20"/>
          <w:szCs w:val="20"/>
          <w:color w:val="auto"/>
        </w:rPr>
      </w:pPr>
    </w:p>
    <w:p>
      <w:pPr>
        <w:jc w:val="both"/>
        <w:ind w:firstLine="492"/>
        <w:spacing w:after="0" w:line="273" w:lineRule="auto"/>
        <w:rPr>
          <w:sz w:val="20"/>
          <w:szCs w:val="20"/>
          <w:color w:val="auto"/>
        </w:rPr>
      </w:pPr>
      <w:r>
        <w:rPr>
          <w:rFonts w:ascii="Arial" w:cs="Arial" w:eastAsia="Arial" w:hAnsi="Arial"/>
          <w:sz w:val="17"/>
          <w:szCs w:val="17"/>
          <w:color w:val="auto"/>
        </w:rPr>
        <w:t>Marketed products must meet the requirements of the Drug Supply Chain Security Act, or DSCSA, which regulates the commercial distribution of prescription drug products at the federal level. The DSCSA sets certain standards for federal or state registration, requires tracing of products through the pharmaceutical distribution supply chain, and imposes other requirements on entities in the supply chain, including manufacturers and repackagers, wholesale distributors, third-party logistics providers, and dispensers. The DSCSA requirements, development of standards, and the system for product tracing have been and will continue to be phased in over a period of years, with FDA indicating enforcement discretion on certain aspects due to the COVID-19 pandemic.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75" w:lineRule="auto"/>
        <w:rPr>
          <w:sz w:val="20"/>
          <w:szCs w:val="20"/>
          <w:color w:val="auto"/>
        </w:rPr>
      </w:pPr>
      <w:r>
        <w:rPr>
          <w:rFonts w:ascii="Arial" w:cs="Arial" w:eastAsia="Arial" w:hAnsi="Arial"/>
          <w:sz w:val="17"/>
          <w:szCs w:val="17"/>
          <w:color w:val="auto"/>
        </w:rPr>
        <w:t>In addition, the postmarketing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may require the implementation of other risk management measures.</w:t>
      </w:r>
    </w:p>
    <w:p>
      <w:pPr>
        <w:spacing w:after="0" w:line="176" w:lineRule="exact"/>
        <w:rPr>
          <w:sz w:val="20"/>
          <w:szCs w:val="20"/>
          <w:color w:val="auto"/>
        </w:rPr>
      </w:pPr>
    </w:p>
    <w:p>
      <w:pPr>
        <w:jc w:val="both"/>
        <w:ind w:firstLine="492"/>
        <w:spacing w:after="0" w:line="257"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approval, manufacturing and marketing of products regulated by the FDA. In addition to new legislation, FDA regulations, guidance documents, and policies are often revised or reinterpreted by the agency in ways that may significantly affect our business. It is impossible to predict whether further legislative or FDA regulation or policy changes will be enacted or implemented and what the impact of such changes, if any, may be.</w:t>
      </w:r>
    </w:p>
    <w:p>
      <w:pPr>
        <w:spacing w:after="0" w:line="36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Should we wish to market our products outside the U.S., we must receive marketing authorization from the appropriate foreign regulatory authorities. The requirements governing the conduct of clinical trials, marketing authorization, pricing and reimbursement vary widely from country to country. Importantly, the level of evidence of efficacy and safety necessary to apply for marketing authorization for a drug candidate differs from country to country. In particular, clinical trial endpoints, and the level of clinical evidence that may support an accelerated approval filing with the FDA, such as the ORR data from the single-arm cohorts of the UNITY-NHL study that we used as the basis for a filing and approval for UKONIQ in MZL and FL, may be insufficient to file for marketing applications outside of the U.S. At present, companies are typically required to apply for foreign marketing authorizations at a national level. However, within the European Union, centralized registration procedures are available to companies wishing to market a product across the European Union member states. Typically, if the regulatory authority is satisfied that a company has presented adequate evidence of safety, quality and efficacy, then the regulatory authority will grant a marketing authorization. This foreign regulatory approval process, however, involves risks similar or identical to the risks associated with FDA approval discussed above, and therefore we cannot guarantee that we will be able to obtain the appropriate marketing authorization for any product in any particular country.</w:t>
      </w:r>
    </w:p>
    <w:p>
      <w:pPr>
        <w:spacing w:after="0" w:line="15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Failure to comply with applicable federal, state and foreign laws and regulations would likely have a material adverse effect on our business. In addition, federal, state and foreign laws and regulations regarding the manufacture and sale of new drugs are subject to future changes. We cannot predict the likelihood, nature, effect or extent of adverse governmental regulation that might arise from future legislative or administrative action, either in the U.S. or abroad.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7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Sales of our drugs will depend, in part, on the extent to which our drugs will be covered by third-party payors, such as government health programs, commercial insurance and managed healthcare organizations. These third-party payors are increasingly reducing reimbursements for medical drugs and services. In addition, the containment of healthcare costs has become a priority of foreign and U.S. federal and state governments, and the prices of drugs have been a focus in this effort. The U.S. government, state legislatures and foreign governments have shown significant interest in implementing cost-containment programs, including price controls, restrictions on reimbursement, importation,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physician usage of such drugs and have a material adverse effect on our sales, results of operations and financial condition.</w:t>
      </w:r>
    </w:p>
    <w:p>
      <w:pPr>
        <w:spacing w:after="0" w:line="14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In the U.S., the Patient Protection and Affordable Care Act, as amended by the Health Care and Education Reconciliation Act of 2010, or collectively the Affordable Care Act, enacted in March 2010, has had a significant impact on the health care industry. The Affordable Care Act expanded coverage for the uninsured while at the same time containing overall healthcare costs. With regard to pharmaceutical products, the Affordable Care Act, among other things, created a new average manufacturer price definition under the Medicaid Drug Rebate Program for drugs that are inhaled, infused, instilled, implanted or injected and not generally dispensed through the retail channel,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(subsequent legislation increased this to 70% effective as of January 1, 2019), as a condition for the manufacturer’s outpatient drugs to be covered under Medicare Part 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Since the enactment of the Affordable Care Act, certain provisions of the Affordable Care Act have been subject to judicial challenges as well as efforts to repeal or replace them or to alter their interpretation or implementation. For example, the Tax Cuts and Jobs Act enacted on December 22, 2017 (the Tax Act), eliminated the shared responsibility payment for individuals who fail to maintain minimum essential coverage under section 5000A of the Internal Revenue Code of 1986, commonly referred to as the individual mandate, effective January 1, 2019. In December 2018, a United States District Court Judge for the Northern District of Texas ruled (i) that the “individual mandate” was unconstitutional as a result of the associated tax penalty being repealed by Congress as part of the Tax Act; and (ii) the individual mandate is not severable from the rest of the Affordable Care Act, and as a result the entire Affordable Care Act is invalid. On December 18, 2019, the U.S. Court of Appeals for the Fifth Circuit affirmed the district court’s decision that the individual mandate is unconstitutional, but remanded the case to the district court to reconsider the severability question. Thereafter, the U.S. Supreme Court agreed to hear this case. Oral argument in the case took place on November 10, 2020, and a ruling by the Court is expected sometime this year. Although litigation and legislation over the Affordable Care Act are likely to continue, with unpredictable and uncertain results, we expect that the Biden administration may seek to expand and strengthen the Affordable Care Act.</w:t>
      </w:r>
    </w:p>
    <w:p>
      <w:pPr>
        <w:spacing w:after="0" w:line="17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Trump administration issued five executive orders intended to lower the costs of prescription drug products but it is unclear whether, and to what extent, these orders will remain in force under the Biden administration, which, like the Trump administration, has indicated lowering prescription drug prices is a priority. Although we do not know what steps the Biden administration will take with respect to drug pricing, we expect that additional U.S. federal healthcare reform measures could be adopted in the future, any of which could limit the amounts that the U.S. federal government will pay for healthcare products and services, which could result in additional pricing pressures and reduced demand for any of our products that receive marketing approval.</w:t>
      </w:r>
    </w:p>
    <w:p>
      <w:pPr>
        <w:spacing w:after="0" w:line="14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prescription drug pricing, including price and marketing cost disclosure and transparency measures, and, in some cases, authorizing importation of prescription drugs from other countries.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or put pressure on our product pricing. We expect that additional state healthcare reform measures will be adopted in the future, which could limit the amounts that state governments will pay for healthcare products and services and result in additional pricing pressures.</w:t>
      </w:r>
    </w:p>
    <w:p>
      <w:pPr>
        <w:spacing w:after="0" w:line="149" w:lineRule="exact"/>
        <w:rPr>
          <w:sz w:val="20"/>
          <w:szCs w:val="20"/>
          <w:color w:val="auto"/>
        </w:rPr>
      </w:pPr>
    </w:p>
    <w:p>
      <w:pPr>
        <w:jc w:val="both"/>
        <w:ind w:firstLine="719"/>
        <w:spacing w:after="0" w:line="225" w:lineRule="auto"/>
        <w:rPr>
          <w:sz w:val="20"/>
          <w:szCs w:val="20"/>
          <w:color w:val="auto"/>
        </w:rPr>
      </w:pPr>
      <w:r>
        <w:rPr>
          <w:rFonts w:ascii="Arial" w:cs="Arial" w:eastAsia="Arial" w:hAnsi="Arial"/>
          <w:sz w:val="18"/>
          <w:szCs w:val="18"/>
          <w:color w:val="auto"/>
        </w:rPr>
        <w:t>In addition, in some foreign countries, the proposed pricing for a prescription drug must be approved before the drug may be lawfully marketed. The requirements governing drug pricing vary widely from country to country. For example, the United Kingdom and many European Union member states have robust health technology assessment processes to determine pricing and reimbursement for pharmaceuticals through their national health insurance system. Many European Union members states also include either direct or indirect price referencing, or other price control mechanisms, in determining the price of a pharmaceutical in their market. There can be no assurance that any country that has price controls or reimbursement limitations for pharmaceutical drugs will allow favorable reimbursement and pricing arrangements for any of our products. Historically, drugs launched in the European Union do not follow price structures of the U.S. and generally tend to be significantly lower.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Healthcare Laws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privacy and security laws; laws governing interactions with healthcare professionals and related transparency requirements (such as the federal Sunshine Act and a range of state biopharmaceutical marketing and transparency laws); and requirements for manufacturers to report certain calculated product prices to the government or provide certain discounts or rebates to government authorities or private entities, often as a condition of reimbursement under government healthcare programs. The compliance and enforcement landscape is informed by government enforcement precedent and settlement history, Advisory Opinions, and Special Fraud Alerts. The risks we face and our approach to compliance may evolve over time in light of these types of developments. The potential safe harbors available for, example, relative to the Anti-Kickback Statute, are subject to change through legislative and regulatory action, and we may decide to adjust our business practices or be subject to heightened scrutiny as a result.</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federal Anti-Kickback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programs. The government has enforced the Anti-Kickback Statute to reach large settlements with healthcare companies based on research, consulting and other financial arrangements with physicians that the government alleged were not based on the provision of bona fide services and were intended as an inducement or reward.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The majority of states also have anti-kickback laws, which establish similar prohibitions and in some cases may apply to items or services reimbursed by any third-party payor, including commercial insurers.</w:t>
      </w:r>
    </w:p>
    <w:p>
      <w:pPr>
        <w:spacing w:after="0" w:line="12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the civil False Claims Act prohibits, among other things,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federal Health Insurance Portability and Accountability Act of 1996, or 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9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There has also been a recent trend of increased federal and state regulation of payments made to physicians and other healthcare providers. The Affordable Care Act,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are required to submit annual reports to the Centers for Medicare &amp; Medicaid Services, which publicly posts the data on its website. Effective January 1, 2022, these reporting obligations will extend to include transfers of value made to certain non-physician providers such as physician assistants and nurse practitioners. Certain states also mandate implementation of compliance programs, impose restrictions on drug manufacturer marketing practices and/or require the tracking and reporting of gifts, compensation and other remuneration to physicians.</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according to the U.S. Federal Trade Commission, or the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under HIPAA.</w:t>
      </w:r>
    </w:p>
    <w:p>
      <w:pPr>
        <w:spacing w:after="0" w:line="18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we may be subject to state law equivalents of each of the above federal laws, such as anti-kickback and false claims laws which may apply to items or services reimbursed by any third-party payor, including commercial insurers, and state laws governing</w:t>
      </w:r>
    </w:p>
    <w:p>
      <w:pPr>
        <w:sectPr>
          <w:pgSz w:w="11900" w:h="16838" w:orient="portrait"/>
          <w:cols w:equalWidth="0" w:num="1">
            <w:col w:w="10220"/>
          </w:cols>
          <w:pgMar w:left="840" w:top="517" w:right="8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privacy and security of health information in certain circumstances, many of which differ from each other in significant ways, thus complicating compliance efforts. For example, the California Consumer Protection Act, or CCPA, which went into effect on January 1, 2020, establishes a new privacy framework for covered businesses by creating an expanded definition of personal information, establishing new data privacy rights for consumers in California, and creating a new and potentially severe statutory damages framework for violations of the CCPA and for businesses that fail to implement reasonable security procedures and practices to prevent data breaches. The CCPA was recently amended by the California Privacy Rights Act (CPRA), expanding certain consumer rights such as the right to know. It remains unclear what, if any, additional modifications will be made to these laws by the California legislature or how these laws will be interpreted and enforced. The potential effects of the CCPA and CPRA are significant and may cause us to incur substantial costs and expenses to comply.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 of the World Healthcare Regulation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other countries outside of the U.S. and the European Union, the requirements governing the conduct of clinical trials, drug licensing, sales and marketing, pricing and reimbursement vary from country to country.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European Union member states, the United Kingdom, Switzerland and other foreign jurisdictions have adopted data protection laws and regulations, which impose significant compliance obligations. In the European Union and the United Kingdom, the collection and use of personal data, including clinical trial data, is governed by the provisions of the General Data Protection Regulation, or GDPR. The GDPR, together with national legislation, regulations and guidelines of the European Union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European Union or the United Kingdom, security breach notifications, security and confidentiality of the personal data and imposition of substantial potential fines for breaches of the data protection obligations. Compliance with the GDPR is a rigorous and time-intensive process that may increase the cost of doing business to ensure full compliance. Furthermore, European data protection authorities may interpret the GDPR and national laws differently and impose additional requirements, which add to the complexity of processing personal data in or from the European Union or United Kingdom.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February 18, 2021, we had 272 full-time employees. None of our employees are represented by a collective bargaining agreement, and we have never experienced a work stoppage.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future success largely depends upon our continued ability to attract and retain a diverse workforce of highly skilled and dedicated employees. We provide our employees with competitive salaries and bonuses and opportunities for equity ownership. In addition, we provide an inclusive and collaborative work environment with learning and development opportunities. We strive to foster a culture of diversity in backgrounds and ideas as we believe that diversity, equity, and inclusion are paramount to our success. We understand that in order to perform at maximum capacity, our workforce needs to cultivate a welcoming and inclusive environment wherein employees feel they can represent themselves fully. We pride ourselves on being an equal opportunity employer and strictly prohibit unlawful discrimination based on color, religion, gender, sexual orientation, gender identity/expression, national origin/ancestry, age, disability, marital and veteran status.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to continue to grow our organizational footprint in 2021 with a focus on expanding our commercialization team in preparation for the potential U.S. launches of U2 in CLL and ublituximab in MS. We will continue to evaluate the business needs and market opportunities, balancing in-house expertise and core competencies with outsourced capacity.</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Drug development and commercialization requires deep expertise across a broad array of disciplines. Pharmaceutical companies of all sizes compete for a limited number of qualified applicants to fill specialized positions. To attract qualified candidates, the Company offers an attractive total rewards package, consisting of base salary, cash bonus, a comprehensive benefit package, equity compensation, and 401(k) plan. Bonus opportunities and equity compensation increase as a percentage of total compensation based on level of responsibility, and actual bonus awards are based on performance.</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You should carefully consider the following risk factors and the other information contained elsewhere in this Annual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 Additionally, many of these risks and uncertainties are currently elevated by and may or will continue to be elevated by the COVID-19 pandemic.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UKONIQ, or any product candidate for which we in the future obtain regulatory approval, does not achieve broad market acceptance among physicians, patients, healthcare payors, and the medical community, the revenues that we generate from product sales will be limited.</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one marketed product, UKONIQ (umbralisib), which received accelerated approval from the FDA on February 5, 2021 for the treatment of relapsed or refractory MZL in patients who have received at least one prior anti-CD20-based regimen and relapsed or refractory FL in patients who have received at least three prior lines of systemic therapy. While we have initiated the commercial launch of UKONIQ in the U.S., we have limited experience as a commercial company and our ability to successfully overcome the risks associated with commercializing drugs in the biopharmaceutical industry, including the risk that our products do not achieve an adequate level of acceptance, remains uncertain. UKONIQ as well as other drugs that we may bring to the market in the future may not gain market acceptance by physicians, patients, third-party payors and others in the healthcare community. If our products do not achieve an adequate level of acceptance, we may not generate significant revenues, and we may not become profitable. The degree of market acceptance of UKONIQ, as well as any future product candidates for which we obtain approval, will depend on a number of factors, including:</w:t>
      </w:r>
    </w:p>
    <w:p>
      <w:pPr>
        <w:spacing w:after="0" w:line="166" w:lineRule="exact"/>
        <w:rPr>
          <w:sz w:val="20"/>
          <w:szCs w:val="20"/>
          <w:color w:val="auto"/>
        </w:rPr>
      </w:pPr>
    </w:p>
    <w:p>
      <w:pPr>
        <w:ind w:left="980" w:right="20" w:hanging="315"/>
        <w:spacing w:after="0" w:line="258"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our receipt of marketing approvals, the terms of such approvals, and the countries in which such approvals are obtained;</w:t>
      </w:r>
    </w:p>
    <w:p>
      <w:pPr>
        <w:spacing w:after="0" w:line="1"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safety and tolerability as demonstrated in clinical trials and as compared to alternative treatments;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market introduction of any of our product candidates as well as competitive products;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indications for which our products are approved, and other aspects of the approved labeling for such products;</w:t>
      </w:r>
    </w:p>
    <w:p>
      <w:pPr>
        <w:spacing w:after="0" w:line="9"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or neurology clinics, and patients of our products as safe, tolerable and effective treatments;</w:t>
      </w: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and perceived advantages or disadvantages of our products compared to alternative treatments;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adequate reimbursement by third party payors and government authorities;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of patient cost-sharing obligations, including copays and deductibles;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our products;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a reliable supply of our products that meets market demand;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favorable or unfavorable publicity relating to our products or relating to the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ability to successfully launch and secure market acceptance of UKONIQ and our late-stage product candidate ublituximab, if approved, may be impacted by the evolving COVID-19 pandemic, although we are currently unable to predict or quantify any such potential impact with any degree of certainty. As a result of the measures state and local governments have taken to date to control the spread of COVID-19, our office-based employees are working remotely and many of our commercialization efforts are happening virtually. The success of our commercialization may be impacted by the increased reliance on work-from-home arrangements for our employees, consultants, vendors, and potential customers. If the spread of COVID-19 and the social distancing measures taken by various governments continue, any commercial launch we undertake, including the ongoing launch of UKONIQ, may be hindered by various factors, including challenges in hiring employees necessary to support expansion of our commercialization footprint; delays in demand due to impacts on the healthcare system and overall economy; delays in coverage decisions from Medicare and third-party payors; restrictions on our personal interactions with physicians, hospitals, payors, and other customers; interruptions or delays in our commercial supply chain; and increases in the number of uninsured or underinsured patients.</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UKONIQ or any future products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84"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We may be subject to limitations on the indicated uses or requirements to fulfill certain post-marketing requirements to the satisfaction of regulatory authorities, or may be unable to maintain marketing approval for UKONIQ or future products that we may bring to market.</w:t>
      </w:r>
    </w:p>
    <w:p>
      <w:pPr>
        <w:spacing w:after="0" w:line="1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Regulatory approvals for any of our product candidates may be subject to limitations on the approved indicated uses for which the product may be marketed or contain requirements for potentially costly post-marketing testing, including Phase IV clinical trials, and surveillance to monitor the safety and efficacy of the approved product candidate. With respect to the FDA’s approval of UKONIQ for relapsed or refractory MZL and FL, we received accelerated approval and are subject to certain post-approval requirements. For example, we will need to conduct a confirmatory clinical trial, which will involve a Phase 3 trial that may be expensive and time-consuming and may not confirm the benefit making the MZL and FL indications for UKONIQ subject to withdrawal of continued approval by the FDA, which could significantly harm our business. In addition, we will need to conduct additional clinical studies to address post-marketing commitments and post-marketing requirements related to further assessing the drug-drug interaction profile of UKONIQ and its safety, efficacy, and pharmacokinetic properties in certain at-risk populations. These studies are highly specialized in their design and conduct and are associated with considerable expenses, and based on the outcome, could result in further labeling restrictions that could impair or restrict the way in which we are able to market UKONIQ, or negatively impact its overall clinical profile.</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with respect to UKONIQ, and any product candidate that the FDA or a comparable foreign regulatory authority approves, the manufacturing processes,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or GMPs, with Good Clinical Practices, or GCPs, for any clinical trials that we conduct post-approval, and with Good Laboratory Practices, or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UKONIQ, and any of product candidates for which we in the future obtain approval, may after approval be found to cause undesirable side effects that could result in significant negative consequences following commercialization.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UKONIQ or any future approved products are used more widely or for a longer duration after being brought to market, data may emerge from clinical studies, including confirmatory or other post-marketing studies, or from adverse event reporting that may affect the commercial potential of our products. For example, as additional patients are exposed for longer durations to UKONIQ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UKONIQ or our product candidates following introduction into the market, a number of potentially significant negative consequences could result, including:</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1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or limit the use (indication) of such products;</w:t>
      </w:r>
    </w:p>
    <w:p>
      <w:pPr>
        <w:spacing w:after="0" w:line="23"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warnings or boxed warnings, precautions, or contraindications that could diminish the usage of the product or otherwise limit the commercial success of the affected product;</w:t>
      </w:r>
    </w:p>
    <w:p>
      <w:pPr>
        <w:spacing w:after="0" w:line="1"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or to conduct additional clinical trials;</w:t>
      </w:r>
    </w:p>
    <w:p>
      <w:pPr>
        <w:jc w:val="both"/>
        <w:ind w:left="980" w:right="20" w:hanging="315"/>
        <w:spacing w:after="0" w:line="250"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spacing w:after="0" w:line="1" w:lineRule="exact"/>
        <w:rPr>
          <w:rFonts w:ascii="Arial" w:cs="Arial" w:eastAsia="Arial" w:hAnsi="Arial"/>
          <w:sz w:val="18"/>
          <w:szCs w:val="18"/>
          <w:color w:val="auto"/>
        </w:rPr>
      </w:pPr>
    </w:p>
    <w:p>
      <w:pPr>
        <w:ind w:left="980" w:hanging="31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not be able to enter into collaboration agreements on acceptable terms and execute on our business model;</w:t>
      </w:r>
    </w:p>
    <w:p>
      <w:pPr>
        <w:spacing w:after="0" w:line="20" w:lineRule="exact"/>
        <w:rPr>
          <w:rFonts w:ascii="Arial" w:cs="Arial" w:eastAsia="Arial" w:hAnsi="Arial"/>
          <w:sz w:val="17"/>
          <w:szCs w:val="17"/>
          <w:color w:val="auto"/>
        </w:rPr>
      </w:pPr>
    </w:p>
    <w:p>
      <w:pPr>
        <w:ind w:left="980" w:hanging="31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products;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one or a combination of these events could prevent us from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UKONIQ and our product candidates have not been established with precision. If the market opportunities for UKONIQ and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precise incidence and/or prevalence of relapsed or refractory MZL after one prior anti-CD20-based regimen, relapsed or refractory FL after three prior lines of systemic therapy, CLL, and relapsing forms of MS are unknown. Our projections of both the number of patients within our FDA-approved indications for UKONIQ and target indications for ublituximab and UKONIQ (U2) in CLL and ublituximab in MS, as well as the subset of these patients who have the potential to benefit from treatment with our products, are based on estimates. These estimates are typically based on one on 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may turn out to be lower than expected.</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total addressable market opportunity for UKONIQ in MZL and FL, U2 in CLL, and ublituximab in MS will ultimately depend upon, among other things, the scope of the final approved indication and other elements of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or patients and physicians may choose to utilize competitive products, all of which would adversely affect our results of operations and our business.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(the Lanham Act) and congruous state law, which protect businesses against the unfair competition of misleading advertising or labeling.</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cancer indications for which we received FDA approval of UKONIQ or for which we are developing our product candidates there are a number of established therapies with which we will compete:</w:t>
      </w:r>
    </w:p>
    <w:p>
      <w:pPr>
        <w:spacing w:after="0" w:line="170" w:lineRule="exact"/>
        <w:rPr>
          <w:sz w:val="20"/>
          <w:szCs w:val="20"/>
          <w:color w:val="auto"/>
        </w:rPr>
      </w:pPr>
    </w:p>
    <w:p>
      <w:pPr>
        <w:jc w:val="both"/>
        <w:ind w:left="980" w:right="20" w:hanging="315"/>
        <w:spacing w:after="0" w:line="271"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 the treatment of MZL, we expect UKONIQ to compete with ibrutinib (AbbVie and Janssen), and the combination of rituximab and lenalidomide (Bristol-Myers Squibb), as well as established treatments such as rituximab (Roche) and several generically available chemotherapies. In addition, there are investigational PI3K inhibitors being developed in MZL.</w:t>
      </w:r>
    </w:p>
    <w:p>
      <w:pPr>
        <w:jc w:val="both"/>
        <w:ind w:left="980" w:right="20" w:hanging="315"/>
        <w:spacing w:after="0" w:line="281"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the treatment of FL, we expect UKONIQ to compete with recently approved drugs such as obinutuzumab (Roche), idelalisib (Gilead), copanlisib (Bayer), duvelisib (Verastem), tazemetostat (Epizyme), and the combination of rituximab and lenalidomide (Bristol-Myers Squibb), and established treatments such as rituximab (Roche), and several generically available chemotherapies, many of which have FDA-approved indications for earlier lines of therapy (e.g., after two prior lines of systemic therapy) than UKONIQ. There are also several PI3K delta inhibitors in earlier stages of development for FL.</w:t>
      </w:r>
    </w:p>
    <w:p>
      <w:pPr>
        <w:spacing w:after="0" w:line="2" w:lineRule="exact"/>
        <w:rPr>
          <w:rFonts w:ascii="Arial" w:cs="Arial" w:eastAsia="Arial" w:hAnsi="Arial"/>
          <w:sz w:val="16"/>
          <w:szCs w:val="16"/>
          <w:color w:val="auto"/>
        </w:rPr>
      </w:pPr>
    </w:p>
    <w:p>
      <w:pPr>
        <w:jc w:val="both"/>
        <w:ind w:left="980" w:right="20" w:hanging="315"/>
        <w:spacing w:after="0" w:line="250"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the treatment of CLL, if U2 is approved, we expect the regimen to compete with recently approved drugs such as ibrutinib (AbbVie and Janssen), acalabrutinib (AstraZeneca), venetoclax (AbbVie and Roche), obinutuzumab (Roche), idelalisib (Gilead) and duvelisib (Verastem), and established treatments such as rituximab (Roche), and several generically available chemotherapies. Additionally, there are second generation BTK inhibitors similar to ibrutinib in late-stage clinical testing for CLL that could enter the market in the next 12-36 months. These agents can be used as monotherapy or in combination with one or more of the other agents.</w:t>
      </w:r>
    </w:p>
    <w:p>
      <w:pPr>
        <w:spacing w:after="0" w:line="2" w:lineRule="exact"/>
        <w:rPr>
          <w:rFonts w:ascii="Arial" w:cs="Arial" w:eastAsia="Arial" w:hAnsi="Arial"/>
          <w:sz w:val="18"/>
          <w:szCs w:val="18"/>
          <w:color w:val="auto"/>
        </w:rPr>
      </w:pPr>
    </w:p>
    <w:p>
      <w:pPr>
        <w:jc w:val="both"/>
        <w:ind w:left="980" w:right="20" w:hanging="315"/>
        <w:spacing w:after="0" w:line="255"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addition, a number of pharmaceutical companies are developing antibodies and bispecific antibodies targeting CD20, CD19, CD47 and other B-cell associated targets, chimeric antigen receptor T-cell (CAR-T) immunotherapy, and other B-cell ablative therapy which, if approved, would potentially compete with U2 and UKONIQ.</w:t>
      </w:r>
    </w:p>
    <w:p>
      <w:pPr>
        <w:spacing w:after="0" w:line="19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Multiple Sclerosis for which we are developing ublituximab there are a number of established therapies with which we will compete:</w:t>
      </w:r>
    </w:p>
    <w:p>
      <w:pPr>
        <w:spacing w:after="0" w:line="170" w:lineRule="exact"/>
        <w:rPr>
          <w:sz w:val="20"/>
          <w:szCs w:val="20"/>
          <w:color w:val="auto"/>
        </w:rPr>
      </w:pPr>
    </w:p>
    <w:p>
      <w:pPr>
        <w:jc w:val="both"/>
        <w:ind w:left="980" w:right="20" w:hanging="315"/>
        <w:spacing w:after="0" w:line="286"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ublituximab is approved, we expect ublituximab will primarily compete against other CD20 targeted agents, while the group of CD20 targeted agents will also compete broadly against a number of already approved MS therapies. Currently, there are two anti-CD20 monoclonal antibodies approved, ocrelizumab (Roche) and ofatumumab (Novartis).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Cosibelimab, TG-1701 and TG-1801 if approved will also face competition from drugs on the market and under development in the same therapeutic class as each of those drugs.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New developments, including the development of other pharmaceutical technologies and methods of treating disease, occur in the pharmaceutical and life sciences industries at a rapid pace. These developments may render our product candidates obsolete or noncompetitive. Compared to us, many of our potential competitors have substantially greater:</w:t>
      </w:r>
    </w:p>
    <w:p>
      <w:pPr>
        <w:spacing w:after="0" w:line="184" w:lineRule="exact"/>
        <w:rPr>
          <w:sz w:val="20"/>
          <w:szCs w:val="20"/>
          <w:color w:val="auto"/>
        </w:rPr>
      </w:pPr>
    </w:p>
    <w:p>
      <w:pPr>
        <w:ind w:left="980" w:hanging="315"/>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patient registration for clinical trials, and in identifying and in-licensing new product candidates.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UKONIQ, as well as any products that we are able to commercialize in the future, may become subject to unfavorable pricing regulations or third-party coverage and reimbursement policies, which would harm our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In addition, if we are successful in obtaining FDA approval for ublituximab for the treatment of CLL and MS, we will need to identify and execute a pricing strategy that takes into account the value of the product in each indication independently to realize the product’s full potential in both indications. If we are unable to identify and execute such a strategy, the pricing of ublituximab across indications may not be optimal, which may have a material adverse impact on the sales in one or both of the indications and on our overall business.</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payer-driven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If, in the future, we are unable to establish a commercial operation, including sales and marketing capabilities or enter into agreements with third parties to sell and market our drug candidates, we may not be successful in commercializing our product candidates if and when they are approved, and we may not be able to generate any revenue.</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preparation for the FDA approval and commercial introduction of UKONIQ, we made and continue to make significant investments to build a commercial organization and infrastructure. We have hired and continue to hire marketing, sales, and medical support personnel and have built processes and systems to support a commercial launch of UKONIQ in the U.S. We are expanding the build out of our commercialization team and infrastructure in planning for the potential commercial launches of U2 in CLL and ublituximab in MS prior to knowing whether we can complete the necessary regulatory submissions and, if so, whether FDA will approve such submissions. It is possible that the FDA approval is unexpectedly delayed or is not received at all. In either case we will incur delays that may impede or significantly delay our ability to generate revenue and at the same time will incur significant expenses. If this were to occur, it would have a material adverse effect on the Company.</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There are risks involved with both establishing our own sales, marketing, and other commercialization capabilities. For example, recruiting and training a sales force are expensive and time-consuming and could delay any drug launch. If the commercial launch of a product candidate (e.g., U2 in CLL or ublituximab in MS)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Factors that may inhibit our efforts to commercialize UKONIQ and our product candidates on our own and generate product revenues include:</w:t>
      </w:r>
    </w:p>
    <w:p>
      <w:pPr>
        <w:spacing w:after="0" w:line="170" w:lineRule="exact"/>
        <w:rPr>
          <w:sz w:val="20"/>
          <w:szCs w:val="20"/>
          <w:color w:val="auto"/>
        </w:rPr>
      </w:pPr>
    </w:p>
    <w:p>
      <w:pPr>
        <w:ind w:left="980" w:hanging="315"/>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3"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with ongoing monitoring of their activities;</w:t>
      </w:r>
    </w:p>
    <w:p>
      <w:pPr>
        <w:ind w:left="980" w:hanging="315"/>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to effectively promote any future drugs;</w:t>
      </w:r>
    </w:p>
    <w:p>
      <w:pPr>
        <w:spacing w:after="0" w:line="9"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w:t>
      </w:r>
    </w:p>
    <w:p>
      <w:pPr>
        <w:ind w:left="980" w:hanging="315"/>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maintain a healthcare compliance program including effective mechanisms for compliance monitoring; and</w:t>
      </w:r>
    </w:p>
    <w:p>
      <w:pPr>
        <w:spacing w:after="0" w:line="20" w:lineRule="exact"/>
        <w:rPr>
          <w:rFonts w:ascii="Arial" w:cs="Arial" w:eastAsia="Arial" w:hAnsi="Arial"/>
          <w:sz w:val="17"/>
          <w:szCs w:val="17"/>
          <w:color w:val="auto"/>
        </w:rPr>
      </w:pPr>
    </w:p>
    <w:p>
      <w:pPr>
        <w:ind w:left="980" w:hanging="315"/>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 sales and marketing organization.</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future, we may choose to participate in sales activities with collaborators for some of our product candidates if and when they are approved.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 candidates that we develop ourselves. In addition,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use of our product candidates through compassionate use programs in the event we establish such programs, and we will face an even greater risk as we commercially sell UKONIQ and any other product candidates that we may develop. If we cannot successfully defend ourselves against claims that UKONIQ or our product candidates caused injuries, we could incur substantial liabilities. Regardless of merit or eventual outcome, liability claims may result in:</w:t>
      </w:r>
    </w:p>
    <w:p>
      <w:pPr>
        <w:spacing w:after="0" w:line="188" w:lineRule="exact"/>
        <w:rPr>
          <w:sz w:val="20"/>
          <w:szCs w:val="20"/>
          <w:color w:val="auto"/>
        </w:rPr>
      </w:pPr>
    </w:p>
    <w:p>
      <w:pPr>
        <w:ind w:left="980" w:hanging="31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any products that we may commercialize;</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Capital</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anticipate that we will incur continued losses for the foreseeable future.</w:t>
      </w:r>
    </w:p>
    <w:p>
      <w:pPr>
        <w:spacing w:after="0" w:line="1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Biopharmaceutical drug development is a highly speculative undertaking and involves a substantial degree of risk. We commenced operations in January 2012. Our operations to date have been limited primarily to organizing and staffing our company, business planning, raising capital, developing our technology, identifying potential drug candidates, undertaking pre-clinical studies and clinical trials, and preparing for commercialization of only marketed product UKONIQ, which received FDA approval in February 2021. We are transitioning from a company with a research and development focus to a company capable of supporting commercial activities. We may not be successful in such a transition.</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inception, we have focused our efforts and financial resources on clinical trials, manufacturing of our drug candidates, and preparing to support a commercial product. To date, we have financed our operations primarily through public offerings of our common stock and a debt financing. Through February 18, 2021, we have received an aggregate of approximately $1.3 billion from such transactions. Approximately $30 million is from our term loan facility with Hercules (as defined below) that we secured in February of 2019. The remaining amount constitutes the aggregate gross proceeds from the sale of common stock in one or more offerings and through the use of our at the market sales program, or ATM.</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Since inception, we have incurred significant operating losses. As of December 31, 2020, we had an accumulated deficit of $980.6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for the foreseeable future. Our prior losses, combined with expected future losses, have had and will continue to have an adverse effect on our stockholders’ deficit and working capital. Other than the FDA approval of UKONIQ, we have not obtained marketing approval for any of our product candidates, which are in preclinical or clinical development stages. We expect to continue to incur significant research and development expenses in connection with continuing our existing clinical trials and beginning additional clinical trials. In addition, we expect to continue to incur significant sales, marketing and outsourced-manufacturing expenses as we commercialize UKONIQ and plan for the possible commercialization of our other product candidates, if approved.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we have not generated any significant revenue from our product sales, and it is uncertain when and if we will generate any significant revenue from the sale of our products in the future. Our ability to become profitable depends upon our ability to generate significant and sustained revenues. To obtain significant and sustained revenues, we must succeed, either alone or with others, in (i) developing and obtaining regulatory approval for our product candidates, including ublituximab, and for additional indications of UKONIQ; and (ii) manufacturing and marketing our products and product candidates. Accordingly, we do not expect to generate significant and sustained revenue unless and until we obtain marketing approval of ublituximab and additional indications of UKONIQ and/or one of our other product candidates. Our ability to generate significant and sustained revenue depends on a number of factors, including, but not limited to, our ability to:</w:t>
      </w:r>
    </w:p>
    <w:p>
      <w:pPr>
        <w:spacing w:after="0" w:line="4" w:lineRule="exact"/>
        <w:rPr>
          <w:sz w:val="20"/>
          <w:szCs w:val="20"/>
          <w:color w:val="auto"/>
        </w:rPr>
      </w:pPr>
    </w:p>
    <w:p>
      <w:pPr>
        <w:ind w:left="980" w:hanging="315"/>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successfully complete clinical trials that meet their clinical endpoints;</w:t>
      </w:r>
    </w:p>
    <w:p>
      <w:pPr>
        <w:spacing w:after="0" w:line="9"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biodistribution, and non-clinical studies required to obtain U.S. and foreign marketing approval for our product candidates;</w:t>
      </w:r>
    </w:p>
    <w:p>
      <w:pPr>
        <w:ind w:left="980" w:right="20" w:hanging="315"/>
        <w:spacing w:after="0" w:line="250"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approval from the FDA and foreign equivalents to market and sell our product candidates and maintain FDA approval of UKONIQ for relapsed or refractory MZL and FL;</w:t>
      </w:r>
    </w:p>
    <w:p>
      <w:pPr>
        <w:jc w:val="both"/>
        <w:ind w:left="980" w:right="20" w:hanging="315"/>
        <w:spacing w:after="0" w:line="250"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commercial manufacturing capabilities with third parties that are satisfactory to the regulatory authorities, cost effective, and that are capable of providing commercial supply of our product candidates, or, in the case of UKONIQ, maintain these capabilities;</w:t>
      </w:r>
    </w:p>
    <w:p>
      <w:pPr>
        <w:spacing w:after="0" w:line="1"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expand on our commercial infrastructure to commercialize ublituximab, our other product candidates, and additional indications of UKONIQ, if approved, by increasing the size of our sales force and/or entering into collaborations with third parties; and</w:t>
      </w:r>
    </w:p>
    <w:p>
      <w:pPr>
        <w:spacing w:after="0" w:line="1" w:lineRule="exact"/>
        <w:rPr>
          <w:rFonts w:ascii="Arial" w:cs="Arial" w:eastAsia="Arial" w:hAnsi="Arial"/>
          <w:sz w:val="18"/>
          <w:szCs w:val="18"/>
          <w:color w:val="auto"/>
        </w:rPr>
      </w:pPr>
    </w:p>
    <w:p>
      <w:pPr>
        <w:ind w:left="980" w:right="20" w:hanging="315"/>
        <w:spacing w:after="0" w:line="260"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achieve market acceptance of UKONIQ and our product candidates, if approved, in the medical community and with third-party payors.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unable to generate significant and sustained revenues, we will not become profitable and we will be unable to continue our operations without continued funding.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development of pharmaceuticals is capital-intensive. We are currently advancing our most advanced drug candidates, ublituximab, cosibelimab, TG-1701 and TG-1801, and UKONIQ for additional indications through clinical development. While we may experience short-term decreases in clinical trial expenses as our larger Phase 3 clinical trials complete and before our Phase 1 and 2 programs can advance into Phase 2 and 3, we do expect over time our overall expenses will increase in connection with our ongoing activities, particularly as we continue the research and development of, initiate or continue clinical trials of, seek marketing approval for, and expand our infrastructure to commercialize our product candidates and additional indications of UKONIQ. Moreover, in anticipation of submitting applications for regulatory approvals for UKONIQ and ublituximab in chronic lymphocytic leukemia (CLL) and for ublituximab in relapsing multiple sclerosis (MS), we will need to expend substantial resources on manufacturing and biologics license application (BLA) preparation over the next 12 to 18 months, which could exceed any cost savings associated with lower clinical trial expenses during the same period.</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While this timing is our current estimate, the amount and timing of our future funding requirements will depend on many factors, including, but not limited to, the following:</w:t>
      </w:r>
    </w:p>
    <w:p>
      <w:pPr>
        <w:spacing w:after="0" w:line="170" w:lineRule="exact"/>
        <w:rPr>
          <w:sz w:val="20"/>
          <w:szCs w:val="20"/>
          <w:color w:val="auto"/>
        </w:rPr>
      </w:pPr>
    </w:p>
    <w:p>
      <w:pPr>
        <w:ind w:left="980" w:right="20" w:hanging="315"/>
        <w:spacing w:after="0" w:line="25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spacing w:after="0" w:line="1" w:lineRule="exact"/>
        <w:rPr>
          <w:rFonts w:ascii="Arial" w:cs="Arial" w:eastAsia="Arial" w:hAnsi="Arial"/>
          <w:sz w:val="18"/>
          <w:szCs w:val="18"/>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relating to the COVID-19 pandemic in the U.S. and around the world;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costs and timing of clinical and commercial manufacturing supply arrangements for each product and product candidate;</w:t>
      </w:r>
    </w:p>
    <w:p>
      <w:pPr>
        <w:spacing w:after="0" w:line="32" w:lineRule="exact"/>
        <w:rPr>
          <w:rFonts w:ascii="Arial" w:cs="Arial" w:eastAsia="Arial" w:hAnsi="Arial"/>
          <w:sz w:val="16"/>
          <w:szCs w:val="16"/>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expanding our sales or distribution capabilities;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the commercialization of UKONIQ and any product candidates, if approved;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result, significant additional funding will be required. Additional sources of financing to continue our operations in the future might not be available on favorable terms, if at all. If we do not succeed in raising additional funds on acceptable terms, we might be unable to complete planned preclinical studies and clinical trials or obtain approval of any of our product candidates from the FDA or any foreign regulatory authorities. In addition, we could be forced to discontinue product development, reduce or forego sales, marketing and medical educational efforts that are required for a successful launch of UKONIQ, ublituximab (if approved), or any of our other product candidates and otherwise forego attractive business opportunities. Any additional sources of financing will likely involve the issuance of our equity securities, which would have a dilutive effect to stockholders. Currently, other than UKONIQ, our products are investigational and have not been approved by the FDA or any foreign regulatory authority for sale. Therefore, for the foreseeable future, we will have to fund all of our operations and capital expenditures from sales of UKONIQ in the U.S., cash on hand and amounts raised in future offerings or financings. Accordingly, our prospects must be considered in light of the uncertainties, risks, expenses and difficulties frequently encountered by companies in the early stages of operations and the competitive environment in which we operate.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(see Note 7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drug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See our risk factors below under the heading “Risks Related to Our Indebtedness”.</w:t>
      </w:r>
    </w:p>
    <w:p>
      <w:pPr>
        <w:spacing w:after="0" w:line="16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issuance of additional securities, whether equity or debt, by us, or the possibility of such issuance, may cause the market price of our shares to decline.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All commercialization and product candidate development timelines and projections in this report are based on the assumption of further financing.</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timelines and projections in this report are predicated upon the assumption that we will raise additional financing in the future to continue our commercialization efforts and the development of our product candidates. In the event we do not successfully raise subsequent financing, our commercialization and product development activities will necessarily be curtailed commensurate with the magnitude of the shortfall. If our commercialization or product development activities are slowed or stopped, we would be unable to meet the timelines and projections outlined in this filing. Failure to progress our commercialization activities or the development of our product candidates as anticipated will have a negative effect on our business, future prospects, and ability to obtain further financing on acceptable terms, if at all, and the value of the enterprise.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45"/>
        <w:spacing w:after="0" w:line="277" w:lineRule="auto"/>
        <w:rPr>
          <w:sz w:val="20"/>
          <w:szCs w:val="20"/>
          <w:color w:val="auto"/>
        </w:rPr>
      </w:pPr>
      <w:r>
        <w:rPr>
          <w:rFonts w:ascii="Arial" w:cs="Arial" w:eastAsia="Arial" w:hAnsi="Arial"/>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February 2019, we entered into a Loan and Security Agreement (the “Loan Agreement”), with Hercules Capital, Inc., a Maryland corporation (“Hercules”) (see Note 7 to our consolidated financial statements for more information). Under the Loan Agreement, Hercules will provide access to term loans with an aggregate principal amount of up to $60.0 million (the “Term Loan”). Concurrently with the closing of the Loan Agreement, we borrowed an initial tranche of $30.0 million. As of December 31, 2020, we had outstanding obligations of $30 million under the Loan Agreement. In addition, we have incurred short-term liabilities of approximately $19.4 million with a contract manufacturing organization (CMO) for the scale-up, tech-transfer, and long-term supply of one of our drug candidates. This is an expensive and lengthy process and we expect to incur additional obligations associated with these ongoing manufacturing activities over the course of the next 24 months, and potentially longer. To date, this CMO has provided payment terms which we believe are reasonable; however, no assurance can be given that such terms will continue to be available to us in the future. No assurances can be made that the obligations associated with the Loan Agreement and the CMO will not have a material adverse impact on our financial condition.</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obligations under the Loan Agreement are secured by substantially all of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87" w:lineRule="exact"/>
        <w:rPr>
          <w:sz w:val="20"/>
          <w:szCs w:val="20"/>
          <w:color w:val="auto"/>
        </w:rPr>
      </w:pPr>
    </w:p>
    <w:p>
      <w:pPr>
        <w:ind w:left="980" w:right="20" w:hanging="315"/>
        <w:spacing w:after="0" w:line="291"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will need to repay the indebtedness by making payments of interest and principal, which will reduce the amount of money available to finance our operations, our research and development efforts and other general corporate activities; and</w:t>
      </w:r>
    </w:p>
    <w:p>
      <w:pPr>
        <w:jc w:val="both"/>
        <w:ind w:left="980" w:right="20" w:hanging="315"/>
        <w:spacing w:after="0" w:line="255"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failure to comply with the restrictive covenants in the Loan Agreement could result in an event of default that, if not cured or waived, would accelerate our obligation to repay this indebtedness, and Hercules could seek to enforce its security interest in the assets securing such indebtedness.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cash available in an amount sufficient to enable us to make interest or principal payments on our indebtedness when due.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Failure to satisfy our current and future debt obligations under the Loan Agreement, or the breach of any of its covenants, subject to specified cure periods with respect to certain breaches, could result in an event of default and, as a result, Hercules could accelerate all of the amounts due. In the event of an acceleration of amounts due under the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of our property other than intellectual property. Our business, financial condition and results of operations could be materially adversely affected as a result of any of these events.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Loan Agreement imposes operating and other restrictions on the Company. Such restrictions will affect, and in many respects limit or prohibit, our ability and the ability of any future subsidiary to, among other things:</w:t>
      </w:r>
    </w:p>
    <w:p>
      <w:pPr>
        <w:spacing w:after="0" w:line="170" w:lineRule="exact"/>
        <w:rPr>
          <w:sz w:val="20"/>
          <w:szCs w:val="20"/>
          <w:color w:val="auto"/>
        </w:rPr>
      </w:pPr>
    </w:p>
    <w:p>
      <w:pPr>
        <w:ind w:left="980" w:hanging="315"/>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97" w:lineRule="exact"/>
        <w:rPr>
          <w:sz w:val="20"/>
          <w:szCs w:val="20"/>
          <w:color w:val="auto"/>
        </w:rPr>
      </w:pPr>
    </w:p>
    <w:p>
      <w:pPr>
        <w:ind w:right="1260" w:firstLine="648"/>
        <w:spacing w:after="0" w:line="438" w:lineRule="auto"/>
        <w:rPr>
          <w:sz w:val="20"/>
          <w:szCs w:val="20"/>
          <w:color w:val="auto"/>
        </w:rPr>
      </w:pPr>
      <w:r>
        <w:rPr>
          <w:rFonts w:ascii="Arial" w:cs="Arial" w:eastAsia="Arial" w:hAnsi="Arial"/>
          <w:sz w:val="18"/>
          <w:szCs w:val="18"/>
          <w:color w:val="auto"/>
        </w:rPr>
        <w:t xml:space="preserve">The breach of any of these restrictive covenants could have a material adverse effect on our business and prospects. </w:t>
      </w:r>
      <w:r>
        <w:rPr>
          <w:rFonts w:ascii="Arial" w:cs="Arial" w:eastAsia="Arial" w:hAnsi="Arial"/>
          <w:sz w:val="18"/>
          <w:szCs w:val="18"/>
          <w:b w:val="1"/>
          <w:bCs w:val="1"/>
          <w:u w:val="single" w:color="auto"/>
          <w:color w:val="auto"/>
        </w:rPr>
        <w:t>Risks Related to Drug Development and Regulatory Approval</w:t>
      </w:r>
    </w:p>
    <w:p>
      <w:pPr>
        <w:spacing w:after="0" w:line="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If we are unable to obtain regulatory approval for our product candidates and ultimately cannot commercialize one or more of them, or experience significant delays in doing so, our business will be materially harmed.</w:t>
      </w:r>
    </w:p>
    <w:p>
      <w:pPr>
        <w:spacing w:after="0" w:line="1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have invested substantially all of our efforts and financial resources in the identification and pre-clinical and clinical development of UKONIQ and our product candidates, including ublituximab, cosibelimab, TG-1701 and TG-1801, and building a commercial infrastructure. Our ability to generate revenues from product sales will depend completely on the successful completion of our current and future Phase 3 and registration-directed clinical trials and commercialization of our product candidates and additional indications of UKONIQ, which may never occur. Each of our product candidates will require additional non-clinical or clinical development, regulatory approval in multiple jurisdictions, and obtaining sufficient clinical and commercial supply. The success of our development programs and achievement of regulatory approval of our product candidates will depend on several factors, including the following:</w:t>
      </w:r>
    </w:p>
    <w:p>
      <w:pPr>
        <w:spacing w:after="0" w:line="179" w:lineRule="exact"/>
        <w:rPr>
          <w:sz w:val="20"/>
          <w:szCs w:val="20"/>
          <w:color w:val="auto"/>
        </w:rPr>
      </w:pPr>
    </w:p>
    <w:p>
      <w:pPr>
        <w:ind w:left="980" w:right="20" w:hanging="315"/>
        <w:spacing w:after="0" w:line="274"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successful completion of our clinical programs with positive results that support a finding of effectiveness and an acceptable safety profile of our product candidates in the intended populations within the timeframes we have projected;</w:t>
      </w:r>
    </w:p>
    <w:p>
      <w:pPr>
        <w:ind w:left="980" w:hanging="315"/>
        <w:spacing w:after="0"/>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INDs or clinical trial applications, or CTAs, being cleared such that our product candidates can commence clinical trials;</w:t>
      </w:r>
    </w:p>
    <w:p>
      <w:pPr>
        <w:spacing w:after="0" w:line="20" w:lineRule="exact"/>
        <w:rPr>
          <w:rFonts w:ascii="Arial" w:cs="Arial" w:eastAsia="Arial" w:hAnsi="Arial"/>
          <w:sz w:val="17"/>
          <w:szCs w:val="17"/>
          <w:color w:val="auto"/>
        </w:rPr>
      </w:pPr>
    </w:p>
    <w:p>
      <w:pPr>
        <w:ind w:left="980" w:right="20" w:hanging="315"/>
        <w:spacing w:after="0" w:line="250"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successful initiation and completion of preclinical studies and successful initiation of, enrollment in and completion of clinical trials;</w:t>
      </w:r>
    </w:p>
    <w:p>
      <w:pPr>
        <w:ind w:left="980" w:right="20" w:hanging="315"/>
        <w:spacing w:after="0" w:line="250"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successful preparation of the Biologics License Application (BLA) and the complete data sets from the UNITY-CLL trial and ULTIMATE I and II trials for regulatory submission within the timeframes we have projected;</w:t>
      </w:r>
    </w:p>
    <w:p>
      <w:pPr>
        <w:ind w:left="980" w:hanging="315"/>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for our product candidates;</w:t>
      </w:r>
    </w:p>
    <w:p>
      <w:pPr>
        <w:spacing w:after="0" w:line="9"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establishing commercially viable arrangements with third-party manufacturers for clinical supply and commercial manufacturing; and</w:t>
      </w:r>
    </w:p>
    <w:p>
      <w:pPr>
        <w:ind w:left="980" w:hanging="315"/>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170"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9"/>
        <w:spacing w:after="0" w:line="279" w:lineRule="auto"/>
        <w:rPr>
          <w:sz w:val="20"/>
          <w:szCs w:val="20"/>
          <w:color w:val="auto"/>
        </w:rPr>
      </w:pPr>
      <w:r>
        <w:rPr>
          <w:rFonts w:ascii="Arial" w:cs="Arial" w:eastAsia="Arial" w:hAnsi="Arial"/>
          <w:sz w:val="17"/>
          <w:szCs w:val="17"/>
          <w:b w:val="1"/>
          <w:bCs w:val="1"/>
          <w:i w:val="1"/>
          <w:iCs w:val="1"/>
          <w:color w:val="auto"/>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p>
      <w:pPr>
        <w:spacing w:after="0" w:line="10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10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w:t>
      </w:r>
    </w:p>
    <w:p>
      <w:pPr>
        <w:spacing w:after="0" w:line="1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may publicly disclose top-line or preliminary data from our clinical trials, which is based on a preliminary analysis of then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PFS have the potential to change, sometimes drastically, with longer follow-up. In addition, as patients continue on therapy, there can be no assurance given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reached, our ability to obtain approval for, or successfully commercialize, our product candidates may be harmed, which could harm our business, operating results, prospects or financial condition.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176"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is uncertain as to outcome. It is impossible to predict when or if our product candidates will prove effective and safe in humans or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w:t>
      </w:r>
    </w:p>
    <w:p>
      <w:pPr>
        <w:spacing w:after="0" w:line="12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Successful completion of our clinical trials is a prerequisite to submitting a New Drug Application (NDA) or a Biologics License Application (BLA) to the FDA and a Marketing Authorization Application (MAA) to the European Medicines Agency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numerous unforeseen events, such as the COVID-19 pandemic, that could delay or prevent our ability to complete current clinical trials, initiate new trials, receive marketing approval or commercialize our product candidates, including:</w:t>
      </w:r>
    </w:p>
    <w:p>
      <w:pPr>
        <w:spacing w:after="0" w:line="111" w:lineRule="exact"/>
        <w:rPr>
          <w:sz w:val="20"/>
          <w:szCs w:val="20"/>
          <w:color w:val="auto"/>
        </w:rPr>
      </w:pPr>
    </w:p>
    <w:p>
      <w:pPr>
        <w:ind w:left="980" w:right="20" w:hanging="315"/>
        <w:spacing w:after="0" w:line="228"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jc w:val="both"/>
        <w:ind w:left="980" w:right="20" w:hanging="315"/>
        <w:spacing w:after="0" w:line="219"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FDA or other regulatory authorities or institutional review boards (IRBs) or ethics committees (ECs) may not authorize us or our investigators to commence a clinical trial or conduct a clinical trial at a prospective trial site or in a country; we may experience delays in reaching, or fail to reach, agreement on acceptable terms with prospective trial sites and prospective CROs, the terms of which can be subject to extensive negotiation and may vary significantly among different CROs and trial sites;</w:t>
      </w:r>
    </w:p>
    <w:p>
      <w:pPr>
        <w:jc w:val="both"/>
        <w:ind w:left="980" w:right="20" w:hanging="315"/>
        <w:spacing w:after="0" w:line="219"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jc w:val="both"/>
        <w:ind w:left="980" w:right="20" w:hanging="315"/>
        <w:spacing w:after="0" w:line="219"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jc w:val="both"/>
        <w:ind w:left="980" w:right="20" w:hanging="315"/>
        <w:spacing w:after="0" w:line="219"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jc w:val="both"/>
        <w:ind w:left="980" w:right="20" w:hanging="315"/>
        <w:spacing w:after="0" w:line="219"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p>
      <w:pPr>
        <w:ind w:left="980" w:hanging="315"/>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980" w:right="20" w:hanging="315"/>
        <w:spacing w:after="0" w:line="225"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including, without limitation, as a result of disruptions to our supply chains caused by the COVID-19 pandemic and related work stoppages across the globe;</w:t>
      </w:r>
    </w:p>
    <w:p>
      <w:pPr>
        <w:ind w:left="980" w:right="20" w:hanging="315"/>
        <w:spacing w:after="0" w:line="219"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authorities may revise the requirements for approving our product candidates, or such requirements may not be as we anticipate; and</w:t>
      </w:r>
    </w:p>
    <w:p>
      <w:pPr>
        <w:jc w:val="both"/>
        <w:ind w:left="980" w:right="20" w:hanging="315"/>
        <w:spacing w:after="0" w:line="266"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product candidates may have undesirable side effects or other unexpected characteristics, causing us or our investigators, regulatory authorities, IRBs or ECs to suspend or terminate the trials, or reports may arise from pre-clinical or clinical testing of other therapies in the same or a similar class that raise safety or efficacy concerns about our product candidates.</w:t>
      </w:r>
    </w:p>
    <w:p>
      <w:pPr>
        <w:spacing w:after="0" w:line="1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also could encounter delays if a clinical trial is suspended or terminated by us, by the IRBs of the institutions in which such trials are being conducted, by the DSMB for such trial or by the FDA or other regulatory authorities. Such regulatory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The DSMB for our clinical trials may recommend modification to the 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Further, the FDA or other regulatory authorities may disagree with or not accept our clinical trial design, may have questions about the potential impact of our study design on conclusions that can be drawn from the data, may interpret results differently than we do, and may change its view on the criteria that must be met for approval over time. This could happen even for a protocol that has received a SPA, as is the case for some of our studies. In September 2015, we announced a Phase 3 clinical trial for U2 for patients with CLL, which is being conducted pursuant to a SPA with the FDA (UNITY-CLL) and in August 2017 we announced SPAs for the ULTIMATE I and II studies evaluating ublituximab in RMS. Many companies that have been granted SPAs have ultimately failed to obtain final approval to market their drugs. Since we are seeking approvals under SPAs for some of our product registration strategies, based on protocol designs negotiated with the FDA, we may be subject to enhanced scrutiny. Further, while changes or amendments to protocols are common during conduct of a clinical trial, protocol changes or amendments to a study that is being conducted under a SPA will have to be reviewed and approved by the FDA to verify that the SPA agreement is still valid. The FDA’s willingness to agree to changes or amendments to a protocol or statistical analysis plan under a SPA agreement is wholly within the FDA’s discretion. Such reviews also provide an opportunity for the FDA to scrutinize any aspect of the study design and conduct, even if previously agreed to under the existing SPA. Failure to reach agreement with the FDA for protocol changes or modifications for any study we conduct under a SPA could have a material negative impact to our ability to execute these studies. Even if the primary endpoint in a Phase 3 clinical trial is achieved, a SPA does not guarantee approval.</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Some of our clinical trials may be conducted as open-label studies, meaning that trial participants, investigators, site staff, some employees of our contract research organizations,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Negative or inconclusive results from the clinical trials we conduct or unanticipated adverse medical events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57" w:lineRule="exact"/>
        <w:rPr>
          <w:sz w:val="20"/>
          <w:szCs w:val="20"/>
          <w:color w:val="auto"/>
        </w:rPr>
      </w:pPr>
    </w:p>
    <w:p>
      <w:pPr>
        <w:ind w:left="980" w:hanging="315"/>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others;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 subject to post-marketing requirements or post-marketing commitments;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 than 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 All of our current Phase 3 and registration-directed clinical trials, such as UNITY-CLL, UNITY-NHL and ULTIMATE I and II, enrolled a larger number of patients than our initial projections, adding significant costs to those studies over and above what had been projected.</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or impact their availability and commercial potential after approval.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Unacceptable or undesirable adverse events caused by any of our product candidates that we take into clinical trials could cause either us,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compounds that initially showed promise in early 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severe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Many of our ongoing and planned clinical studies involve combinations of two or more drugs. In drug-combination clinical development, there is an inherent risk of drug-drug interactions between combination agents that may affect each component’s individual pharmacologic properties and the overall efficacy and safety of the combination regimen. Both ublituximab and UKONIQ are being evaluated in combination with each other, as well as with a variety of other active anti-cancer agents, which may cause unforeseen toxicity, or impact the severity, duration, and incidence of adverse events observed compared to those seen in the single-agent studies of these agents. We also intend to explore multiple combination studies involving cosibelimab, TG-1701, and TG-1801.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85" w:lineRule="exact"/>
        <w:rPr>
          <w:sz w:val="20"/>
          <w:szCs w:val="20"/>
          <w:color w:val="auto"/>
        </w:rPr>
      </w:pPr>
    </w:p>
    <w:p>
      <w:pPr>
        <w:jc w:val="both"/>
        <w:ind w:firstLine="45"/>
        <w:spacing w:after="0" w:line="277" w:lineRule="auto"/>
        <w:rPr>
          <w:sz w:val="20"/>
          <w:szCs w:val="20"/>
          <w:color w:val="auto"/>
        </w:rPr>
      </w:pPr>
      <w:r>
        <w:rPr>
          <w:rFonts w:ascii="Arial" w:cs="Arial" w:eastAsia="Arial" w:hAnsi="Arial"/>
          <w:sz w:val="18"/>
          <w:szCs w:val="18"/>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clinical development, manufacturing, labeling, packaging, storage, record-keeping, advertising, promotion, import, export, marketing and distribution, and pharmacovigilance and adverse event reporting of our product candidates or any future product candidates are subject to extensive regulation by the FDA in the United States and by comparable regulatory authorities worldwide. In the United States, we are not permitted to market a product candidate until we receive approval of a BLA or NDA from the FDA. The process of obtaining a BLA or NDA approval is expensive, often takes many years, and can vary substantially based upon the type, complexity and novelty of the products involved. Approval policies or regulations may change, and the FDA has substantial discretion in the pharmaceutical product approval process, including the ability to delay, limit or deny approval of a product candidate for many reasons. In addition, the FDA may require post-marketing studies, including drug interaction studies or clinical trials which also may be costly. For example, as part of the accelerated approval of UKONIQ for relapsed or refractory MZL and FL, continued approval for those indications is contingent upon verification and description of clinical benefit in a confirmatory trial. The FDA approval for a limited indication with required warning language, such as a boxed warning, could significantly impact our ability to successfully market our product candidates. Finally, the FDA may require adoption of a Risk Evaluation and Mitigation Strategies (REMS) requiring prescriber training or a post-marketing registry or may restrict the marketing and dissemination of these products. Despite the time and expense invested in the clinical development of product candidates, regulatory approval is never guaranteed. Assuming successful clinical development, we intend to seek product approvals in countries outside of the United States. As a result, we would be subject to regulation by the EMA, as well as the other regulatory agencies in these countries.</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Interruptions or delays in the operations of the FDA and foreign regulatory authorities as a result of the COVID-19 pandemic may negatively impact review, inspection, and approval timelines.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lengthy and challenging. The FDA, and any other regulatory body around the world, can delay, limit or deny approval of a product candidate for many reasons, including:</w:t>
      </w:r>
    </w:p>
    <w:p>
      <w:pPr>
        <w:spacing w:after="0" w:line="177" w:lineRule="exact"/>
        <w:rPr>
          <w:sz w:val="20"/>
          <w:szCs w:val="20"/>
          <w:color w:val="auto"/>
        </w:rPr>
      </w:pPr>
    </w:p>
    <w:p>
      <w:pPr>
        <w:ind w:left="980" w:right="20" w:hanging="315"/>
        <w:spacing w:after="0" w:line="258"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study design or implementation of our clinical trials;</w:t>
      </w:r>
    </w:p>
    <w:p>
      <w:pPr>
        <w:spacing w:after="0" w:line="1"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tolerable and effective for an indication;</w:t>
      </w:r>
    </w:p>
    <w:p>
      <w:pPr>
        <w:ind w:left="980" w:right="20" w:hanging="315"/>
        <w:spacing w:after="0" w:line="250"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may not accept clinical data from trials conducted by individual investigators or in countries where the standard of care is potentially different from that of the United States;</w:t>
      </w:r>
    </w:p>
    <w:p>
      <w:pPr>
        <w:ind w:left="980" w:right="20" w:hanging="315"/>
        <w:spacing w:after="0" w:line="250"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15"/>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and/or clinical trials;</w:t>
      </w:r>
    </w:p>
    <w:p>
      <w:pPr>
        <w:ind w:left="980" w:right="20" w:hanging="315"/>
        <w:spacing w:after="0" w:line="290"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 BLA, NDA or other marketing authorization submission or to obtain regulatory approval in the United States or elsewhere;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right="20" w:hanging="315"/>
        <w:spacing w:after="0" w:line="255"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 or</w:t>
      </w:r>
    </w:p>
    <w:p>
      <w:pPr>
        <w:spacing w:after="0" w:line="2" w:lineRule="exact"/>
        <w:rPr>
          <w:rFonts w:ascii="Arial" w:cs="Arial" w:eastAsia="Arial" w:hAnsi="Arial"/>
          <w:sz w:val="18"/>
          <w:szCs w:val="18"/>
          <w:color w:val="auto"/>
        </w:rPr>
      </w:pPr>
    </w:p>
    <w:p>
      <w:pPr>
        <w:ind w:left="980" w:right="20" w:hanging="315"/>
        <w:spacing w:after="0" w:line="260"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breakthrough therapy or Fast Track designation by the FDA may not actually lead to a faster development or regulatory review or approval process.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seek breakthrough therapy or Fast Track designation for some of our drug candidates. For example, in January 2019, the FDA granted breakthrough therapy designation to UKONIQ for the treatment of adult patients with marginal zone lymphoma (MZL) who have received at least one prior anti-CD20 regimen, and in October 2020, the FDA granted Fast Track designation to the investigation of ublituximab in combination with UKONIQ for the treatment of adult patients with CLL. If a drug is intended for the treatment of a serious or life-threatening condition and the drug demonstrates the potential to address unmet medical needs for this condition, the sponsor may apply for breakthrough therapy or Fast Track designations.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Neither breakthrough therapy nor Fast Track designation guarantees priority review of an NDA or BLA application, and therefore despite receiving a Fast Track designation for U2 for the treatment of adult patients with CLL, there can be no guarantee that the FDA will not assign a standard review timeline to our BLA filing for this indication. The FDA may withdraw a breakthrough therapy or Fast Track designation if it believes that the designation is no longer supported by data from our clinical development program.</w:t>
      </w:r>
    </w:p>
    <w:p>
      <w:pPr>
        <w:spacing w:after="0" w:line="186"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have received orphan drug designation for some of our drug candidates for specified indications, and we may seek additional orphan drug designations for other indications and some of our other drug candidates. However, we may be unsuccessful in obtaining or may be unable to maintain the benefits associated with orphan drug designation, including the potential for market exclusivity.</w:t>
      </w:r>
    </w:p>
    <w:p>
      <w:pPr>
        <w:spacing w:after="0" w:line="1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Ublituximab (as monotherapy) received orphan drug designation from the FDA for the treatment of MZL (nodal and extranodal) in September 2013, for the treatment of CLL in August 2010, and received orphan drug designation by the EMA for the treatment of CLL in November 2009. We also obtained orphan drug designation for UKONIQ (as monotherapy) for the treatment of CLL in August 2016, all three types of MZL (nodal, extranodal and splenic) in April 2019, and FL in March 2020. In January 2017, we announced that the FDA granted orphan drug designation covering the combination of ublituximab and UKONIQ for the treatment of patients with CLL and DLBCL. As part of our business strategy, we may seek orphan drug designation for our other drug candidates; however, we may be unsuccessful. Regulatory authorities in some jurisdictions, including the United States and the European Union,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additional orphan drug designation for our other drug candidates, we may never receive such designations. Even if we receive orphan drug designation for any of our drug candidates, there is no guarantee that we will enjoy the benefits of those designations or obtain orphan drug exclusivity.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conducting clinical trials, and anticipate additional clinical trials, for product candidates at sites outside the United States, and the FDA may not accept data from trials conducted in such locations.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Many of our Phase 3 and registration-directed clinical trials such as UNITY-CLL, UNITY-NHL and ULTIMATE I and II utilize international clinical research sites, including sites in eastern European countries.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Such problems,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approval of one of our product candidates in the United States would not assure approval of that candidate in foreign jurisdictions.</w:t>
      </w:r>
    </w:p>
    <w:p>
      <w:pPr>
        <w:spacing w:after="0" w:line="2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may require additional evidence for approval. In many countries outside the United States, the product must be approved for reimbursement before it can be marketed. As a general matter, however, the foreign regulatory approval process involves risks similar or identical to the risks associated with the FDA approval discussed above. Therefore, we cannot guarantee that we, or future collaborators, will obtain approvals of our product candidates in any foreign jurisdiction on a timely basis, if at all. Failure to receive approval in certain foreign markets could significantly impact the full market potential of our product candidates. Furthermore, if we obtain regulatory approval for a product candidate in a foreign jurisdiction, we will be subject to the burden of complying with complex regulatory, legal, and other requirements that could be costly and could subject us to additional risks and uncertainties.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product candidates still under development and are also preparing for commercial manufacturing activities, and as such clinical and commercial manufacturing site additions, scale-up and process improvements implemented in the production of those product candidates may affect their ultimate activity or function.</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Generally, our product candidates are currently manufactured in relatively small batches for use in pre-clinical and clinical studies. Process improvements implemented to date have changed, and process improvements in the future may change, the activity and/or analytical profile of the product candidates, which may affect the safety and efficacy of the products. For instance, the manufacturing process for ublituximab has undergone several process improvements during the clinical trial process which have resulted in analytical differences between the materials. Such process improvements continued during the conduct of the Phase 3 study and materials from more than one manufacturing process were utilized in the Phase 3 UNITY-CLL trial. While analytical differences exist between those materials, we do not believe the differences will alter the safety or efficacy profile of ublituximab. However,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Additionally, the efficacy of ublituximab may also be negatively impacted by such process changes. Given the uncertainty of the impact on product specifications, quality and performance, process improvements made during Phase 3 development carry a higher level of risk than those made prior to Phase 3 development. If there are significant differences in product attributes between the two materials, we may need to adjust our statistical analysis plans of the Phase 3 study to confirm that there is no difference in safety or efficacy between the product made by each process in order to allow us to utilize data from all enrolled patients, as well as be able to integrate clinical safety and/or efficacy results across studies to support any potential marketing application. There can be no assurance given that such analyses will be successful in demonstrating that there are no clinical differences between these drug products, which could substantially impact the approvability of the combination of UKONIQ and ublituximab based on the results of the UNITY-CLL study. In such circumstances, that would have a material adverse effect on the Company.</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Further, no assurance can be given that the material manufactured from any future optimized processes, if any, for ublituximab or any of our product candidates will perform comparably to the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we have engaged a secondary manufacturer for ublituximab to meet our current clinical and future commercial needs and anticipate engaging additional manufacturing sources for UKONIQ to meet expanded clinical trial and projected commercial needs. If a secondary manufacturer is not successful in replicating the product or experiences delays, or if regulatory authorities impose unforeseen requirements with respect to product comparability from multiple manufacturing sources, we may experience delays in clinical development. No assurance can be given that any additional manufacturers will be successful or that material manufactured by the additional manufacturers will perform comparably to ublituximab or UKONIQ as manufactured to date and used in currently available pre-clinical data and or in clinical trials presented publicly or reported in this or any previous filing, or that the relevant regulatory agencies will agree with our interpretation of comparability.</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with the FDA approval of UKONIQ and as we move closer to commercialization of ublituximab, we are scaling-up production to ensure adequate commercial supply. This is an expensive process and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 If scale-up were not to succeed, our ability to supply our anticipated market at a reasonable cost of goods would be negatively impacted. In such an event, that would have a material adverse effect on the Company. Scale up could also require additional process improvement that might be required to accommodate new and larger equipment utilized in the scaled-up process. If that were to occur and we could not demonstrate to the FDA that the materials were analytically substantially similar, we might be required to run additional clinical testing to demonstrate that they are substantially similar. That would entail a significant delay and significant increase in total cost, all of which would have a material adverse effect on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Governmental Regulation of Pharmaceutical Industry and Legal Compliance Matters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new legislation, regulatory proposals and managed care initiatives that may increase our costs of compliance and adversely affect our ability to market our products, obtain collaborators and raise capital.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We expect prescription drug pricing and other healthcare costs to continue to be subject to intense political and social pressures on a global basis.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ACA changes included expanding healthcare coverage through Medicaid expansion and implementation of the individual health insurance mandate; changing coverage and reimbursement of drug products under government healthcare programs; imposing an annual fee on manufacturers of branded drugs; and expanding government enforcement authority. Although the ACA has been the subject of a number of legislative and litigation challenges since it passed, it is expected that the Biden Administration will seek to strengthen and expand the ACA. We cannot product what affect further changes to the ACA (whether repeal, replacement, or further amendment) would have on our business.</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Beyond the ACA, there has been increasing legislative, regulatory and enforcement interest with respect to prescription drug pricing practices. With the election of President Biden and changes in make-up of the Senate following the 2020 election, we face uncertainties with respect to executive and legislative actions relating to drug pricing. Proposals that may garner bipartisan legislative support include adding a cap on out-of-pocket spending under Medicare Part D and imposing limits on increases in drug prices. In addition, President Biden may take executive action to introduce new drug pricing models and other drug pricing initiatives.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Federal and state elections in 2020 have changed which persons and parties occupy the Office of the President of the United States and control both chambers of Congress and many states’ governors and legislatures. These changes will likely result in new priorities, rulemakings and legislation. We anticipate that the new Biden Administration will issue a number of Executive Orders, which may alter the policies of the previous administration. Additionally, certain agency rules and policy statements of the prior four years may be rescinded. Further, the Biden Administration may propose substantial changes to the U.S. healthcare system, including expanding government-funded health insurance options. We are uncertain of the impact or outcome of these potential Executive Orders, rescission of rules and policy statements, or new legislation, especially any relative impact on the healthcare regulatory and policy landscape, or the impact they may have on our business. While drug pricing was a priority for the prior administration, we expect that it will continue to be a focus of the Biden Administration in 2021 and beyond.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(the BBA) increased manufacturer point-of-sale discounts off negotiated prices of applicable brand drugs in the Medicare Part D coverage gap from 50% to 70% effective as of January 1, 2019, ultimately increasing the liability for brand drug manufacturers. We expect that health care reform measures that may be adopted in the future, may result in more rigorous coverage criteria and in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At the state level, individual states are experiencing significant economic pressure within their state Medicaid programs and responding to public concern over the cost of healthcare. The economic impact of the COVID-19 pandemic has further exacerbated state budgetary pressures.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other legislative changes have been adopted that could have an adverse effect upon, and could prevent, our products’ or product candidates’ commercial success. More broadly, the Budget Control Act of 2011, as amended, or the Budget Control Act, includes provisions intended to reduce the federal deficit, including reductions in Medicare payments to providers through 2030 (except May 1, 2020 to December 31, 2020).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Furthermore, 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candidates in certain international markets.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88" w:lineRule="exact"/>
        <w:rPr>
          <w:sz w:val="20"/>
          <w:szCs w:val="20"/>
          <w:color w:val="auto"/>
        </w:rPr>
      </w:pPr>
    </w:p>
    <w:p>
      <w:pPr>
        <w:ind w:left="980" w:hanging="31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85"/>
        <w:spacing w:after="0" w:line="259"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the FDA approval of UKONIQ in February 2021, we became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will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92" w:lineRule="exact"/>
        <w:rPr>
          <w:sz w:val="20"/>
          <w:szCs w:val="20"/>
          <w:color w:val="auto"/>
        </w:rPr>
      </w:pPr>
    </w:p>
    <w:p>
      <w:pPr>
        <w:jc w:val="both"/>
        <w:ind w:left="980" w:right="20" w:hanging="315"/>
        <w:spacing w:after="0" w:line="268" w:lineRule="auto"/>
        <w:tabs>
          <w:tab w:leader="none" w:pos="980" w:val="left"/>
        </w:tabs>
        <w:numPr>
          <w:ilvl w:val="2"/>
          <w:numId w:val="48"/>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2" w:lineRule="exact"/>
        <w:rPr>
          <w:rFonts w:ascii="Arial" w:cs="Arial" w:eastAsia="Arial" w:hAnsi="Arial"/>
          <w:sz w:val="17"/>
          <w:szCs w:val="17"/>
          <w:color w:val="auto"/>
        </w:rPr>
      </w:pPr>
    </w:p>
    <w:p>
      <w:pPr>
        <w:jc w:val="both"/>
        <w:ind w:left="980" w:right="20" w:hanging="315"/>
        <w:spacing w:after="0" w:line="250" w:lineRule="auto"/>
        <w:tabs>
          <w:tab w:leader="none" w:pos="9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2"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so-called federal “Sunshine Act” under the Affordable Care Act requires manufacturers of drugs, devices, biologics and medical supplies that are reimbursable under Medicare, Medicaid, or the Children’s Health Insurance Program to monitor and report information related to payments and other transfers of value to and the ownership and investment interests of physicians and teaching hospitals (and additional categories of healthcare providers beginning with reports submitted in 2022) to the federal government for redisclosure to the public;</w:t>
      </w:r>
    </w:p>
    <w:p>
      <w:pPr>
        <w:spacing w:after="0" w:line="1"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 w:lineRule="exact"/>
        <w:rPr>
          <w:rFonts w:ascii="Arial" w:cs="Arial" w:eastAsia="Arial" w:hAnsi="Arial"/>
          <w:sz w:val="18"/>
          <w:szCs w:val="18"/>
          <w:color w:val="auto"/>
        </w:rPr>
      </w:pPr>
    </w:p>
    <w:p>
      <w:pPr>
        <w:ind w:left="980" w:right="20" w:hanging="315"/>
        <w:spacing w:after="0" w:line="250" w:lineRule="auto"/>
        <w:tabs>
          <w:tab w:leader="none" w:pos="9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 wide range of federal and state consumer protection and unfair competition laws, which broadly regulate marketplace activities and activities that potentially harm consumers including those related to privacy;</w:t>
      </w:r>
    </w:p>
    <w:p>
      <w:pPr>
        <w:jc w:val="both"/>
        <w:ind w:left="960" w:right="20" w:hanging="313"/>
        <w:spacing w:after="0" w:line="255" w:lineRule="auto"/>
        <w:tabs>
          <w:tab w:leader="none" w:pos="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Federal Food, Drug, and Cosmetic Act and its implementing regulations, which among other things, strictly regulate drug product marketing and prohibit manufacturers from promotion and marketing of products prior to approval or for uses inconsistent with the FDA-required labeling;</w:t>
      </w:r>
    </w:p>
    <w:p>
      <w:pPr>
        <w:spacing w:after="0" w:line="1" w:lineRule="exact"/>
        <w:rPr>
          <w:rFonts w:ascii="Arial" w:cs="Arial" w:eastAsia="Arial" w:hAnsi="Arial"/>
          <w:sz w:val="18"/>
          <w:szCs w:val="18"/>
          <w:color w:val="auto"/>
        </w:rPr>
      </w:pPr>
    </w:p>
    <w:p>
      <w:pPr>
        <w:jc w:val="both"/>
        <w:ind w:left="960" w:right="20" w:hanging="327"/>
        <w:spacing w:after="0" w:line="250"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 w:lineRule="exact"/>
        <w:rPr>
          <w:rFonts w:ascii="Arial" w:cs="Arial" w:eastAsia="Arial" w:hAnsi="Arial"/>
          <w:sz w:val="18"/>
          <w:szCs w:val="18"/>
          <w:color w:val="auto"/>
        </w:rPr>
      </w:pPr>
    </w:p>
    <w:p>
      <w:pPr>
        <w:ind w:left="960" w:right="20" w:hanging="327"/>
        <w:spacing w:after="0" w:line="273" w:lineRule="auto"/>
        <w:tabs>
          <w:tab w:leader="none" w:pos="9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Drug Supply Chain Security Act, or DSCSA, which imposes obligations on entities in the commercial product supply chain, including manufacturers, to identify and track prescription drugs as they are distributed in the U.S.; and</w:t>
      </w:r>
    </w:p>
    <w:p>
      <w:pPr>
        <w:jc w:val="both"/>
        <w:ind w:left="980" w:right="20" w:hanging="315"/>
        <w:spacing w:after="0" w:line="302" w:lineRule="auto"/>
        <w:tabs>
          <w:tab w:leader="none" w:pos="980" w:val="left"/>
        </w:tabs>
        <w:numPr>
          <w:ilvl w:val="2"/>
          <w:numId w:val="48"/>
        </w:numPr>
        <w:rPr>
          <w:rFonts w:ascii="Arial" w:cs="Arial" w:eastAsia="Arial" w:hAnsi="Arial"/>
          <w:sz w:val="16"/>
          <w:szCs w:val="16"/>
          <w:color w:val="auto"/>
        </w:rPr>
      </w:pPr>
      <w:r>
        <w:rPr>
          <w:rFonts w:ascii="Arial" w:cs="Arial" w:eastAsia="Arial" w:hAnsi="Arial"/>
          <w:sz w:val="16"/>
          <w:szCs w:val="16"/>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privacy and security of health information in certain circumstances, many of which differ from each other in significant ways and often are not preempted by federal laws, thus complicating compliance efforts.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U.S., to help patients who have no or inadequate insurance access to UKONIQ, we have a patient support program that we administer in conjunction with a patient support program vendor and other third parties. There has been heightened governmental scrutiny recently over the scope of patient support programs and the manner in which drug manufacturers and their vendors operate such programs.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AKS are subject to change through legislative and regulatory action, and we may decide to adjust our business practices or be subject to heightened scrutiny as a result.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violate applicable data privacy and security laws, we may be subject to penalties, including civil and criminal penalties, damages, fines and the curtailment or restructuring of our operations.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be subject to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Within the United States, various federal and state laws regulate the privacy and security of personal information and so may affect our business operations. For example, at the federal level, our operations may be affected by the data privacy and security provisions of HIPAA, as amended by the Health Information Technology for Economic and Clinical Health Act and its implementing regulations. Although we are not currently directly subject to HIPAA, HIPAA affects the ability of healthcare providers and other entities with which we may interact, including clinical trial sites, to disclose patient health information to us. Under Section 5(a) of the Federal Trade Commission Act, or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States may also impose requirements, for example the California Consumer Privacy Act, or the CCPA, went into effect in January 2020 creating data privacy obligations for covered companies and providing privacy rights to California residents, including the right to opt out of certain disclosures of their information.</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Numerous other jurisdictions regulate the privacy and security of personally identifiable data. For example, the processing of personal data in the European Economic Area, or the EEA, is subject to the General Data Protection Regulation, or the GDPR, which took effect in May 2018.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European Commission to lack an adequate level of data protection, such as the United States. In July 2020, the Court of Justice of the European Union invalidated the EU-U.S. Privacy Shield framework, one of the mechanisms used to legitimize the transfer of personal data from the EEA to the U.S., which decision may lead to increased scrutiny on data transfers from the EEA to the U.S. generally and increase our costs of compliance with data privacy legislation.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5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or similar anti-bribery laws.</w:t>
      </w:r>
    </w:p>
    <w:p>
      <w:pPr>
        <w:spacing w:after="0" w:line="15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Any product for which we obtain marketing approval could be subject to restrictions or withdrawal from the market and we may be subject to penalties if we fail to comply with regulatory requirements or if we experience unanticipated problems with products.</w:t>
      </w:r>
    </w:p>
    <w:p>
      <w:pPr>
        <w:spacing w:after="0" w:line="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and requirements regarding promotional interactions with healthcare professionals.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Failure to comply with these regulatory requirements or later discovery of previously unknown problems with products, manufacturers, or manufacturing processes, may result in actions such as:</w:t>
      </w:r>
    </w:p>
    <w:p>
      <w:pPr>
        <w:spacing w:after="0" w:line="87" w:lineRule="exact"/>
        <w:rPr>
          <w:sz w:val="20"/>
          <w:szCs w:val="20"/>
          <w:color w:val="auto"/>
        </w:rPr>
      </w:pPr>
    </w:p>
    <w:p>
      <w:pPr>
        <w:ind w:left="980" w:hanging="315"/>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ind w:left="980" w:hanging="315"/>
        <w:spacing w:after="0" w:line="219"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ind w:left="980" w:hanging="315"/>
        <w:spacing w:after="0" w:line="219"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ind w:left="980" w:hanging="315"/>
        <w:spacing w:after="0" w:line="219"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warning letters;</w:t>
      </w:r>
    </w:p>
    <w:p>
      <w:pPr>
        <w:ind w:left="980" w:hanging="315"/>
        <w:spacing w:after="0" w:line="219"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ind w:left="980" w:hanging="315"/>
        <w:spacing w:after="0" w:line="219"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subsidiaries submit;</w:t>
      </w:r>
    </w:p>
    <w:p>
      <w:pPr>
        <w:ind w:left="980" w:hanging="315"/>
        <w:spacing w:after="0" w:line="219"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recalls;</w:t>
      </w:r>
    </w:p>
    <w:p>
      <w:pPr>
        <w:ind w:left="980" w:hanging="315"/>
        <w:spacing w:after="0" w:line="219"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ind w:left="980" w:hanging="315"/>
        <w:spacing w:after="0" w:line="219"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fines, restitutions, or disgorgement of profits or revenues;</w:t>
      </w:r>
    </w:p>
    <w:p>
      <w:pPr>
        <w:ind w:left="980" w:hanging="315"/>
        <w:spacing w:after="0" w:line="219"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ind w:left="980" w:hanging="315"/>
        <w:spacing w:after="0" w:line="219"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seizure or detentions;</w:t>
      </w:r>
    </w:p>
    <w:p>
      <w:pPr>
        <w:ind w:left="980" w:hanging="315"/>
        <w:spacing w:after="0" w:line="219"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ind w:left="980" w:hanging="315"/>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Our third-party manufacturers may use hazardous materials in the production of UKONIQ and our product candidates and if so, they must comply with environmental laws and regulations, which can be expensive and restrict how we or they do business.</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Manufacturing activities for the production of UKONIQ and our product candidates involve the controlled storage, use, and disposal of hazardous materials, including the components of our product candidates, and other hazardous compounds. Our third-party manufacturers and we are subject to federal, state, and local laws and regulations governing the use, manufacture, storage, handling, release, disposal of, and exposure to, these hazardous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rely on third parties to generate clinical, preclinical and other data necessary to support the regulatory applications needed to conduct clinical trials and file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order to submit an Investigational New Drug application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w:t>
      </w:r>
    </w:p>
    <w:p>
      <w:pPr>
        <w:spacing w:after="0" w:line="16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w:t>
      </w:r>
    </w:p>
    <w:p>
      <w:pPr>
        <w:sectPr>
          <w:pgSz w:w="11900" w:h="16838" w:orient="portrait"/>
          <w:cols w:equalWidth="0" w:num="1">
            <w:col w:w="10220"/>
          </w:cols>
          <w:pgMar w:left="840" w:top="517" w:right="8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care of those patients to another qualified clinical trial site. If any of our clinical trial sites are required by the FDA or IRB to close down due to data management or patient management or any other issues, we may lose patients. In our MS Phase 2 trial, during routine monitoring and site audits, significant Good Clinical Practice (GCP) violations and other noncompliance issues were identified at one of our US-based large academic sites. The investigator left the institution and shortly thereafter the site terminated their participation in our study before all data could be source document verified. While we do not believe this will have any effect on the overall results of the MS Phase 2 trial, sensitivity analyses excluding data from this site will be performed and no assurance can be given that the results were not affected.</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up to and including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we intend to design the clinical trials for our drug candidates, 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2" w:lineRule="exact"/>
        <w:rPr>
          <w:sz w:val="20"/>
          <w:szCs w:val="20"/>
          <w:color w:val="auto"/>
        </w:rPr>
      </w:pPr>
    </w:p>
    <w:p>
      <w:pPr>
        <w:ind w:left="980" w:hanging="315"/>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58"/>
        <w:spacing w:after="0" w:line="259" w:lineRule="auto"/>
        <w:rPr>
          <w:sz w:val="20"/>
          <w:szCs w:val="20"/>
          <w:color w:val="auto"/>
        </w:rPr>
      </w:pPr>
      <w:r>
        <w:rPr>
          <w:rFonts w:ascii="Arial" w:cs="Arial" w:eastAsia="Arial" w:hAnsi="Arial"/>
          <w:sz w:val="18"/>
          <w:szCs w:val="18"/>
          <w:b w:val="1"/>
          <w:bCs w:val="1"/>
          <w:i w:val="1"/>
          <w:iCs w:val="1"/>
          <w:color w:val="auto"/>
        </w:rPr>
        <w:t>We contract with third parties for the manufacture of UKONIQ for commercial supply and of our product candidates for pre-clinical development and clinical trials,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We rely, and expect to continue to rely, on third parties for the manufacture, packaging and labeling of any products that we commercialize, including UKONIQ, and our product candidates for pre-clinical development and clinical testing. In some circumstances, our licensor has entered into arrangements with contract manufacturers to supply product for our clinical and commercial demand.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facilities used by contract manufacturers to manufacture our drug candidates typically undergo inspections by the FDA or a comparable foreign regulatory to verify compliance with applicable cGMP regulations. Such inspections may be conducted after we submit our marketing applications to or receive marketing approval from the FDA or a comparable foreign regulatory authority. Although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FDA’s satisfaction in a timely manner during the review of our NDAs or BLAs,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certain of our product candidates, we do not have long-term supply agreements with contract manufacturers. For these product candidates, we purchase our required drug supply, including the drug product and drug substance on a purchase order basis. We may be unable to establish or maintain agreements with third-party manufacturers for these products or product candidates or do so on acceptable terms.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If they are unable to do so, it could have a material adverse impact on our business.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Even if we are able to establish and maintain agreements with third-party manufacturers, reliance on third-party manufacturers entails additional risks, including:</w:t>
      </w:r>
    </w:p>
    <w:p>
      <w:pPr>
        <w:spacing w:after="0" w:line="170" w:lineRule="exact"/>
        <w:rPr>
          <w:sz w:val="20"/>
          <w:szCs w:val="20"/>
          <w:color w:val="auto"/>
        </w:rPr>
      </w:pPr>
    </w:p>
    <w:p>
      <w:pPr>
        <w:ind w:left="980" w:hanging="315"/>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possible breach of the manufacturing or supply agreement by the third party;</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Moreover, our current long-term supply agreement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current and anticipated future dependence upon others for the manufacture of our products or product candidates could result in significant delays or gaps in availability of such products or product candidates and may adversely affect our future profit margins and our ability to commercialize any drugs that receive marketing approval on a timely and competitive basis.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and for commercial demand for UKONIQ and expect to continue to do so for any other product candidates that may receive approval.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including as a result of the COVID-19 pandemic, could significantly harm our business.</w:t>
      </w:r>
    </w:p>
    <w:p>
      <w:pPr>
        <w:spacing w:after="0" w:line="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public health emergencies such as the COVID-19 pandemic or natural disasters that may cause those suppliers to stop work for a period of time. If any of our suppliers ceases its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Although COVID-19 has not had a material adverse effect on our supply chain to date, no assurance can be given that it will not in the future if the situation persists or worsens. UKONIQ is manufactured in India, ublituximab is manufactured in South Korea, and TG-1701 is manufactured in China. Each of these countries continues to be, or has been, subject to government-imposed quarantines and travel restrictions due to the COVID-19 pandemic, which, in some cases, have resulted in reduced operations at manufacturing and research locations and time-limited shutdowns. Our contract manufacturers for UKONIQ and ublituximab are continuing operations at varying levels of capacity. We have worked closely with our contract manufacturer for UKONIQ to plan for anticipated commercial supply needs. We also are working closely with our contract manufacturer for ublituximab to plan for our anticipated commercial supply needs if we are successful in our continued clinical and regulatory development. We will continue to monitor the situation very closely with our suppliers in impacted regions.</w:t>
      </w:r>
    </w:p>
    <w:p>
      <w:pPr>
        <w:spacing w:after="0" w:line="19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and drug product,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Because we have in-licensed UKONIQ and our product candidates from third parties, any dispute with or non-performance by our licensors will adversely affect our ability to develop and commercialize the applicable product or product candidate.</w:t>
      </w:r>
    </w:p>
    <w:p>
      <w:pPr>
        <w:spacing w:after="0" w:line="1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Because we license UKONIQ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42" w:lineRule="exact"/>
        <w:rPr>
          <w:sz w:val="20"/>
          <w:szCs w:val="20"/>
          <w:color w:val="auto"/>
        </w:rPr>
      </w:pPr>
    </w:p>
    <w:p>
      <w:pPr>
        <w:ind w:left="980" w:hanging="315"/>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ind w:left="980" w:right="20" w:hanging="315"/>
        <w:spacing w:after="0" w:line="219"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license agreement;</w:t>
      </w:r>
    </w:p>
    <w:p>
      <w:pPr>
        <w:ind w:left="980" w:right="20" w:hanging="315"/>
        <w:spacing w:after="0" w:line="219"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 and obligations associated with sublicensing;</w:t>
      </w:r>
    </w:p>
    <w:p>
      <w:pPr>
        <w:ind w:left="980" w:hanging="315"/>
        <w:spacing w:after="0" w:line="219"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ind w:left="980" w:right="20" w:hanging="315"/>
        <w:spacing w:after="0" w:line="219"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ind w:left="980" w:hanging="315"/>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In addition, the agreements under which we currently license umbralisib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4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4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their sales.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success depends upon our ability to obtain and protect our intellectual property and proprietary technologies and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0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Our commercial success in part depends on obtaining and maintaining patent protection and trade secret protection in the United States and other countries with respect to any product we commercialize, including UKONIQ,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15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rights to the same extent as the laws of the United States.</w:t>
      </w:r>
    </w:p>
    <w:p>
      <w:pPr>
        <w:spacing w:after="0" w:line="13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product candidates, including generic versions of such drugs.</w:t>
      </w:r>
    </w:p>
    <w:p>
      <w:pPr>
        <w:spacing w:after="0" w:line="14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Currently, the composition of matter patent for ublituximab and UKONIQ are granted in both the United States and EU, among other countries. A method of use patent covering the combination of ublituximab and UKONIQ has also been granted in the United States, European Union, Japan, and several other territories. Additionally, several method of use patents for ublituximab and UKONIQ in various indications and settings have also been applied for but have not yet been issued or have been issued in certain territories but not under all jurisdictions in which such applications have been filed. There can be no guarantee that any patents for which an application has already been filed, nor any patents filed in the future, for cosibelimab, TG-1701 and TG-1801 or for our pre-clinical product candidates will be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granted in any or all jurisdictions in which they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risks and uncertainties include the following:</w:t>
      </w:r>
    </w:p>
    <w:p>
      <w:pPr>
        <w:spacing w:after="0" w:line="198" w:lineRule="exact"/>
        <w:rPr>
          <w:sz w:val="20"/>
          <w:szCs w:val="20"/>
          <w:color w:val="auto"/>
        </w:rPr>
      </w:pPr>
    </w:p>
    <w:p>
      <w:pPr>
        <w:ind w:left="980" w:hanging="315"/>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any patents being issued;</w:t>
      </w:r>
    </w:p>
    <w:p>
      <w:pPr>
        <w:spacing w:after="0" w:line="23"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right="20" w:hanging="315"/>
        <w:spacing w:after="0" w:line="250"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 to invent to a first to file system. If we do not win the filing race, we will not be entitled to inventive priority;</w:t>
      </w:r>
    </w:p>
    <w:p>
      <w:pPr>
        <w:jc w:val="both"/>
        <w:ind w:left="980" w:right="20" w:hanging="315"/>
        <w:spacing w:after="0" w:line="250"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file new patent applications or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right="20" w:hanging="315"/>
        <w:spacing w:after="0" w:line="290"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patents are not issued that protect our products or product candidates, it could have a material adverse effect on our financial condition and results of operations.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USPTO have been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these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or partnerships,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 candidates.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Even if our patent applications issue as patents, and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w:t>
      </w:r>
    </w:p>
    <w:p>
      <w:pPr>
        <w:sectPr>
          <w:pgSz w:w="11900" w:h="16838" w:orient="portrait"/>
          <w:cols w:equalWidth="0" w:num="1">
            <w:col w:w="10220"/>
          </w:cols>
          <w:pgMar w:left="840" w:top="517" w:right="8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do not obtain patent term extensions under the Hatch-Waxman Amendments and similar foreign legislation extending the terms of our licensed patents and any future patents we may own, our business may be materially harmed.</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9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aware of certain patents that may pose issues for our commercialization of our drug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ublituximab or launch at the risk of litigation for patent infringement, which may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 For example, we engage extensively with third parties, including academic institutions, to conduct non-clinical and clinical research on our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may be harmed.</w:t>
      </w:r>
    </w:p>
    <w:p>
      <w:pPr>
        <w:spacing w:after="0" w:line="2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6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w:t>
      </w:r>
    </w:p>
    <w:p>
      <w:pPr>
        <w:sectPr>
          <w:pgSz w:w="11900" w:h="16838" w:orient="portrait"/>
          <w:cols w:equalWidth="0" w:num="1">
            <w:col w:w="10220"/>
          </w:cols>
          <w:pgMar w:left="840" w:top="517" w:right="8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Organization and Governance, Strategy, Employees and Growth Management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commercial, and clinical development personnel, we may be unable to successfully develop or commercialize our product candidates.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expect to continue hiring qualified development and commercialization personnel. Recruiting and retaining qualified scientific, clinical, manufacturing and sales and marketing personnel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Failure to succeed in clinical trials may make it more challenging to recruit and retain qualified medical and scientific personnel. If we are not able to attract and retain the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5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Expanding our business will increase our operating needs. As of February 18, 2021, we had 272 full -time employees, and we expect to continue to increase our number of employees and expand the scope of our operations. Our management and medical, commercial, and scientific personnel, systems and facilities currently in place may not be adequate to support our anticipated future growth.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To accommodate growth, additional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business.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Additionally, to help manage the expanding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advance the commercialization of UKONIQ and further develop and commercialize our product candidates and, accordingly, may not achieve our research, development and commercialization goals.</w:t>
      </w:r>
    </w:p>
    <w:p>
      <w:pPr>
        <w:spacing w:after="0" w:line="1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w:t>
      </w:r>
    </w:p>
    <w:p>
      <w:pPr>
        <w:sectPr>
          <w:pgSz w:w="11900" w:h="16838" w:orient="portrait"/>
          <w:cols w:equalWidth="0" w:num="1">
            <w:col w:w="10220"/>
          </w:cols>
          <w:pgMar w:left="840" w:top="517" w:right="8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2020, we had federal net operating loss carryforwards of approximately 956.3 million,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“CARES Act” was signed by the U.S. President. Certain provisions of the CARES Act alter the rules regarding net-operating losses for such losses arising in 2018, 2019 and 2020. Such losses may be carried back for five years. We cannot assure you, however, of our ability to utilize these favorable offset rules within the applicable time period. These rules apply regardless of the occurrence of an ownership change.</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Certain of our executive officers, directors and stockholders own more than 10%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4" w:lineRule="exact"/>
        <w:rPr>
          <w:sz w:val="20"/>
          <w:szCs w:val="20"/>
          <w:color w:val="auto"/>
        </w:rPr>
      </w:pPr>
    </w:p>
    <w:p>
      <w:pPr>
        <w:ind w:left="980" w:hanging="315"/>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Although we have been the targets of cyber-attacks and cyber-intrusions, the impact on our operations and financial condition has not been material. We expect such cybersecurity threats to continue and become more sophisticated. A significant cyber-attack or cyber-intrusion could cause our systems to fail, leakage of confidential information, or business interruption, which could result in a material disruption of our operations, financial loss, or reputational harm. For example, the loss of clinical trial data for our drug candidates could result in delays in our regulatory approval efforts and significantly increase our costs to recover or reproduce the data. We have invested in protections and monitoring practices of our data and information technology systems to reduce these risks and expect to continue do so as our computer systems increase in magnitude and complexity. However, there can be no assurance that our efforts and investments will prevent breakdowns or breaches in our systems that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or results of operations.</w:t>
      </w:r>
    </w:p>
    <w:p>
      <w:pPr>
        <w:spacing w:after="0" w:line="23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COVID-19 pandemic has caused extreme volatility and disruptions in the capital and credit markets.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31, 2019 (Brexit Day), the United Kingdom formally left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Although the United Kingdom and the European Union reached a trade agreement in late 2020, the long-term impact of Brexit, including on our business and our industry, remains uncertain. Despite the Brexit developments, we do not expect macroeconomic conditions to have a significant impact on our liquidity needs, financial condition or results of operations.</w:t>
      </w:r>
    </w:p>
    <w:p>
      <w:pPr>
        <w:spacing w:after="0" w:line="1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drugs, or form strategic alliances, in the future, and we may not realize the benefits of such acquisitions.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adverse legislative or regulatory tax changes that could negatively impact our financial condition.</w:t>
      </w:r>
    </w:p>
    <w:p>
      <w:pPr>
        <w:spacing w:after="0" w:line="18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7"/>
          <w:szCs w:val="17"/>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COVID-19 Pandemic</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Major public health issues, and specifically the pandemic caused by COVID-19, could have an adverse impact on our financial condition and results of operations and other aspects of our business.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December 2019, a novel strain of coronavirus which causes a disease referred to as COVID-19, was first detected in Wuhan, China, and has since spread around the world. On March 11, 2020, the World Health Organization declared that the rapidly spreading COVID-19 outbreak had evolved into a pandemic. In response to the pandemic, many governments around the world have implemented a variety of control measures to reduce the spread of COVID-19, including travel restrictions and bans, instructions to residents to practice social distancing, quarantine advisories, shelter-in-place orders and required closures of non-essential businesses.</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COVID-19 pandemic has negatively impacted the global economy, disrupted global supply chains, and created significant volatility and disruption of financial markets. Although COVID-19 has not had a material adverse effect on our business to date, no assurance can be given that it will not in the future if the situation persists or worsens. The extent to which the COVID-19 pandemic impacts our business and operating results will depend on future developments that are highly uncertain and cannot be accurately predicted, including new information that may emerge concerning the virus, the duration, spread and severity of the COVID-19 pandemic, the rate of vaccination and efficacy of approved vaccines against the virus and any variant strains of the virus, other actions to contain the virus or treat its impact, and how quickly and to what extent normal economic and operating conditions can resume if and when the pandemic subsides, among others.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Should the COVID-19 pandemic persist or worsen and government restrictions continue, our business operations could be materially delayed or interrupted. For instance, our ongoing clinical trials may be delayed or compromised; our ability to conduct new clinical trials may be adversely impacted; our supply chain may be disrupted; health authority inspections of clinical sites or manufacturing facilities, or review of our regulatory submissions may be delayed, and our commercialization efforts may be impacted. It is unknown how long these disruptions could continue, were they to occur. Any delay in our clinical trials, preapproval inspections or in regulatory review resulting from such disruptions could materially affect the development and commercialization of our product candidates.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rely on third parties for certain functions or services in support of our clinical trials and key areas of our operations. These third parties include contract research organizations (CROs), medical institutions and clinical investigators, contract manufacturing organizations, suppliers, and external business partners supporting commercialization of UKONIQ. If these third parties themselves are adversely impacted by restrictions resulting from the COVID-19 outbreak, we will likely experience delays and/or realize additional costs. As a result, our efforts to commercialize UKONIQ and obtain regulatory approvals for, and to commercialize, our product candidates may be delayed or disrupted.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as a result of government directives on social distancing and to protect the health of our workforce, we have asked our office-based employees to work remotely and have restricted domestic and international travel indefinitely. Third parties on which we rely may also increase their use of remote working arrangements in response to COVID-19. Our increased reliance on personnel working remotely may negatively impact productivity, including our ability to monitor clinical trials, prepare regulatory applications, and conduct data analysis, or disrupt, delay, or otherwise adversely impact our business. In addition, remote working could increase our cybersecurity risk and make us more susceptible to communication disruptions, any of which could adversely impact our business operations or delay necessary interactions with local and federal regulators, manufacturing sites, research or clinical trial sites and contractors.</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ability to successfully commercialize UKONIQ, and any of our product candidates for which we in the future obtain regulatory approval, also may be adversely impacted by restrictions and safety measures instituted due to COVID-19. For example, reduced access to healthcare providers and institutions as a result of social distancing protocols has impacted our commercialization activities, including, the manner in which our field teams engage with healthcare providers and facilities. Our compliance monitoring and oversight of interactions and communications with HCPs, payors, and other stakeholders may also be impacted by the remote work environment.</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potential economic impact brought by and the duration of the pandemic may be difficult to assess or predict. However, it has already caused, and is likely to result in further, significant disruption of global financial markets. It is likely that the pandemic will cause an economic slowdown of potentially extended duration, and it is possible that it could cause a global recession. This disruption may reduce our ability to access capital either at all or on favorable terms. In addition, a recession, depression or other sustained adverse market event resulting from the spread of COVID-19 could materially and adversely affect our business and the value of our common stock.</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ultimate impact of the current pandemic, or any other health epidemic, is highly uncertain and subject to change. We do not yet know the full extent of potential delays or impacts on our business, our clinical trials, our research programs, healthcare systems or the global economy as a whole. However, these effects could have a material adverse effect on our business, financial condition and results of operations.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the extent the COVID-19 pandemic materially adversely affects our business and financial results, it may also have the effect of significantly heightening many of the other risks described in this Risk Factors section.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on our clinical development program if the pandemic and associated government control measures continue.</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ongoing COVID-19 pandemic has presented substantial public health challenges and is impacting the global healthcare system, including the conduct of clinical trials in the U.S. and other parts of the world. As a result of the COVID-19 pandemic, we may encounter delays in our clinical development program. The majority of our clinical trials involve patients with cancer or those receiving ongoing immunosuppressive therapy who may be at higher risk of infection. These patients are thus more likely to be subject to travel restrictions and self-quarantining and may be more likely to withdraw from our clinical trials or unable to complete study assessments. We have made efforts to allow patients currently enrolled in our ongoing clinical trials to continue unimpeded and have continued to allow new patients to enroll in our trials. While we have allowed continued enrollment to our trials, many trial sites have limited enrollment or suspended enrollment entirely in response to the COVID-19 pandemic, which may affect our ability to enroll to our trials and meet our projected timelines.</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UNITY-NHL FL and MZL monotherapy cohorts, the UNITY-CLL and the ULTIMATE I and II trials are fully enrolled. However, follow-up is ongoing and data continue to be collected from these or related follow-up studies. These data collection efforts rely on study participants’ ability to contribute such data, often through study specific visits and procedures that can only be conducted in-person. While we anticipate minimal impact from COVID-19 on the previously estimated timelines for these trials, no guarantee can be made that our estimated timelines, or the ultimate outcome from these trials, will not be materially negatively impacted by the COVID-19 pandemic.</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we may not be able to complete our clinical trials that we initiated more recently and for which we have not yet completed enrollment in the time frame that we had previously planned. In addition, the pandemic may adversely affect our ability to conduct new trials. Some factors from the COVID-19 outbreak that may delay or otherwise adversely affect our clinical trial programs, as well as adversely impact our business generally, include:</w:t>
      </w:r>
    </w:p>
    <w:p>
      <w:pPr>
        <w:spacing w:after="0" w:line="187" w:lineRule="exact"/>
        <w:rPr>
          <w:sz w:val="20"/>
          <w:szCs w:val="20"/>
          <w:color w:val="auto"/>
        </w:rPr>
      </w:pPr>
    </w:p>
    <w:p>
      <w:pPr>
        <w:jc w:val="both"/>
        <w:ind w:left="980" w:right="20" w:hanging="315"/>
        <w:spacing w:after="0" w:line="253"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and retaining clinical sites, impacts on compliance with clinical study protocols, delays enrolling patients in our clinical trials, decreased enrollment in our clinical trials or increased rates of patients withdrawing from our clinical trials following enrollment, in each case, as a result of patients contracting COVID-19, being forced to quarantine, experiencing reluctance to seek medical attention in a healthcare facility setting, or otherwise not being able or willing to complete study assessments, particularly for older patients or others with a higher risk of contracting COVID-19;</w:t>
      </w:r>
    </w:p>
    <w:p>
      <w:pPr>
        <w:spacing w:after="0" w:line="1" w:lineRule="exact"/>
        <w:rPr>
          <w:rFonts w:ascii="Arial" w:cs="Arial" w:eastAsia="Arial" w:hAnsi="Arial"/>
          <w:sz w:val="18"/>
          <w:szCs w:val="18"/>
          <w:color w:val="auto"/>
        </w:rPr>
      </w:pPr>
    </w:p>
    <w:p>
      <w:pPr>
        <w:ind w:left="980" w:right="20" w:hanging="315"/>
        <w:spacing w:after="0" w:line="191" w:lineRule="auto"/>
        <w:tabs>
          <w:tab w:leader="none" w:pos="980" w:val="left"/>
        </w:tabs>
        <w:numPr>
          <w:ilvl w:val="0"/>
          <w:numId w:val="55"/>
        </w:numPr>
        <w:rPr>
          <w:rFonts w:ascii="Arial" w:cs="Arial" w:eastAsia="Arial" w:hAnsi="Arial"/>
          <w:sz w:val="29"/>
          <w:szCs w:val="29"/>
          <w:color w:val="auto"/>
          <w:vertAlign w:val="superscript"/>
        </w:rPr>
      </w:pPr>
      <w:r>
        <w:rPr>
          <w:rFonts w:ascii="Arial" w:cs="Arial" w:eastAsia="Arial" w:hAnsi="Arial"/>
          <w:sz w:val="18"/>
          <w:szCs w:val="18"/>
          <w:color w:val="auto"/>
        </w:rPr>
        <w:t>impacts to clinical results, including an increased number of observed adverse events, as a result of participants enrolled in our clinical trials contracting COVID-19;</w:t>
      </w:r>
    </w:p>
    <w:p>
      <w:pPr>
        <w:spacing w:after="0" w:line="1" w:lineRule="exact"/>
        <w:rPr>
          <w:rFonts w:ascii="Arial" w:cs="Arial" w:eastAsia="Arial" w:hAnsi="Arial"/>
          <w:sz w:val="29"/>
          <w:szCs w:val="29"/>
          <w:color w:val="auto"/>
          <w:vertAlign w:val="superscript"/>
        </w:rPr>
      </w:pPr>
    </w:p>
    <w:p>
      <w:pPr>
        <w:jc w:val="both"/>
        <w:ind w:left="980" w:right="20" w:hanging="315"/>
        <w:spacing w:after="0" w:line="233" w:lineRule="auto"/>
        <w:tabs>
          <w:tab w:leader="none" w:pos="980" w:val="left"/>
        </w:tabs>
        <w:numPr>
          <w:ilvl w:val="0"/>
          <w:numId w:val="55"/>
        </w:numPr>
        <w:rPr>
          <w:rFonts w:ascii="Arial" w:cs="Arial" w:eastAsia="Arial" w:hAnsi="Arial"/>
          <w:sz w:val="26"/>
          <w:szCs w:val="26"/>
          <w:color w:val="auto"/>
          <w:vertAlign w:val="superscript"/>
        </w:rPr>
      </w:pPr>
      <w:r>
        <w:rPr>
          <w:rFonts w:ascii="Arial" w:cs="Arial" w:eastAsia="Arial" w:hAnsi="Arial"/>
          <w:sz w:val="16"/>
          <w:szCs w:val="16"/>
          <w:color w:val="auto"/>
        </w:rPr>
        <w:t>prioritization by healthcare providers, facilities, lawmakers, and regulators of COVID-19-related healthcare needs or, when the pandemic subsides, to address the potential backlog of patients who have deferred medical procedures during the pendency of the pandemic, which may reduce availability of professionals and resources for clinical trials in other disease areas;</w:t>
      </w:r>
    </w:p>
    <w:p>
      <w:pPr>
        <w:jc w:val="both"/>
        <w:ind w:left="980" w:right="20" w:hanging="315"/>
        <w:spacing w:after="0" w:line="265" w:lineRule="auto"/>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limitations on travel, including limitations on domestic and international travel, and government-imposed quarantines or restrictions imposed by key third parties that could interrupt key trial activities, such as clinical trial site initiations and monitoring, which could impact the reliability or integrity of subject data and clinical study endpoints;</w:t>
      </w:r>
    </w:p>
    <w:p>
      <w:pPr>
        <w:jc w:val="both"/>
        <w:ind w:left="980" w:right="20" w:hanging="315"/>
        <w:spacing w:after="0" w:line="208" w:lineRule="auto"/>
        <w:tabs>
          <w:tab w:leader="none" w:pos="980" w:val="left"/>
        </w:tabs>
        <w:numPr>
          <w:ilvl w:val="0"/>
          <w:numId w:val="55"/>
        </w:numPr>
        <w:rPr>
          <w:rFonts w:ascii="Arial" w:cs="Arial" w:eastAsia="Arial" w:hAnsi="Arial"/>
          <w:sz w:val="29"/>
          <w:szCs w:val="29"/>
          <w:color w:val="auto"/>
          <w:vertAlign w:val="superscript"/>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or interruption in global shipping that may affect the transport of clinical trial materials;</w:t>
      </w:r>
    </w:p>
    <w:p>
      <w:pPr>
        <w:ind w:left="980" w:right="20" w:hanging="315"/>
        <w:spacing w:after="0" w:line="191" w:lineRule="auto"/>
        <w:tabs>
          <w:tab w:leader="none" w:pos="980" w:val="left"/>
        </w:tabs>
        <w:numPr>
          <w:ilvl w:val="0"/>
          <w:numId w:val="55"/>
        </w:numPr>
        <w:rPr>
          <w:rFonts w:ascii="Arial" w:cs="Arial" w:eastAsia="Arial" w:hAnsi="Arial"/>
          <w:sz w:val="29"/>
          <w:szCs w:val="29"/>
          <w:color w:val="auto"/>
          <w:vertAlign w:val="superscript"/>
        </w:rPr>
      </w:pPr>
      <w:r>
        <w:rPr>
          <w:rFonts w:ascii="Arial" w:cs="Arial" w:eastAsia="Arial" w:hAnsi="Arial"/>
          <w:sz w:val="18"/>
          <w:szCs w:val="18"/>
          <w:color w:val="auto"/>
        </w:rPr>
        <w:t>disruptions and delays caused by potential workplace, laboratory and office closures and an increased reliance on employees working from home across the healthcare system;</w:t>
      </w:r>
    </w:p>
    <w:p>
      <w:pPr>
        <w:spacing w:after="0" w:line="1" w:lineRule="exact"/>
        <w:rPr>
          <w:rFonts w:ascii="Arial" w:cs="Arial" w:eastAsia="Arial" w:hAnsi="Arial"/>
          <w:sz w:val="29"/>
          <w:szCs w:val="29"/>
          <w:color w:val="auto"/>
          <w:vertAlign w:val="superscript"/>
        </w:rPr>
      </w:pPr>
    </w:p>
    <w:p>
      <w:pPr>
        <w:jc w:val="both"/>
        <w:ind w:left="980" w:right="20" w:hanging="315"/>
        <w:spacing w:after="0" w:line="250"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disruptions in or delays to regulatory reviews, responses, inspections, or other regulatory activities, including review of marketing applications and approvals of protocol changes or amendments to Special Protocol Assessments (SPA), as a result of the spread of COVID-19 affecting the operations of the U.S. Food and Drug Administration (FDA) or other regulatory authorities</w:t>
      </w:r>
      <w:r>
        <w:rPr>
          <w:rFonts w:ascii="Arial" w:cs="Arial" w:eastAsia="Arial" w:hAnsi="Arial"/>
          <w:sz w:val="18"/>
          <w:szCs w:val="18"/>
          <w:b w:val="1"/>
          <w:bCs w:val="1"/>
          <w:color w:val="auto"/>
        </w:rPr>
        <w:t>;</w:t>
      </w:r>
    </w:p>
    <w:p>
      <w:pPr>
        <w:spacing w:after="0" w:line="1" w:lineRule="exact"/>
        <w:rPr>
          <w:rFonts w:ascii="Arial" w:cs="Arial" w:eastAsia="Arial" w:hAnsi="Arial"/>
          <w:sz w:val="18"/>
          <w:szCs w:val="18"/>
          <w:color w:val="auto"/>
        </w:rPr>
      </w:pPr>
    </w:p>
    <w:p>
      <w:pPr>
        <w:ind w:left="980" w:right="20" w:hanging="315"/>
        <w:spacing w:after="0" w:line="265" w:lineRule="auto"/>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COVID-19 pandemic which may require us to change the ways in which clinical trials are conducted, which may result in unexpected costs, or to discontinue the clinical trials altogether;</w:t>
      </w:r>
    </w:p>
    <w:p>
      <w:pPr>
        <w:ind w:left="980" w:hanging="315"/>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negative effects on the quality, completeness, integrity, interpretability and cost of our clinical study data.</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potential disruptions discussed above and other consequences of the COVID-19 pandemic could result in missed study visits or study procedures in our clinical trials, which could lead to an abundance of protocol deviations that impact the interpretability of the trial results. A significant number of deviations may call into question whether the execution of a clinical trial was consistent with the protocol, which is of particular importance where study designs were agreed to as part of a SPA as in the case of our Phase 3 clinical trial for the combination of ublituximab plus UKONIQ for patients with chronic lymphocytic leukemia (UNITY-CLL) and our registration program for ublituximab in relapsing multiple sclerosis (ULTIMATE I and II). In extreme cases, significant deviations from the protocol may be considered a violation of the SPA and result in potential rescindment of the SPA agreement, which could adversely affect our ability to use the results of the impacted study to support a future regulatory application.</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continue to monitor the potential impact of COVID-19 on our clinical trial program, however, the full extent to which the COVID-19 pandemic may directly or indirectly impact the progress of our current and planned trials will depend on future developments that are highly uncertain and cannot be accurately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 and Being a Publicly-Traded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1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subject to wide fluctuations in price in response to various factors, many of which are beyond our control. These factors include:</w:t>
      </w:r>
    </w:p>
    <w:p>
      <w:pPr>
        <w:spacing w:after="0" w:line="200" w:lineRule="exact"/>
        <w:rPr>
          <w:sz w:val="20"/>
          <w:szCs w:val="20"/>
          <w:color w:val="auto"/>
        </w:rPr>
      </w:pPr>
    </w:p>
    <w:p>
      <w:pPr>
        <w:spacing w:after="0" w:line="389" w:lineRule="exact"/>
        <w:rPr>
          <w:sz w:val="20"/>
          <w:szCs w:val="20"/>
          <w:color w:val="auto"/>
        </w:rPr>
      </w:pPr>
    </w:p>
    <w:p>
      <w:pPr>
        <w:ind w:left="980" w:hanging="315"/>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publicity regarding actual or potential clinical results relating to products under development by our competitors or us;</w:t>
      </w:r>
    </w:p>
    <w:p>
      <w:pPr>
        <w:spacing w:after="0" w:line="9" w:lineRule="exact"/>
        <w:rPr>
          <w:rFonts w:ascii="Arial" w:cs="Arial" w:eastAsia="Arial" w:hAnsi="Arial"/>
          <w:sz w:val="17"/>
          <w:szCs w:val="17"/>
          <w:color w:val="auto"/>
        </w:rPr>
      </w:pPr>
    </w:p>
    <w:p>
      <w:pPr>
        <w:ind w:left="980" w:right="20" w:hanging="315"/>
        <w:spacing w:after="0" w:line="219"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ind w:left="980" w:hanging="315"/>
        <w:spacing w:after="0" w:line="219"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ind w:left="980" w:hanging="315"/>
        <w:spacing w:after="0" w:line="219"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ind w:left="980" w:hanging="315"/>
        <w:spacing w:after="0" w:line="219"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ind w:left="980" w:hanging="315"/>
        <w:spacing w:after="0" w:line="219"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ind w:left="980" w:hanging="315"/>
        <w:spacing w:after="0" w:line="219"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ind w:left="980" w:right="20" w:hanging="315"/>
        <w:spacing w:after="0" w:line="219"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 such as the disruptions in the global economy caused by the COVID-19 pandemic;</w:t>
      </w:r>
    </w:p>
    <w:p>
      <w:pPr>
        <w:ind w:left="980" w:hanging="315"/>
        <w:spacing w:after="0" w:line="219"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ind w:left="980" w:hanging="315"/>
        <w:spacing w:after="0" w:line="219"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ind w:left="980" w:hanging="315"/>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sales of our common stock by us.</w:t>
      </w:r>
    </w:p>
    <w:p>
      <w:pPr>
        <w:spacing w:after="0" w:line="18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under the Loan Agreement, we are currently restricted from paying cash dividends, and we expect these restrictions to continue in the future. In addition, the terms of any future debt agreements may continue to preclude us from paying dividends. As a result, capital appreciation, if any, of our common stock will be the sole source of gain for our stockholders for the foreseeable future.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70"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which could have an adverse effect on the market price of our stock.</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Volatility in the price of our common stock may subject us to securities litigation, which could cause us to incur substantial costs and divert management’s attention, financial resources and other company assets.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past, securities class action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and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maintain corporate and executive space in New York, New York, and Edison, New Jersey. We are also currently leasing small office spaces in Raleigh, North Carolina and Kingsport, Tennessee. We believe that our existing facilities are adequate to meet our current requirements. We do not own any real property.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and our subsidiaries, are not a party to, and our property is not the subject of, any material pending legal proceedings.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record holders of our common stock as of February 24, 2021 was 235.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in the foreseeable future. Any future determination to pay dividends will be at the discretion of our board of directors.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information as of December 31, 2020, regarding the securities authorized for issuance under our equity compensation plan, the TG Therapeutics, Inc. Amended and Restated 2012 Incentive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Equity Compensation Plan Information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Weighted-average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71"/>
        </w:trPr>
        <w:tc>
          <w:tcPr>
            <w:tcW w:w="5540" w:type="dxa"/>
            <w:vAlign w:val="bottom"/>
            <w:gridSpan w:val="2"/>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options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in column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2,526,166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2,526,166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information about all of our equity compensation plans see Note 5 to our Consolidated Financial Statements included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8" w:name="page79"/>
    <w:bookmarkEnd w:id="78"/>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COMMON STOCK PERFORMANCE GRAPH</w:t>
      </w:r>
    </w:p>
    <w:p>
      <w:pPr>
        <w:spacing w:after="0" w:line="229" w:lineRule="exact"/>
        <w:rPr>
          <w:sz w:val="20"/>
          <w:szCs w:val="20"/>
          <w:color w:val="auto"/>
        </w:rPr>
      </w:pPr>
    </w:p>
    <w:p>
      <w:pPr>
        <w:ind w:left="10" w:firstLine="648"/>
        <w:spacing w:after="0" w:line="291" w:lineRule="auto"/>
        <w:rPr>
          <w:sz w:val="20"/>
          <w:szCs w:val="20"/>
          <w:color w:val="auto"/>
        </w:rPr>
      </w:pPr>
      <w:r>
        <w:rPr>
          <w:rFonts w:ascii="Arial" w:cs="Arial" w:eastAsia="Arial" w:hAnsi="Arial"/>
          <w:sz w:val="16"/>
          <w:szCs w:val="16"/>
          <w:color w:val="auto"/>
        </w:rPr>
        <w:t>The following graph compares the cumulative total stockholder return on our common stock for the period from December 31, 2015 through December 31, 2020, with the cumulative total return over such period on (i) the U.S. Index of The Nasdaq Stock Market and</w:t>
      </w:r>
    </w:p>
    <w:p>
      <w:pPr>
        <w:jc w:val="both"/>
        <w:ind w:left="10" w:hanging="10"/>
        <w:spacing w:after="0" w:line="255" w:lineRule="auto"/>
        <w:tabs>
          <w:tab w:leader="none" w:pos="27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Biotechnology Index of The Nasdaq Stock Market. The graph assumes an investment of $100 on December 31, 2015, in our common stock (at the adjusted closing market price) and in each of the indices listed above, and assumes the reinvestment of all dividends. Measurement points are December 31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129540</wp:posOffset>
            </wp:positionV>
            <wp:extent cx="5743575" cy="21602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43575" cy="216027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2769870</wp:posOffset>
            </wp:positionV>
            <wp:extent cx="16287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30" w:right="100" w:hanging="4382"/>
        <w:spacing w:after="0" w:line="778" w:lineRule="auto"/>
        <w:tabs>
          <w:tab w:leader="none" w:pos="969"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$100 invested on December 31, 2015 in stock or index, including reinvestment of dividends. Fiscal Years ending December 31.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48260</wp:posOffset>
            </wp:positionV>
            <wp:extent cx="6497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517" w:right="839" w:bottom="1440" w:gutter="0" w:footer="0" w:header="0"/>
        </w:sectPr>
      </w:pPr>
    </w:p>
    <w:bookmarkStart w:id="79" w:name="page80"/>
    <w:bookmarkEnd w:id="7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The following Statement of Operations Data for the years ended December 31, 2020, 2019, 2018, 2017 and 2016, and Balance Sheet Data as of December 31, 2020, 2019, 2018, 2017 and 2016, as set forth below are derived from our audited consolidated financial statements. Audited financial statements prior to 2018 are not contained herein. This financial data should be read in conjunction with “Item 7. Management’s Discussion and Analysis of Financial Condition and Results of Operations” and “Item 8. Financial Statements and Supplementary Data.”</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 except per share information)</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11"/>
          </w:tcPr>
          <w:p>
            <w:pPr>
              <w:jc w:val="right"/>
              <w:ind w:right="720"/>
              <w:spacing w:after="0" w:line="155" w:lineRule="exact"/>
              <w:rPr>
                <w:sz w:val="20"/>
                <w:szCs w:val="20"/>
                <w:color w:val="auto"/>
              </w:rPr>
            </w:pPr>
            <w:r>
              <w:rPr>
                <w:rFonts w:ascii="Arial" w:cs="Arial" w:eastAsia="Arial" w:hAnsi="Arial"/>
                <w:sz w:val="14"/>
                <w:szCs w:val="14"/>
                <w:b w:val="1"/>
                <w:bCs w:val="1"/>
                <w:color w:val="auto"/>
              </w:rPr>
              <w:t>Years ended December 31,</w:t>
            </w: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Noncash stock expense associated with in-licensing agreements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research and development</w:t>
            </w: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151,934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149,793</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96,886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research and development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165,896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154,180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159,391</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102,533</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69,232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general and administrative</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107,850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15,161</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273,746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174,552</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(273,594)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(169,055)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(174,400)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(118,712)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(279,381)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(172,871)</w:t>
            </w: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 (173,482)</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(118,476)</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(78,253)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(1.96)</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Balance Sheet Information:</w:t>
            </w: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8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Cash, cash equivalents, investment securities and interest receivable</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605,426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140,435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68,901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84,825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shd w:val="clear" w:color="auto" w:fill="CCEEFF"/>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44,969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625,642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163,014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83,616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97,381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(980,597)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(701,216)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(528,345)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(354,863)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(236,387)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519,350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38,615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24,036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66,993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35,868</w:t>
            </w: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00" w:type="dxa"/>
            <w:vAlign w:val="bottom"/>
            <w:gridSpan w:val="3"/>
          </w:tcPr>
          <w:p>
            <w:pPr>
              <w:jc w:val="right"/>
              <w:ind w:right="9"/>
              <w:spacing w:after="0"/>
              <w:rPr>
                <w:sz w:val="20"/>
                <w:szCs w:val="20"/>
                <w:color w:val="auto"/>
              </w:rPr>
            </w:pPr>
            <w:r>
              <w:rPr>
                <w:rFonts w:ascii="Arial" w:cs="Arial" w:eastAsia="Arial" w:hAnsi="Arial"/>
                <w:sz w:val="18"/>
                <w:szCs w:val="18"/>
                <w:color w:val="auto"/>
              </w:rPr>
              <w:t>79</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17" w:right="8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should read the following discussion and analysis in conjunction with “Item 8. Financial Statements and Supplementary Data,” and our consolidated financial statements beginning on page F-1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TG Therapeutics is a fully-integrated, commercial stage biopharmaceutical company focused on the acquisition, development and commercialization of novel treatments for B-cell malignancies and autoimmune diseases. In addition to an active research pipeline including five investigational medicines across these therapeutic areas, we have received accelerated approval from the U.S. Food and Drug Administration (FDA) for UKONIQ (umbralisib), for the treatment of adult patients with relapsed or refractory marginal zone lymphoma who have received at least one prior anti-CD20-based regimen and relapsed or refractory follicular lymphoma who have received at least three prior lines of systemic therapies. Currently, we have two programs in Phase 3 development for the treatment of patients with relapsing forms of multiple sclerosis (RMS) and patients with chronic lymphocytic leukemia (CLL) and several investigational medicines in Phase 1 clinical development. We also actively evaluate complementary products, technologies and companies for in-licensing, partnership, acquisition and/or investment opportunities.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 Research and development expenses for the years ended December 31, 2020, 2019 and 2018 were approximately $151.9 million, $148.4 million and $153.8 million, respectively, excluding noncash compensation expenses related to research and development.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research and development expenses per project, exclusive of noncash compensation expenses, for the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r>
      <w:tr>
        <w:trPr>
          <w:trHeight w:val="209"/>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Ublituximab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105,429</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Umbralisib</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66,495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46,074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42,852</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Early Clinical Pipeline &amp; Pre-Clinical</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w:t>
            </w:r>
          </w:p>
        </w:tc>
      </w:tr>
      <w:tr>
        <w:trPr>
          <w:trHeight w:val="210"/>
        </w:trPr>
        <w:tc>
          <w:tcPr>
            <w:tcW w:w="708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151,934</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148,369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153,793</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general and administrative expenses consist primarily of expenses related to the US launch of UKONIQ, including salaries and related expenses for our commercialization team and commercial development activities. Other general and administrative expenses consist of executive, finance and other administrative personnel, recruitment expenses, professional fees and other corporate expenses, including investor relations, legal activities and facilities-related expenses.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results of operations include noncash compensation expenses as a result of the grants of restricted stock and stock options. Compensation expense for awards of restricted stock and stock options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recognize all share-based payments to employees and non-employee directors (as compensation for service) as noncash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addition, some of the restricted stock and stock options issued to employees, consultants and other third parties vest upon achievement of certain milestones, and accordingly, the total expense is uncertain. Compensation expense for such awards is recognized when the achievement of such milestones becomes probable.</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clinical trials will be lengthy and expensive. In addition, we expect losses to continue as we fund in-licensing and development of new drug candidates. As we further our development efforts, we may enter into additional third-party collaborative agreements and incur additional expenses, such as licensing fees and milestone payments. In addition, we will need to maintain and expand our commercial infrastructure for the manufacturing, marketing and selling of UKONIQ and our drug candidates following approval, if any, by the FDA or a foreign health authority, which would result in incurring significant additional expenses. As a result, our annual results may fluctuate and a year-by-year comparison of our operating results may not be a meaningful indication of our future performance.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Noncash stock expense associated with in-licensing agreements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Noncash compensation</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151,934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148,269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research and development</w:t>
            </w: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165,896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154,180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general and administrative</w:t>
            </w: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107,850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273,746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(273,594)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(169,055)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(279,381)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(172,871)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Years Ended December 31, 2020 and 2019</w:t>
            </w: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License Revenue. </w:t>
      </w:r>
      <w:r>
        <w:rPr>
          <w:rFonts w:ascii="Arial" w:cs="Arial" w:eastAsia="Arial" w:hAnsi="Arial"/>
          <w:sz w:val="17"/>
          <w:szCs w:val="17"/>
          <w:color w:val="auto"/>
        </w:rPr>
        <w:t>License revenue was approximately $152,000 for each of the years ended December 31, 2020 and 2019.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is related to the amortization of an upfront payment of $2.0 million associated with our license agreement with Ildong. The upfront payment from Ildong will be recognized as license revenue on a straight-line basis through December 2025, which represents the estimated period over which we will have certain ongoing responsibilities under the sublicense agreement.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Noncash Stock Expense Associated with In-Licensing Agreement (Research and Development). </w:t>
      </w:r>
      <w:r>
        <w:rPr>
          <w:rFonts w:ascii="Arial" w:cs="Arial" w:eastAsia="Arial" w:hAnsi="Arial"/>
          <w:sz w:val="18"/>
          <w:szCs w:val="18"/>
          <w:color w:val="auto"/>
        </w:rPr>
        <w:t>Noncash stock expense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in-licensing agreement (research and development) amounted to zero for the year ended December 31, 2020, as compared to $0.1 million during the comparable period in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equity incentive grants totaled $14.0 million for the year ended December 31, 2020, as compared to $5.8 million during the comparable period in 2019. The increase in noncash compensation expense was primarily due to an increase in research and development personnel and a higher stock price during the year ended December 31, 2020.</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Other Research and Development Expenses</w:t>
      </w:r>
      <w:r>
        <w:rPr>
          <w:rFonts w:ascii="Arial" w:cs="Arial" w:eastAsia="Arial" w:hAnsi="Arial"/>
          <w:sz w:val="17"/>
          <w:szCs w:val="17"/>
          <w:color w:val="auto"/>
        </w:rPr>
        <w:t>. Other research and development expenses increased by $3.6 million from $148.3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year ended December 31, 2019 to $151.9 million for the year ended December 31, 2020. The increase in R&amp;D expense is primarily attributable to the achievement of various milestones, offset by a decrease in manufacturing expense during the year ended December 31, 2020. We expect our other research and development costs to remain at consistent levels throughout 2021.</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Noncash Compensation Expense (General and Administrative). </w:t>
      </w:r>
      <w:r>
        <w:rPr>
          <w:rFonts w:ascii="Arial" w:cs="Arial" w:eastAsia="Arial" w:hAnsi="Arial"/>
          <w:sz w:val="17"/>
          <w:szCs w:val="17"/>
          <w:color w:val="auto"/>
        </w:rPr>
        <w:t>Noncash compensation expense (general and administrative)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to equity incentive grants increased by $60.8 million from $5.5 million for the year ended December 31, 2019 to $66.3 million during the year ended December 31, 2020. The increase in noncash compensation expense was primarily related to more milestone-based vesting of restricted stock granted to executive personnel during the year ended December 31, 2020.</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$32.0 million from $9.5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2019 to $41.5 million for the year ended December 31, 2020. The increase was due primarily to commercial costs, including personnel, incurred in preparation for the launch of UKONIQ. We expect our other general and administrative expenses to increase modestly during 2021.</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$1.0 million to $6.3 million for the year ended December 31, 2020,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$5.3 million for year ended December 31, 2019. The increase is mainly due to interest expense related to administrative fees in connection with contract manufacturing costs during the year ended December 31, 2020.</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decreased by $1.0 million to $0.5 million for the year ended December 31, 2020, as compared to $1.5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year ended December 31, 2019. The decrease in other income is mainly due to a decrease in interest income during the year ended December 31, 2020. We expect our other income to remain at a comparable level during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License Revenue. </w:t>
      </w:r>
      <w:r>
        <w:rPr>
          <w:rFonts w:ascii="Arial" w:cs="Arial" w:eastAsia="Arial" w:hAnsi="Arial"/>
          <w:sz w:val="17"/>
          <w:szCs w:val="17"/>
          <w:color w:val="auto"/>
        </w:rPr>
        <w:t>License revenue was approximately $152,000 for each of the years ended December 31, 2019 and 2018.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is related to the amortization of an upfront payment of $2.0 million associated with our license agreement with Ildong. The upfront payment from Ildong will be recognized as license revenue on a straight-line basis through December 2025, which represents the estimated period over which we will have certain ongoing responsibilities under the sublicense agreement.</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Noncash Stock Expense Associated with In-Licensing Agreement (Research and Development). </w:t>
      </w:r>
      <w:r>
        <w:rPr>
          <w:rFonts w:ascii="Arial" w:cs="Arial" w:eastAsia="Arial" w:hAnsi="Arial"/>
          <w:sz w:val="18"/>
          <w:szCs w:val="18"/>
          <w:color w:val="auto"/>
        </w:rPr>
        <w:t>Noncash stock expense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in-licensing agreement (research and development) amounted to $0.1 million for the year ended December 31, 2019, as compared to $4.0 million during the comparable period in 2018. The expense during the year ended December 31, 2018 was recorded in conjunction with the 333,868 total shares of common stock issued to Novimmune and Jiangsu Hengrui as upfront payments for the licenses to the CD47/CD19 and BTK programs.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equity incentive grants remained consistent between the two periods totaling $5.8 million for the year ended December 31, 2019, as compared to $5.6 million during the comparable period in 2018.</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Other Research and Development Expenses. </w:t>
      </w:r>
      <w:r>
        <w:rPr>
          <w:rFonts w:ascii="Arial" w:cs="Arial" w:eastAsia="Arial" w:hAnsi="Arial"/>
          <w:sz w:val="16"/>
          <w:szCs w:val="16"/>
          <w:color w:val="auto"/>
        </w:rPr>
        <w:t>Other research and development expenses decreased by $1.5 million from $149.8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2018 to $148.3 million for the year ended December 31, 2019. The decrease in R&amp;D expense is primarily attributable to the winding down of our late-stage clinical development programs during the year ended December 31, 2019.</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equity incentive grants decreased by $1.8 million from $7.3 million for the year ended December 31, 2018 to $5.5 million during the year ended December 31, 2019. The decrease in noncash compensation expense was primarily related to more vesting of restricted stock granted to executive personnel during the year ended December 31, 2018.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increased by $1.6 million from $7.9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2018 to $9.5 million for the year ended December 31, 2019. The increase was due primarily to increased personnel and other general and administrative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by $4.4 million to $5.3 million for the year ended December 31, 2019,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$0.9 million for year ended December 31, 2018. The increase is mainly due to the interest expense related to the Hercules financing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decreased by $0.3 million to $1.5 million for the year ended December 31, 2019, as compared to $1.8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2018. The decrease in other income is mainly due to a greater change in the fair value of notes payable during the year ended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major sources of cash have been proceeds from the private placement and public offering of equity securities, and in 2019 from our loan and security agreement executed with Hercules Capital, Inc. (“Hercules”) (see Note 7 for more information). As of December 31, 2020 we had not yet generated revenue from drug sales of UKONIQ. UKONIQ first became commercially available in the United States in February of 2021. Even with the commercialization of UKONIQ and the future commercialization of our other drug candidates, we may not become profitable. Our ability to achieve profitability depends on our ability to generate revenue and many other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2020, we had $605.4 million in cash and cash equivalents, and investment securities. We anticipate that our cash and cash equivalents, and investment securities as of December 31, 2020 will provide sufficient liquidity for more than a twelve-month period from the date of filing this Annual Report on Form 10-K.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Cash used in operating activities for the year ended December 31, 2020 was $214.5 million as compared to $132.8 million for the year ended December 31, 2019. The increase in cash used in operating activities was due primarily to increased expenditures associated with our clinical development programs for ublituximab and umbralisib.</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2020, net cash used in investing activities was $24.5 million as compared to cash used in investing activities of $0.7 million for the year ended December 31, 2019. The increase in net cash used in investing activities was primarily due to greater investment in short-term securities during the year ended December 31, 2020.</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For the year ended December 31, 2020, net cash provided by financing activities of $679.8 million related to the net proceeds from the issuance of common stock as part of our ATM program and public offerings in May 2020 and December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Program</w:t>
      </w:r>
    </w:p>
    <w:p>
      <w:pPr>
        <w:spacing w:after="0" w:line="21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(the "2015 ATM") with MLV &amp; Co. LLC (“MLV”) such that we were able to issue and sell additional shares of our common stock, having an aggregate offering price of up to $175.0 million, from time to time through MLV and FBR Capital Markets &amp; Co. ("FBR", each of MLV and FBR individually an "Agent" and collectively the "Agents"), acting as the sales agents. Under the 2015 ATM, we paid the Agents a commission rate of up to 3.0% of the gross proceeds from the sale of any shares of common stock sold through the Agents.</w:t>
      </w:r>
    </w:p>
    <w:p>
      <w:pPr>
        <w:spacing w:after="0" w:line="18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During the year ended December 31, 2017, we sold a total of 3,104,253 shares of common stock under the 2015 ATM for aggregate total gross proceeds of approximately $31.6 million at an average selling price of $10.18 per share, resulting in net proceeds of approximately $31.0 million after deducting commissions and other transaction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In May 2017, we filed a shelf registration statement on Form S-3 (the "2017 S-3"), which was declared effective in June 2017. Under the 2017 S-3, we may sell up to a total of $300 million of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 "2017 Agent" and collectively, the "2017 Agents"), relating to the sale of shares of our common stock. Under the 2017 ATM we paid the 2017 Agents a commission rate of up to 3.0% of the gross proceeds from the sale of any shares of common stock.</w:t>
      </w:r>
    </w:p>
    <w:p>
      <w:pPr>
        <w:spacing w:after="0" w:line="177"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During the year ended December 31, 2019, we sold a total of 13,620,165 shares of common stock under the 2017 ATM for aggregate total gross proceeds of approximately $99.3 million at an average selling price of $7.29 per share, resulting in net proceeds of approximately $97.5 million after deducting commissions and other transactions costs.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Securities, Inc. (each a “2020 Agent” and collectively, the “2020 Agents”), relating to the sale of shares of our common stock. Under the 2020 ATM, we paid the 2020 Agents a commission rate of up to 3.0% of the gross proceeds from the sale of any shares of common stock. In November 2020, we entered into an At-the-Market Issuance Sales Agreement (the “2021 ATM”) with the same terms and agents (each a “2021 Agent” and collectively, the “2021 Agents”) as the 2020 ATM.</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we sold a total of 8,528,286 shares of common stock under the 2020 ATM for aggregate total gross proceeds of approximately $187.5 million at an average selling price of $21.99 per share, resulting in net proceeds of approximately $184.2 million after deducting commissions and other transactions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we sold a total of 804,100 shares of common stock under the 2021 ATM for aggregate total gross proceeds of approximately $33.9 million at an average selling price of $42.18 per share, resulting in net proceeds of approximately $33.3 million after deducting commissions and other transactions costs.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2019 WKSI Shelf is currently our only active shelf-registration statement. We may offer any combination of the securities registered under the 2019 WKSI Shelf from time to time in response to market conditions or other circumstances if we believe such a plan of financing is in the best interests of our stockholders. We believe that the 2019 WKSI Shelf provides us with the flexibility to raise additional capital to finance our operations as needed.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Financings</w:t>
      </w:r>
    </w:p>
    <w:p>
      <w:pPr>
        <w:spacing w:after="0" w:line="21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On March 1, 2019, we completed a public offering of 4,100,000 shares of our common stock (plus a 30-day underwriter overallotment option to purchase up to an additional 615,000 shares of common stock, which was exercised) at a price of $5.87 per share. Proceeds from this offering, including the overallotment, after underwriting discounts and offering expenses were approximately $27.5 million.</w:t>
      </w:r>
    </w:p>
    <w:p>
      <w:pPr>
        <w:spacing w:after="0" w:line="175"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7"/>
          <w:szCs w:val="17"/>
          <w:color w:val="auto"/>
        </w:rPr>
        <w:t>On December 22, 2019, we completed a securities purchase agreement with an institutional investor in which we agreed to sell 5,434,783 shares of our common stock at a price of $9.20 per share. Net proceeds from this offering were approximately $50.0 million.</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2020, we completed an underwritten public offering of 8,500,000 shares of our common stock (plus an underwriter option to purchase up to an additional 1,275,000 shares of common stock, which was exercised) at a price of $18 per share. Net proceeds from this offering, including the overallotment, were approximately $165.1 million, net of underwriting discounts and offering expenses of approximately $10.8 million.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17, 2020, we completed a public offering of 6,320,000 shares of our common stock (plus a 30-day underwriter overallotment option to purchase up to an additional 948,000 shares of common stock, which was exercised) at a price of $43.50 per share. Net proceeds from this offering, including the overallotment, were approximately $297.2 million after underwriting discounts and offering expenses of approximately $19.0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Financings</w:t>
      </w:r>
    </w:p>
    <w:p>
      <w:pPr>
        <w:spacing w:after="0" w:line="21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February 28, 2019 (the “Closing Date”), we entered into a term loan facility of up to $60.0 million (“Term Loan”) with Hercules Capital, Inc. (“Hercules”), the proceeds of which will be used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Two additional advances of $10.0 million may be drawn at our option but subject to certain clinical trial milestones, and the fourth advance of $10.0 million, available in minimum increments of $5.0 million, was available through December 15, 2020 subject to the approval of Hercules’ investment committee.</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The Term Loan will mature on March 1, 2022 (the “Loan Maturity Date”). Each advance accrues interest at a per annum rate of interest equal to the greater of either (i) the “prime rate”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plus 4.75%, or (ii) 10.25%. The Term Loan provides for interest-only payments until October 1, 2020. The interest-only period may be extended to April 1, 2021 if on or before September 30, 2020, we achieve either the third milestone or we have raised at least $150.0 million in unrestricted net cash proceeds from one or more equity financings, subordinated indebtedness and/or upfront proceeds from business development transactions permitted under the Loan Agreement, in each case after February 7, 2019, and prior to September 30, 2020 (“Milestone IV”). Thereafter, amortization payments will be payable monthly in eighteen installments (or, if the period requiring interest-only payments has been extended to April 1, 2021, in twelve installments) of principal and interest (subject to recalculation upon a change in prime rates). As a result of the Company having raised in excess of $150 million before the required timeline in the Loan Agreement, the interest-only period has been extended to April 1, 2021. At our option upon seven business days’ prior written notice to Hercules, we may prepay all or any portion greater than or equal to $5.0 million of the outstanding advances by paying the entire principal balance (or portion thereof), all accrued and unpaid interest, subject to a prepayment charge of 3.0%, if such advance is prepaid in any of the first twelve months following the Closing Date; 1.5%, if such advance is prepaid after twelve months following the Closing Date but on or prior to twenty-four months following the Closing Date; and 0% thereafter. In addition, a final payment equal to 3.5% of the aggregate principal amount of the loan extended by Hercules is due on the maturity date. Amounts outstanding during an event of default shall be payable on demand and accrue interest at an additional rate of 4.0% per annum of the past due amount outstanding.</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Term Loan is secured by a lien on substantially all of our assets, other than intellectual property, and contains customary covenants and representations, including a liquidity covenant, financial reporting covenant and limitations on dividends, indebtedness, collateral, investments, distributions, transfers, mergers or acquisitions, taxes, corporate changes, deposit accounts, and subsidiaries.</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events of default under the Loan Agreement include, without limitation, and subject to customary grace periods, (1) our failure to make any payments of principal or interest under the Loan Agreement, promissory notes or other loan documents, (2) our breach or default in the performance of any covenant under the Loan Agreement, (3) the occurrence of a material adverse effect, (4) a false or misleading representation or warranty in any material respect, (5) our insolvency or bankruptcy, (6) certain attachments or judgments on the Borrower’s assets, or (7) the occurrence of any material default under certain agreements or obligations involving indebtedness in excess of $750,000. If an event of default occurs, Hercules is entitled to take enforcement action, including acceleration of amounts due under the Loan Agreement.</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Loan Agreement also contains warrant coverage of 2% of the total amount funded. A warrant (the “Hercules Warrant”) was issued to Hercules to purchase 147,058 shares of common stock with an exercise price of $4.08. The Hercules Warrant is exercisable for seven years from the date of issuance. Hercules may exercise the Hercules Warrant either by (a) cash or check or (b) through a net issuance conversion. The shares will be registered and freely tradeable within six months of issuance. We accounted for the Hercules Warrant as an equity instrument since it was indexed to our common shares and met the criteria for classification in shareholders’ equity. The relative fair value of the Hercules Warrant on the date of issuance was approximately $1.0 million and was recorded as debt issuance costs and as an offset to the Term Loan. This amount will be amortized to interest expense using the straight-line method, which approximates the effective interest method, over the life of the Term Loan.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Manufacturer</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2018, we entered into an agreement with a contract manufacturer for the clinical and potential commercial supply of one of our product candidates. As part of this agreement, the contract manufacturer has agreed to defer payment of certain costs and expenses under the agreement in exchange for the payment of an administrative fee. To date we have incurred expenses related to this agreement of approximately $53.7 million as of December 31, 2020, which include service fees, raw material costs and administrative fees. We have made payments of $37.4 million to the contract manufacturer as of December 31, 2020. Accordingly, as of December 31, 2020, $15.7 million is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included in current liabilities in the Company’s consolidated balance sheet, of which $4.2 million is due in the first quarter of 2021. We will incur an administrative fee of six percent (6%) per year starting from the date of invoice issuance. For the years ended December 31, 2020, 2019 and 2018, we have accrued $1.2 million, $1.2 million and zero, respectively, in administrative fees in connection with these costs, which has been included in interest expense in the Company’s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$1.4 million under the Office Agreement. We began to occupy this new space in April 2016, with rental payments beginning in the third quarter of 2016. At January 1, 2020, we recognized a lease liability and corresponding right of use (“ROU”) asset based on the present value of the remaining lease payments for all of our leased office spaces, the majority of which is comprised of our New York City office space. The present values of our lease liability and corresponding ROU asset are $12.1 million and $9.3 million, respectively, as of December 31, 2020. Our leases have remaining lease terms of 4 months to 11 years. One lease has a renewal option to extend the lease for an additional term of two years.</w:t>
      </w:r>
    </w:p>
    <w:p>
      <w:pPr>
        <w:spacing w:after="0" w:line="19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Office Agreement, we agreed to pay FBIO our portion of the build-out costs, which have been allocated to us at the 45% rate mentioned above. The allocated build-out costs have been recorded in Leasehold Interest, net on the Company’s consolidated balance sheets and will be amortized over the 15-year term of the Office Agreement. 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December 31, 2020, the allocation rate is 65% and will be evaluated again in August 2021 for the following rent year.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rental expense was approximately $2.7 million, $2.7 million and $1.4 million for the years ended December 31, 2020, 2019 and 2018,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Future minimum lease commitments as of December 31, 2020 total, in the aggregate, approximately $19.5 million through December 31, 2031. Our future minimum lease commitments include our office leases in New York, New Jersey, North Carolina and Tennessee as of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Stock Compensation</w:t>
      </w:r>
      <w:r>
        <w:rPr>
          <w:rFonts w:ascii="Arial" w:cs="Arial" w:eastAsia="Arial" w:hAnsi="Arial"/>
          <w:sz w:val="16"/>
          <w:szCs w:val="16"/>
          <w:color w:val="auto"/>
        </w:rPr>
        <w:t>. We have granted stock options and restricted stock to employees, directors and consultants, as well as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to other third parties. For employee, director and consultant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because some of the options, restricted stock and warrants issued to employees, consultants and other third parties vest upon the achievement of certain milestones, the total expense is uncertain. Compensation expense for such awards that vest upon the achievement of milestones is recognized when the achievement of such milestone becomes probable.</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Accrued Research and Development Expenses. </w:t>
      </w:r>
      <w:r>
        <w:rPr>
          <w:rFonts w:ascii="Arial" w:cs="Arial" w:eastAsia="Arial" w:hAnsi="Arial"/>
          <w:sz w:val="16"/>
          <w:szCs w:val="16"/>
          <w:color w:val="auto"/>
        </w:rPr>
        <w:t>As part of the process of preparing our financial statements, we are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our accrued expenses. This process involves reviewing open contracts,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w:t>
      </w:r>
    </w:p>
    <w:p>
      <w:pPr>
        <w:spacing w:after="0" w:line="166" w:lineRule="exact"/>
        <w:rPr>
          <w:sz w:val="20"/>
          <w:szCs w:val="20"/>
          <w:color w:val="auto"/>
        </w:rPr>
      </w:pPr>
    </w:p>
    <w:p>
      <w:pPr>
        <w:ind w:left="980" w:hanging="315"/>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fees paid to contract research organizations (CROs) in connection with clinical studies;</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fees paid to contract manufacturing organizations (CMOs);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fees paid to trial sites in connection with clinical studies;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fees paid to vendors associated with licenses/milestones.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CROs that conduct and manage clinical studies on our behalf. The financial terms of these agreements are subject to an initial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certain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1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In July 2018, the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ASC 840, Leases (“ASC 840”).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ASU 2018-11 is effective for public business entities for fiscal years beginning after December 15, 2018, and interim periods within those fiscal years, with earlier adoption permitted. The Company adopted ASU 2018-11 on January 1, 2019 using a modified retrospective method and will not restate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ROU assets and lease liabilities to our consolidated balance sheets at January 1, 2019, primarily relating to our lease of office space (see Note 8). The impact to our consolidated statements of operations was not material as a result of this standard.</w:t>
      </w:r>
    </w:p>
    <w:p>
      <w:pPr>
        <w:spacing w:after="0" w:line="195"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7"/>
          <w:szCs w:val="17"/>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ASU 2018-07 is effective for public business entities for fiscal years beginning after December 15, 2018, including interim periods within that fiscal year. Early adoption is permitted, but no earlier than an entity’s adoption date of Topic 606.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currently invest in government and investment-grade corporate debt in accordance with our investment policy, which we may change from time to time.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December 31, 2020, our portfolio of financial instruments consists of cash equivalents and short-term interest-bearing securities, including government debt and money market funds. The average duration of all of our held-to-maturity investments held as of December 31, 2020, was less than 12 months. Due to the relatively short-term nature of these financial instruments, we believe there is no material exposure to interest rate risk, and/or credit risk, arising from our portfolio of financial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consolidated financial statements and the notes thereto, included in Part IV, Item 15(a), part 1, are incorporated by reference into this Item 8.</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of December 31, 2020, management carried out an evaluation,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supervision and with the participation of our Chief Executive Officer and our Chief Financial Officer, of the effectiveness of the design and operation of our disclosure controls and procedures (as defined in Rules 13a-15(e) and 15d-15(e) of the Securities Exchange Act of 1934, as amended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and Chief Financial Officers concluded that, as of December 31, 2020, our disclosure controls and procedures were effective.</w:t>
      </w:r>
    </w:p>
    <w:p>
      <w:pPr>
        <w:spacing w:after="0" w:line="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Management’s Annual Report on Internal Control over Financial Reporting. </w:t>
      </w:r>
      <w:r>
        <w:rPr>
          <w:rFonts w:ascii="Arial" w:cs="Arial" w:eastAsia="Arial" w:hAnsi="Arial"/>
          <w:sz w:val="17"/>
          <w:szCs w:val="17"/>
          <w:color w:val="auto"/>
        </w:rPr>
        <w:t>Our management is responsible for establishing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maintaining adequate internal control over financial reporting (as defined in Rule 13a-15(f) or Rule 15d-15(f) under the Exchange Act). Our management assessed the effectiveness of our internal control over financial reporting as of December 31, 2020. In making this assessment, our management used the criteria established in Internal Control – Integrated Framework (2013) issued by the Committee of Sponsoring Organizations of the Treadway Commission, or COSO Framework. Our management has concluded that, as of December 31, 2020, our internal control over financial reporting was effective based on these criteria.</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December 31, 2020 was audited by CohnReznick LLP, our independent registered public accounting firm, as stated in their report appearing below, which expressed an unqualified opinion on the effectiveness of our internal control over financial reporting as of December 31, 2020.</w:t>
      </w:r>
    </w:p>
    <w:p>
      <w:pPr>
        <w:spacing w:after="0" w:line="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quarter ended December 31, 2020 that have materially affected, or are reasonably likely to materially affect, our internal control over financial reporting.</w:t>
      </w:r>
    </w:p>
    <w:p>
      <w:pPr>
        <w:spacing w:after="0" w:line="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Our management, including our Chief Executive Officer and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audited TG Therapeutics, Inc. and subsidiaries (the “Company’s”) internal control over financial reporting as of December 31, 2020,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December 31, 2020, based on criteria established in Internal Control—Integrated Framework (2013) issued by COSO.</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and the related consolidated statements of operations, stockholders’ equity and cash flows of the Company as of December 31, 2020 and 2019 and for each of the three years in the period ended December 31, 2020 and our report dated March 1, 2021,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2021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2021 Annual Meeting of Stockholders.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2021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2021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gridSpan w:val="2"/>
          </w:tcPr>
          <w:p>
            <w:pPr>
              <w:ind w:left="640"/>
              <w:spacing w:after="0"/>
              <w:rPr>
                <w:sz w:val="20"/>
                <w:szCs w:val="20"/>
                <w:color w:val="auto"/>
              </w:rPr>
            </w:pPr>
            <w:r>
              <w:rPr>
                <w:rFonts w:ascii="Arial" w:cs="Arial" w:eastAsia="Arial" w:hAnsi="Arial"/>
                <w:sz w:val="18"/>
                <w:szCs w:val="18"/>
                <w:b w:val="1"/>
                <w:bCs w:val="1"/>
                <w:color w:val="auto"/>
              </w:rPr>
              <w:t>1.</w:t>
            </w:r>
          </w:p>
        </w:tc>
        <w:tc>
          <w:tcPr>
            <w:tcW w:w="8300" w:type="dxa"/>
            <w:vAlign w:val="bottom"/>
            <w:gridSpan w:val="2"/>
          </w:tcPr>
          <w:p>
            <w:pPr>
              <w:ind w:left="140"/>
              <w:spacing w:after="0"/>
              <w:rPr>
                <w:sz w:val="20"/>
                <w:szCs w:val="20"/>
                <w:color w:val="auto"/>
              </w:rPr>
            </w:pPr>
            <w:r>
              <w:rPr>
                <w:rFonts w:ascii="Arial" w:cs="Arial" w:eastAsia="Arial" w:hAnsi="Arial"/>
                <w:sz w:val="18"/>
                <w:szCs w:val="18"/>
                <w:b w:val="1"/>
                <w:bCs w:val="1"/>
                <w:color w:val="auto"/>
              </w:rPr>
              <w:t>Consolidated Financial Statements</w:t>
            </w:r>
          </w:p>
        </w:tc>
        <w:tc>
          <w:tcPr>
            <w:tcW w:w="1020" w:type="dxa"/>
            <w:vAlign w:val="bottom"/>
          </w:tcPr>
          <w:p>
            <w:pPr>
              <w:spacing w:after="0"/>
              <w:rPr>
                <w:sz w:val="20"/>
                <w:szCs w:val="20"/>
                <w:color w:val="auto"/>
              </w:rPr>
            </w:pPr>
          </w:p>
        </w:tc>
      </w:tr>
      <w:tr>
        <w:trPr>
          <w:trHeight w:val="432"/>
        </w:trPr>
        <w:tc>
          <w:tcPr>
            <w:tcW w:w="9200" w:type="dxa"/>
            <w:vAlign w:val="bottom"/>
            <w:gridSpan w:val="4"/>
          </w:tcPr>
          <w:p>
            <w:pPr>
              <w:spacing w:after="0"/>
              <w:rPr>
                <w:sz w:val="20"/>
                <w:szCs w:val="20"/>
                <w:color w:val="auto"/>
              </w:rPr>
            </w:pPr>
            <w:r>
              <w:rPr>
                <w:rFonts w:ascii="Arial" w:cs="Arial" w:eastAsia="Arial" w:hAnsi="Arial"/>
                <w:sz w:val="18"/>
                <w:szCs w:val="18"/>
                <w:color w:val="auto"/>
              </w:rPr>
              <w:t>The following consolidated financial statements of TG Therapeutics, Inc. are filed as part of this report.</w:t>
            </w:r>
          </w:p>
        </w:tc>
        <w:tc>
          <w:tcPr>
            <w:tcW w:w="1020" w:type="dxa"/>
            <w:vAlign w:val="bottom"/>
          </w:tcPr>
          <w:p>
            <w:pPr>
              <w:spacing w:after="0"/>
              <w:rPr>
                <w:sz w:val="24"/>
                <w:szCs w:val="24"/>
                <w:color w:val="auto"/>
              </w:rPr>
            </w:pPr>
          </w:p>
        </w:tc>
      </w:tr>
      <w:tr>
        <w:trPr>
          <w:trHeight w:val="446"/>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8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24"/>
        </w:trPr>
        <w:tc>
          <w:tcPr>
            <w:tcW w:w="20" w:type="dxa"/>
            <w:vAlign w:val="bottom"/>
          </w:tcPr>
          <w:p>
            <w:pPr>
              <w:spacing w:after="0"/>
              <w:rPr>
                <w:sz w:val="19"/>
                <w:szCs w:val="19"/>
                <w:color w:val="auto"/>
              </w:rPr>
            </w:pPr>
          </w:p>
        </w:tc>
        <w:tc>
          <w:tcPr>
            <w:tcW w:w="8940" w:type="dxa"/>
            <w:vAlign w:val="bottom"/>
            <w:tcBorders>
              <w:top w:val="single" w:sz="8" w:color="auto"/>
            </w:tcBorders>
            <w:gridSpan w:val="2"/>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Report of Independent Registered Public Accounting Firm</w:t>
              </w:r>
            </w:hyperlink>
          </w:p>
        </w:tc>
        <w:tc>
          <w:tcPr>
            <w:tcW w:w="24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F-1</w:t>
            </w:r>
          </w:p>
        </w:tc>
      </w:tr>
      <w:tr>
        <w:trPr>
          <w:trHeight w:val="418"/>
        </w:trPr>
        <w:tc>
          <w:tcPr>
            <w:tcW w:w="9200" w:type="dxa"/>
            <w:vAlign w:val="bottom"/>
            <w:gridSpan w:val="4"/>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Consolidated Balance Sheets as of December 31, 2020 and 2019</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F-2</w:t>
            </w:r>
          </w:p>
        </w:tc>
      </w:tr>
      <w:tr>
        <w:trPr>
          <w:trHeight w:val="432"/>
        </w:trPr>
        <w:tc>
          <w:tcPr>
            <w:tcW w:w="9200" w:type="dxa"/>
            <w:vAlign w:val="bottom"/>
            <w:gridSpan w:val="4"/>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Consolidated Statements of Operations for the years ended December 31, 2020, 2019 and 2018</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F-3</w:t>
            </w:r>
          </w:p>
        </w:tc>
      </w:tr>
      <w:tr>
        <w:trPr>
          <w:trHeight w:val="432"/>
        </w:trPr>
        <w:tc>
          <w:tcPr>
            <w:tcW w:w="9200" w:type="dxa"/>
            <w:vAlign w:val="bottom"/>
            <w:gridSpan w:val="4"/>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Consolidated Statements of Stockholders’ Equity for the years ended December 31, 2020, 2019 and 2018</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F-4</w:t>
            </w:r>
          </w:p>
        </w:tc>
      </w:tr>
      <w:tr>
        <w:trPr>
          <w:trHeight w:val="432"/>
        </w:trPr>
        <w:tc>
          <w:tcPr>
            <w:tcW w:w="9200" w:type="dxa"/>
            <w:vAlign w:val="bottom"/>
            <w:gridSpan w:val="4"/>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Consolidated Statements of Cash Flows for the years ended December 31, 2020, 2019 and 2018</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F-5</w:t>
            </w:r>
          </w:p>
        </w:tc>
      </w:tr>
      <w:tr>
        <w:trPr>
          <w:trHeight w:val="432"/>
        </w:trPr>
        <w:tc>
          <w:tcPr>
            <w:tcW w:w="9200" w:type="dxa"/>
            <w:vAlign w:val="bottom"/>
            <w:gridSpan w:val="4"/>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Notes to Consolidated Financial Statements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F-6</w:t>
            </w:r>
          </w:p>
        </w:tc>
      </w:tr>
      <w:tr>
        <w:trPr>
          <w:trHeight w:val="432"/>
        </w:trPr>
        <w:tc>
          <w:tcPr>
            <w:tcW w:w="900" w:type="dxa"/>
            <w:vAlign w:val="bottom"/>
            <w:gridSpan w:val="2"/>
          </w:tcPr>
          <w:p>
            <w:pPr>
              <w:ind w:left="640"/>
              <w:spacing w:after="0"/>
              <w:rPr>
                <w:sz w:val="20"/>
                <w:szCs w:val="20"/>
                <w:color w:val="auto"/>
              </w:rPr>
            </w:pPr>
            <w:r>
              <w:rPr>
                <w:rFonts w:ascii="Arial" w:cs="Arial" w:eastAsia="Arial" w:hAnsi="Arial"/>
                <w:sz w:val="18"/>
                <w:szCs w:val="18"/>
                <w:b w:val="1"/>
                <w:bCs w:val="1"/>
                <w:color w:val="auto"/>
              </w:rPr>
              <w:t>2.</w:t>
            </w:r>
          </w:p>
        </w:tc>
        <w:tc>
          <w:tcPr>
            <w:tcW w:w="8300" w:type="dxa"/>
            <w:vAlign w:val="bottom"/>
            <w:gridSpan w:val="2"/>
          </w:tcPr>
          <w:p>
            <w:pPr>
              <w:ind w:left="140"/>
              <w:spacing w:after="0"/>
              <w:rPr>
                <w:sz w:val="20"/>
                <w:szCs w:val="20"/>
                <w:color w:val="auto"/>
              </w:rPr>
            </w:pPr>
            <w:r>
              <w:rPr>
                <w:rFonts w:ascii="Arial" w:cs="Arial" w:eastAsia="Arial" w:hAnsi="Arial"/>
                <w:sz w:val="18"/>
                <w:szCs w:val="18"/>
                <w:b w:val="1"/>
                <w:bCs w:val="1"/>
                <w:color w:val="auto"/>
              </w:rPr>
              <w:t>Consolidated Financial Statement Schedules</w:t>
            </w:r>
          </w:p>
        </w:tc>
        <w:tc>
          <w:tcPr>
            <w:tcW w:w="102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schedules are omitted as the information required is inapplicable or the information is presented in the consolidated financial statements or the related notes.</w:t>
      </w:r>
    </w:p>
    <w:p>
      <w:pPr>
        <w:spacing w:after="0" w:line="166" w:lineRule="exact"/>
        <w:rPr>
          <w:sz w:val="20"/>
          <w:szCs w:val="20"/>
          <w:color w:val="auto"/>
        </w:rPr>
      </w:pPr>
    </w:p>
    <w:p>
      <w:pPr>
        <w:ind w:left="1000" w:hanging="362"/>
        <w:spacing w:after="0"/>
        <w:tabs>
          <w:tab w:leader="none" w:pos="10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942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9420" w:type="dxa"/>
            <w:vAlign w:val="bottom"/>
          </w:tcPr>
          <w:p>
            <w:pPr>
              <w:ind w:left="160"/>
              <w:spacing w:after="0"/>
              <w:rPr>
                <w:sz w:val="20"/>
                <w:szCs w:val="20"/>
                <w:color w:val="auto"/>
              </w:rPr>
            </w:pPr>
            <w:r>
              <w:rPr>
                <w:rFonts w:ascii="Arial" w:cs="Arial" w:eastAsia="Arial" w:hAnsi="Arial"/>
                <w:sz w:val="18"/>
                <w:szCs w:val="18"/>
                <w:b w:val="1"/>
                <w:bCs w:val="1"/>
                <w:color w:val="auto"/>
              </w:rPr>
              <w:t>Exhibit Description</w:t>
            </w:r>
          </w:p>
        </w:tc>
      </w:tr>
      <w:tr>
        <w:trPr>
          <w:trHeight w:val="418"/>
        </w:trPr>
        <w:tc>
          <w:tcPr>
            <w:tcW w:w="780" w:type="dxa"/>
            <w:vAlign w:val="bottom"/>
          </w:tcPr>
          <w:p>
            <w:pPr>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3.1</w:t>
              </w:r>
            </w:hyperlink>
          </w:p>
        </w:tc>
        <w:tc>
          <w:tcPr>
            <w:tcW w:w="9420" w:type="dxa"/>
            <w:vAlign w:val="bottom"/>
          </w:tcPr>
          <w:p>
            <w:pPr>
              <w:ind w:left="160"/>
              <w:spacing w:after="0"/>
              <w:rPr>
                <w:sz w:val="20"/>
                <w:szCs w:val="20"/>
                <w:color w:val="auto"/>
              </w:rPr>
            </w:pPr>
            <w:r>
              <w:rPr>
                <w:rFonts w:ascii="Arial" w:cs="Arial" w:eastAsia="Arial" w:hAnsi="Arial"/>
                <w:sz w:val="18"/>
                <w:szCs w:val="18"/>
                <w:color w:val="auto"/>
                <w:w w:val="91"/>
              </w:rPr>
              <w:t>Amended and Restated Certificate of Incorporation of TG Therapeutics, Inc. dated April 26, 2012 (incorporated by reference to</w:t>
            </w:r>
          </w:p>
        </w:tc>
      </w:tr>
      <w:tr>
        <w:trPr>
          <w:trHeight w:val="230"/>
        </w:trPr>
        <w:tc>
          <w:tcPr>
            <w:tcW w:w="78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Exhibit 3.1 to the Registrant’s Form 10-Q for the quarter ended June 30, 2012).</w:t>
            </w:r>
          </w:p>
        </w:tc>
      </w:tr>
      <w:tr>
        <w:trPr>
          <w:trHeight w:val="418"/>
        </w:trPr>
        <w:tc>
          <w:tcPr>
            <w:tcW w:w="780" w:type="dxa"/>
            <w:vAlign w:val="bottom"/>
          </w:tcPr>
          <w:p>
            <w:pPr>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3.2</w:t>
              </w:r>
            </w:hyperlink>
          </w:p>
        </w:tc>
        <w:tc>
          <w:tcPr>
            <w:tcW w:w="9420" w:type="dxa"/>
            <w:vAlign w:val="bottom"/>
          </w:tcPr>
          <w:p>
            <w:pPr>
              <w:ind w:left="160"/>
              <w:spacing w:after="0"/>
              <w:rPr>
                <w:sz w:val="20"/>
                <w:szCs w:val="20"/>
                <w:color w:val="auto"/>
              </w:rPr>
            </w:pPr>
            <w:r>
              <w:rPr>
                <w:rFonts w:ascii="Arial" w:cs="Arial" w:eastAsia="Arial" w:hAnsi="Arial"/>
                <w:sz w:val="18"/>
                <w:szCs w:val="18"/>
                <w:color w:val="auto"/>
                <w:w w:val="93"/>
              </w:rPr>
              <w:t>Certificate of Amendment to Amended and Restated Certificate of Incorporation of TG Therapeutics, Inc. dated June 9, 2014</w:t>
            </w:r>
          </w:p>
        </w:tc>
      </w:tr>
      <w:tr>
        <w:trPr>
          <w:trHeight w:val="230"/>
        </w:trPr>
        <w:tc>
          <w:tcPr>
            <w:tcW w:w="78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(incorporated by reference to Exhibit 3.2 to the Registrant’s Form 10-Q for the quarter ended June 30, 2014).</w:t>
            </w:r>
          </w:p>
        </w:tc>
      </w:tr>
      <w:tr>
        <w:trPr>
          <w:trHeight w:val="418"/>
        </w:trPr>
        <w:tc>
          <w:tcPr>
            <w:tcW w:w="780" w:type="dxa"/>
            <w:vAlign w:val="bottom"/>
          </w:tcPr>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3.3</w:t>
              </w:r>
            </w:hyperlink>
          </w:p>
        </w:tc>
        <w:tc>
          <w:tcPr>
            <w:tcW w:w="9420" w:type="dxa"/>
            <w:vAlign w:val="bottom"/>
          </w:tcPr>
          <w:p>
            <w:pPr>
              <w:ind w:left="160"/>
              <w:spacing w:after="0"/>
              <w:rPr>
                <w:sz w:val="20"/>
                <w:szCs w:val="20"/>
                <w:color w:val="auto"/>
              </w:rPr>
            </w:pPr>
            <w:r>
              <w:rPr>
                <w:rFonts w:ascii="Arial" w:cs="Arial" w:eastAsia="Arial" w:hAnsi="Arial"/>
                <w:sz w:val="18"/>
                <w:szCs w:val="18"/>
                <w:color w:val="auto"/>
                <w:w w:val="93"/>
              </w:rPr>
              <w:t>Amended and Restated Bylaws of TG Therapeutics, Inc. dated July 18, 2014 (incorporated by reference to Exhibit 3.1 to the</w:t>
            </w:r>
          </w:p>
        </w:tc>
      </w:tr>
      <w:tr>
        <w:trPr>
          <w:trHeight w:val="230"/>
        </w:trPr>
        <w:tc>
          <w:tcPr>
            <w:tcW w:w="78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Registrant’s Current Report on Form 8-K filed on July 21, 2014).</w:t>
            </w:r>
          </w:p>
        </w:tc>
      </w:tr>
      <w:tr>
        <w:trPr>
          <w:trHeight w:val="418"/>
        </w:trPr>
        <w:tc>
          <w:tcPr>
            <w:tcW w:w="780" w:type="dxa"/>
            <w:vAlign w:val="bottom"/>
          </w:tcPr>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4.1</w:t>
              </w:r>
            </w:hyperlink>
          </w:p>
        </w:tc>
        <w:tc>
          <w:tcPr>
            <w:tcW w:w="9420" w:type="dxa"/>
            <w:vAlign w:val="bottom"/>
          </w:tcPr>
          <w:p>
            <w:pPr>
              <w:ind w:left="160"/>
              <w:spacing w:after="0"/>
              <w:rPr>
                <w:sz w:val="20"/>
                <w:szCs w:val="20"/>
                <w:color w:val="auto"/>
              </w:rPr>
            </w:pPr>
            <w:r>
              <w:rPr>
                <w:rFonts w:ascii="Arial" w:cs="Arial" w:eastAsia="Arial" w:hAnsi="Arial"/>
                <w:sz w:val="18"/>
                <w:szCs w:val="18"/>
                <w:color w:val="auto"/>
                <w:w w:val="92"/>
              </w:rPr>
              <w:t>Specimen common stock certificate (incorporated by reference to Exhibit 4.1 to the Registrant’s Form 10-K for the year ended</w:t>
            </w:r>
          </w:p>
        </w:tc>
      </w:tr>
      <w:tr>
        <w:trPr>
          <w:trHeight w:val="230"/>
        </w:trPr>
        <w:tc>
          <w:tcPr>
            <w:tcW w:w="78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December 31, 2011).</w:t>
            </w:r>
          </w:p>
        </w:tc>
      </w:tr>
      <w:tr>
        <w:trPr>
          <w:trHeight w:val="418"/>
        </w:trPr>
        <w:tc>
          <w:tcPr>
            <w:tcW w:w="780" w:type="dxa"/>
            <w:vAlign w:val="bottom"/>
          </w:tcPr>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4.4</w:t>
              </w:r>
            </w:hyperlink>
          </w:p>
        </w:tc>
        <w:tc>
          <w:tcPr>
            <w:tcW w:w="9420" w:type="dxa"/>
            <w:vAlign w:val="bottom"/>
          </w:tcPr>
          <w:p>
            <w:pPr>
              <w:ind w:left="160"/>
              <w:spacing w:after="0"/>
              <w:rPr>
                <w:sz w:val="20"/>
                <w:szCs w:val="20"/>
                <w:color w:val="auto"/>
              </w:rPr>
            </w:pPr>
            <w:r>
              <w:rPr>
                <w:rFonts w:ascii="Arial" w:cs="Arial" w:eastAsia="Arial" w:hAnsi="Arial"/>
                <w:sz w:val="18"/>
                <w:szCs w:val="18"/>
                <w:color w:val="auto"/>
                <w:w w:val="92"/>
              </w:rPr>
              <w:t>Stockholder Protection Rights Agreement, dated July 18, 2014 between TG Therapeutics, Inc. and American Stock Transfer &amp;</w:t>
            </w:r>
          </w:p>
        </w:tc>
      </w:tr>
      <w:tr>
        <w:trPr>
          <w:trHeight w:val="216"/>
        </w:trPr>
        <w:tc>
          <w:tcPr>
            <w:tcW w:w="780" w:type="dxa"/>
            <w:vAlign w:val="bottom"/>
          </w:tcPr>
          <w:p>
            <w:pPr>
              <w:spacing w:after="0"/>
              <w:rPr>
                <w:sz w:val="18"/>
                <w:szCs w:val="18"/>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w w:val="91"/>
              </w:rPr>
              <w:t>Trust Company, LLC, as Rights Agent (incorporated by reference to Exhibit 4.1 to the Registrant’s Current Report on Form 8-K</w:t>
            </w:r>
          </w:p>
        </w:tc>
      </w:tr>
      <w:tr>
        <w:trPr>
          <w:trHeight w:val="230"/>
        </w:trPr>
        <w:tc>
          <w:tcPr>
            <w:tcW w:w="78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filed on July 21, 2014).</w:t>
            </w:r>
          </w:p>
        </w:tc>
      </w:tr>
      <w:tr>
        <w:trPr>
          <w:trHeight w:val="432"/>
        </w:trPr>
        <w:tc>
          <w:tcPr>
            <w:tcW w:w="780" w:type="dxa"/>
            <w:vAlign w:val="bottom"/>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4.5</w:t>
              </w:r>
            </w:hyperlink>
          </w:p>
        </w:tc>
        <w:tc>
          <w:tcPr>
            <w:tcW w:w="9420" w:type="dxa"/>
            <w:vAlign w:val="bottom"/>
          </w:tcPr>
          <w:p>
            <w:pPr>
              <w:ind w:left="160"/>
              <w:spacing w:after="0"/>
              <w:rPr>
                <w:sz w:val="20"/>
                <w:szCs w:val="20"/>
                <w:color w:val="auto"/>
              </w:rPr>
            </w:pPr>
            <w:r>
              <w:rPr>
                <w:rFonts w:ascii="Arial" w:cs="Arial" w:eastAsia="Arial" w:hAnsi="Arial"/>
                <w:sz w:val="18"/>
                <w:szCs w:val="18"/>
                <w:color w:val="auto"/>
              </w:rPr>
              <w:t>Description of Securities of TG Therapeutics, Inc. #</w:t>
            </w:r>
          </w:p>
        </w:tc>
      </w:tr>
      <w:tr>
        <w:trPr>
          <w:trHeight w:val="418"/>
        </w:trPr>
        <w:tc>
          <w:tcPr>
            <w:tcW w:w="780" w:type="dxa"/>
            <w:vAlign w:val="bottom"/>
          </w:tcPr>
          <w:p>
            <w:pPr>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10.1</w:t>
              </w:r>
            </w:hyperlink>
          </w:p>
        </w:tc>
        <w:tc>
          <w:tcPr>
            <w:tcW w:w="9420" w:type="dxa"/>
            <w:vAlign w:val="bottom"/>
          </w:tcPr>
          <w:p>
            <w:pPr>
              <w:ind w:left="160"/>
              <w:spacing w:after="0"/>
              <w:rPr>
                <w:sz w:val="20"/>
                <w:szCs w:val="20"/>
                <w:color w:val="auto"/>
              </w:rPr>
            </w:pPr>
            <w:r>
              <w:rPr>
                <w:rFonts w:ascii="Arial" w:cs="Arial" w:eastAsia="Arial" w:hAnsi="Arial"/>
                <w:sz w:val="18"/>
                <w:szCs w:val="18"/>
                <w:color w:val="auto"/>
                <w:w w:val="90"/>
              </w:rPr>
              <w:t>Employment Agreement, effective December 29, 2011, between the Registrant and Michael Weiss (incorporated by reference to</w:t>
            </w:r>
          </w:p>
        </w:tc>
      </w:tr>
      <w:tr>
        <w:trPr>
          <w:trHeight w:val="230"/>
        </w:trPr>
        <w:tc>
          <w:tcPr>
            <w:tcW w:w="78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Exhibit 10.30 to the Registrant’s Form 10-K for the fiscal year ended December 31, 2011). †</w:t>
            </w:r>
          </w:p>
        </w:tc>
      </w:tr>
      <w:tr>
        <w:trPr>
          <w:trHeight w:val="418"/>
        </w:trPr>
        <w:tc>
          <w:tcPr>
            <w:tcW w:w="780" w:type="dxa"/>
            <w:vAlign w:val="bottom"/>
          </w:tcPr>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10.2</w:t>
              </w:r>
            </w:hyperlink>
          </w:p>
        </w:tc>
        <w:tc>
          <w:tcPr>
            <w:tcW w:w="9420" w:type="dxa"/>
            <w:vAlign w:val="bottom"/>
          </w:tcPr>
          <w:p>
            <w:pPr>
              <w:ind w:left="160"/>
              <w:spacing w:after="0"/>
              <w:rPr>
                <w:sz w:val="20"/>
                <w:szCs w:val="20"/>
                <w:color w:val="auto"/>
              </w:rPr>
            </w:pPr>
            <w:r>
              <w:rPr>
                <w:rFonts w:ascii="Arial" w:cs="Arial" w:eastAsia="Arial" w:hAnsi="Arial"/>
                <w:sz w:val="18"/>
                <w:szCs w:val="18"/>
                <w:color w:val="auto"/>
                <w:w w:val="93"/>
              </w:rPr>
              <w:t>Restricted  Stock  Subscription  Agreement,  effective  December  29,  2011,  between  the  Registrant  and  Michael  Weiss</w:t>
            </w:r>
          </w:p>
        </w:tc>
      </w:tr>
      <w:tr>
        <w:trPr>
          <w:trHeight w:val="230"/>
        </w:trPr>
        <w:tc>
          <w:tcPr>
            <w:tcW w:w="78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w w:val="95"/>
              </w:rPr>
              <w:t>(incorporated by reference to Exhibit 10.31 to the Registrant’s Form 10-K for the fiscal year ended December 31, 2011). †</w:t>
            </w:r>
          </w:p>
        </w:tc>
      </w:tr>
    </w:tbl>
    <w:p>
      <w:pPr>
        <w:spacing w:after="0" w:line="200" w:lineRule="exact"/>
        <w:rPr>
          <w:sz w:val="20"/>
          <w:szCs w:val="20"/>
          <w:color w:val="auto"/>
        </w:rPr>
      </w:pPr>
    </w:p>
    <w:p>
      <w:pPr>
        <w:sectPr>
          <w:pgSz w:w="11900" w:h="16838" w:orient="portrait"/>
          <w:cols w:equalWidth="0" w:num="1">
            <w:col w:w="10220"/>
          </w:cols>
          <w:pgMar w:left="840" w:top="517" w:right="8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920" w:val="left"/>
        </w:tabs>
        <w:rPr>
          <w:rFonts w:ascii="Arial" w:cs="Arial" w:eastAsia="Arial" w:hAnsi="Arial"/>
          <w:sz w:val="18"/>
          <w:szCs w:val="18"/>
          <w:color w:val="0000EE"/>
        </w:rPr>
      </w:pPr>
      <w:hyperlink r:id="rId118">
        <w:r>
          <w:rPr>
            <w:rFonts w:ascii="Arial" w:cs="Arial" w:eastAsia="Arial" w:hAnsi="Arial"/>
            <w:sz w:val="18"/>
            <w:szCs w:val="18"/>
            <w:u w:val="single" w:color="auto"/>
            <w:color w:val="0000EE"/>
          </w:rPr>
          <w:t>10.3</w:t>
        </w:r>
      </w:hyperlink>
      <w:r>
        <w:rPr>
          <w:rFonts w:ascii="Arial" w:cs="Arial" w:eastAsia="Arial" w:hAnsi="Arial"/>
          <w:sz w:val="18"/>
          <w:szCs w:val="18"/>
          <w:color w:val="0000EE"/>
        </w:rPr>
        <w:tab/>
      </w:r>
      <w:r>
        <w:rPr>
          <w:rFonts w:ascii="Arial" w:cs="Arial" w:eastAsia="Arial" w:hAnsi="Arial"/>
          <w:sz w:val="16"/>
          <w:szCs w:val="16"/>
          <w:color w:val="0000EE"/>
        </w:rPr>
        <w:t>Amendment to Restricted Stock Agreement, dated July 12, 2013, by and between TG Therapeutics, Inc. and Michael S. Weiss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(incorporated by reference to Exhibit 10.1 to the Registrant’s Current Report on Form 8-K filed on July 16, 2013). †</w:t>
      </w:r>
    </w:p>
    <w:p>
      <w:pPr>
        <w:spacing w:after="0" w:line="211" w:lineRule="exact"/>
        <w:rPr>
          <w:sz w:val="20"/>
          <w:szCs w:val="20"/>
          <w:color w:val="auto"/>
        </w:rPr>
      </w:pPr>
    </w:p>
    <w:p>
      <w:pPr>
        <w:jc w:val="both"/>
        <w:ind w:left="940" w:hanging="944"/>
        <w:spacing w:after="0" w:line="342" w:lineRule="auto"/>
        <w:tabs>
          <w:tab w:leader="none" w:pos="920" w:val="left"/>
        </w:tabs>
        <w:rPr>
          <w:rFonts w:ascii="Arial" w:cs="Arial" w:eastAsia="Arial" w:hAnsi="Arial"/>
          <w:sz w:val="18"/>
          <w:szCs w:val="18"/>
          <w:color w:val="0000EE"/>
        </w:rPr>
      </w:pPr>
      <w:hyperlink r:id="rId119">
        <w:r>
          <w:rPr>
            <w:rFonts w:ascii="Arial" w:cs="Arial" w:eastAsia="Arial" w:hAnsi="Arial"/>
            <w:sz w:val="18"/>
            <w:szCs w:val="18"/>
            <w:u w:val="single" w:color="auto"/>
            <w:color w:val="0000EE"/>
          </w:rPr>
          <w:t>10.4</w:t>
        </w:r>
      </w:hyperlink>
      <w:r>
        <w:rPr>
          <w:rFonts w:ascii="Arial" w:cs="Arial" w:eastAsia="Arial" w:hAnsi="Arial"/>
          <w:sz w:val="18"/>
          <w:szCs w:val="18"/>
          <w:color w:val="0000EE"/>
        </w:rPr>
        <w:tab/>
      </w:r>
      <w:r>
        <w:rPr>
          <w:rFonts w:ascii="Arial" w:cs="Arial" w:eastAsia="Arial" w:hAnsi="Arial"/>
          <w:sz w:val="16"/>
          <w:szCs w:val="16"/>
          <w:color w:val="0000EE"/>
        </w:rPr>
        <w:t>Amendment to Restricted Stock Agreements, dated December 31, 2014, by and between TG Therapeutics, Inc. and Michael S. Weiss (incorporated by reference to Exhibit 10.1 to the Registrant’s Current Report on Form 8-K filed on January 7, 2015). †</w:t>
      </w:r>
    </w:p>
    <w:p>
      <w:pPr>
        <w:spacing w:after="0" w:line="124" w:lineRule="exact"/>
        <w:rPr>
          <w:sz w:val="20"/>
          <w:szCs w:val="20"/>
          <w:color w:val="auto"/>
        </w:rPr>
      </w:pPr>
    </w:p>
    <w:p>
      <w:pPr>
        <w:jc w:val="both"/>
        <w:ind w:left="940" w:hanging="944"/>
        <w:spacing w:after="0" w:line="277" w:lineRule="auto"/>
        <w:tabs>
          <w:tab w:leader="none" w:pos="920" w:val="left"/>
        </w:tabs>
        <w:rPr>
          <w:rFonts w:ascii="Arial" w:cs="Arial" w:eastAsia="Arial" w:hAnsi="Arial"/>
          <w:sz w:val="18"/>
          <w:szCs w:val="18"/>
          <w:color w:val="0000EE"/>
        </w:rPr>
      </w:pPr>
      <w:hyperlink r:id="rId120">
        <w:r>
          <w:rPr>
            <w:rFonts w:ascii="Arial" w:cs="Arial" w:eastAsia="Arial" w:hAnsi="Arial"/>
            <w:sz w:val="18"/>
            <w:szCs w:val="18"/>
            <w:u w:val="single" w:color="auto"/>
            <w:color w:val="0000EE"/>
          </w:rPr>
          <w:t>10.5</w:t>
        </w:r>
      </w:hyperlink>
      <w:r>
        <w:rPr>
          <w:rFonts w:ascii="Arial" w:cs="Arial" w:eastAsia="Arial" w:hAnsi="Arial"/>
          <w:sz w:val="18"/>
          <w:szCs w:val="18"/>
          <w:color w:val="0000EE"/>
        </w:rPr>
        <w:tab/>
        <w:t>Employment Agreement, effective December 29, 2011, between the Registrant and Sean Power (incorporated by reference to Exhibit 10.32 to the Registrant’s Form 10-K for the fiscal year ended December 31, 2011). †</w:t>
      </w:r>
    </w:p>
    <w:p>
      <w:pPr>
        <w:spacing w:after="0" w:line="170" w:lineRule="exact"/>
        <w:rPr>
          <w:sz w:val="20"/>
          <w:szCs w:val="20"/>
          <w:color w:val="auto"/>
        </w:rPr>
      </w:pPr>
    </w:p>
    <w:p>
      <w:pPr>
        <w:jc w:val="both"/>
        <w:ind w:left="940" w:hanging="944"/>
        <w:spacing w:after="0" w:line="308" w:lineRule="auto"/>
        <w:tabs>
          <w:tab w:leader="none" w:pos="920" w:val="left"/>
        </w:tabs>
        <w:rPr>
          <w:rFonts w:ascii="Arial" w:cs="Arial" w:eastAsia="Arial" w:hAnsi="Arial"/>
          <w:sz w:val="18"/>
          <w:szCs w:val="18"/>
          <w:color w:val="0000EE"/>
        </w:rPr>
      </w:pPr>
      <w:hyperlink r:id="rId121">
        <w:r>
          <w:rPr>
            <w:rFonts w:ascii="Arial" w:cs="Arial" w:eastAsia="Arial" w:hAnsi="Arial"/>
            <w:sz w:val="18"/>
            <w:szCs w:val="18"/>
            <w:u w:val="single" w:color="auto"/>
            <w:color w:val="0000EE"/>
          </w:rPr>
          <w:t>10.6</w:t>
        </w:r>
      </w:hyperlink>
      <w:r>
        <w:rPr>
          <w:rFonts w:ascii="Arial" w:cs="Arial" w:eastAsia="Arial" w:hAnsi="Arial"/>
          <w:sz w:val="18"/>
          <w:szCs w:val="18"/>
          <w:color w:val="0000EE"/>
        </w:rPr>
        <w:tab/>
      </w:r>
      <w:r>
        <w:rPr>
          <w:rFonts w:ascii="Arial" w:cs="Arial" w:eastAsia="Arial" w:hAnsi="Arial"/>
          <w:sz w:val="17"/>
          <w:szCs w:val="17"/>
          <w:color w:val="0000EE"/>
        </w:rPr>
        <w:t>Restricted Stock Subscription Agreement, effective December 29, 2011 between the Registrant and Sean Power (incorporated by reference to Exhibit 10.33 to the Registrant’s Form 10-K for the fiscal year ended December 31, 2011). †</w:t>
      </w:r>
    </w:p>
    <w:p>
      <w:pPr>
        <w:spacing w:after="0" w:line="146" w:lineRule="exact"/>
        <w:rPr>
          <w:sz w:val="20"/>
          <w:szCs w:val="20"/>
          <w:color w:val="auto"/>
        </w:rPr>
      </w:pPr>
    </w:p>
    <w:p>
      <w:pPr>
        <w:spacing w:after="0"/>
        <w:tabs>
          <w:tab w:leader="none" w:pos="920" w:val="left"/>
        </w:tabs>
        <w:rPr>
          <w:rFonts w:ascii="Arial" w:cs="Arial" w:eastAsia="Arial" w:hAnsi="Arial"/>
          <w:sz w:val="18"/>
          <w:szCs w:val="18"/>
          <w:color w:val="0000EE"/>
        </w:rPr>
      </w:pPr>
      <w:hyperlink r:id="rId122">
        <w:r>
          <w:rPr>
            <w:rFonts w:ascii="Arial" w:cs="Arial" w:eastAsia="Arial" w:hAnsi="Arial"/>
            <w:sz w:val="18"/>
            <w:szCs w:val="18"/>
            <w:u w:val="single" w:color="auto"/>
            <w:color w:val="0000EE"/>
          </w:rPr>
          <w:t>10.7</w:t>
        </w:r>
      </w:hyperlink>
      <w:r>
        <w:rPr>
          <w:rFonts w:ascii="Arial" w:cs="Arial" w:eastAsia="Arial" w:hAnsi="Arial"/>
          <w:sz w:val="18"/>
          <w:szCs w:val="18"/>
          <w:color w:val="0000EE"/>
        </w:rPr>
        <w:tab/>
      </w:r>
      <w:r>
        <w:rPr>
          <w:rFonts w:ascii="Arial" w:cs="Arial" w:eastAsia="Arial" w:hAnsi="Arial"/>
          <w:sz w:val="16"/>
          <w:szCs w:val="16"/>
          <w:color w:val="0000EE"/>
        </w:rPr>
        <w:t>Amendment to Restricted Stock Agreement, dated July 12, 2013, by and between TG Therapeutics, Inc. and Sean A. Power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(incorporated by reference to Exhibit 10.2 to the Registrant’s Current Report on Form 8-K filed on July 16, 2013). †</w:t>
      </w:r>
    </w:p>
    <w:p>
      <w:pPr>
        <w:spacing w:after="0" w:line="211" w:lineRule="exact"/>
        <w:rPr>
          <w:sz w:val="20"/>
          <w:szCs w:val="20"/>
          <w:color w:val="auto"/>
        </w:rPr>
      </w:pPr>
    </w:p>
    <w:p>
      <w:pPr>
        <w:jc w:val="both"/>
        <w:ind w:left="940" w:hanging="944"/>
        <w:spacing w:after="0" w:line="342" w:lineRule="auto"/>
        <w:tabs>
          <w:tab w:leader="none" w:pos="920" w:val="left"/>
        </w:tabs>
        <w:rPr>
          <w:rFonts w:ascii="Arial" w:cs="Arial" w:eastAsia="Arial" w:hAnsi="Arial"/>
          <w:sz w:val="18"/>
          <w:szCs w:val="18"/>
          <w:color w:val="0000EE"/>
        </w:rPr>
      </w:pPr>
      <w:hyperlink r:id="rId123">
        <w:r>
          <w:rPr>
            <w:rFonts w:ascii="Arial" w:cs="Arial" w:eastAsia="Arial" w:hAnsi="Arial"/>
            <w:sz w:val="18"/>
            <w:szCs w:val="18"/>
            <w:u w:val="single" w:color="auto"/>
            <w:color w:val="0000EE"/>
          </w:rPr>
          <w:t>10.8</w:t>
        </w:r>
      </w:hyperlink>
      <w:r>
        <w:rPr>
          <w:rFonts w:ascii="Arial" w:cs="Arial" w:eastAsia="Arial" w:hAnsi="Arial"/>
          <w:sz w:val="18"/>
          <w:szCs w:val="18"/>
          <w:color w:val="0000EE"/>
        </w:rPr>
        <w:tab/>
      </w:r>
      <w:r>
        <w:rPr>
          <w:rFonts w:ascii="Arial" w:cs="Arial" w:eastAsia="Arial" w:hAnsi="Arial"/>
          <w:sz w:val="16"/>
          <w:szCs w:val="16"/>
          <w:color w:val="0000EE"/>
        </w:rPr>
        <w:t>Amendment to Restricted Stock Agreements, dated December 31, 2014, by and between TG Therapeutics, Inc. and Sean A. Power (incorporated by reference to Exhibit 10.2 to the Registrant’s Current Report on Form 8-K filed on January 7, 2015). †</w:t>
      </w:r>
    </w:p>
    <w:p>
      <w:pPr>
        <w:spacing w:after="0" w:line="124" w:lineRule="exact"/>
        <w:rPr>
          <w:sz w:val="20"/>
          <w:szCs w:val="20"/>
          <w:color w:val="auto"/>
        </w:rPr>
      </w:pPr>
    </w:p>
    <w:p>
      <w:pPr>
        <w:jc w:val="both"/>
        <w:ind w:left="940" w:hanging="944"/>
        <w:spacing w:after="0" w:line="263" w:lineRule="auto"/>
        <w:tabs>
          <w:tab w:leader="none" w:pos="920" w:val="left"/>
        </w:tabs>
        <w:rPr>
          <w:rFonts w:ascii="Arial" w:cs="Arial" w:eastAsia="Arial" w:hAnsi="Arial"/>
          <w:sz w:val="18"/>
          <w:szCs w:val="18"/>
          <w:color w:val="0000EE"/>
        </w:rPr>
      </w:pPr>
      <w:hyperlink r:id="rId124">
        <w:r>
          <w:rPr>
            <w:rFonts w:ascii="Arial" w:cs="Arial" w:eastAsia="Arial" w:hAnsi="Arial"/>
            <w:sz w:val="18"/>
            <w:szCs w:val="18"/>
            <w:u w:val="single" w:color="auto"/>
            <w:color w:val="0000EE"/>
          </w:rPr>
          <w:t>10.9</w:t>
        </w:r>
      </w:hyperlink>
      <w:r>
        <w:rPr>
          <w:rFonts w:ascii="Arial" w:cs="Arial" w:eastAsia="Arial" w:hAnsi="Arial"/>
          <w:sz w:val="18"/>
          <w:szCs w:val="18"/>
          <w:color w:val="0000EE"/>
        </w:rPr>
        <w:tab/>
        <w:t>License Agreement, dated January 30, 2012, by and among the Registrant, GTC Biotherapeutics, Inc., LFB Biotechnologies S.A.S. and LFB/GTC LLC (incorporated by reference to Exhibit 10.35 to the Registrant’s Form 10-K for the fiscal year ended December 31, 2011). *</w:t>
      </w:r>
    </w:p>
    <w:p>
      <w:pPr>
        <w:spacing w:after="0" w:line="184" w:lineRule="exact"/>
        <w:rPr>
          <w:sz w:val="20"/>
          <w:szCs w:val="20"/>
          <w:color w:val="auto"/>
        </w:rPr>
      </w:pPr>
    </w:p>
    <w:p>
      <w:pPr>
        <w:spacing w:after="0"/>
        <w:tabs>
          <w:tab w:leader="none" w:pos="920" w:val="left"/>
        </w:tabs>
        <w:rPr>
          <w:rFonts w:ascii="Arial" w:cs="Arial" w:eastAsia="Arial" w:hAnsi="Arial"/>
          <w:sz w:val="18"/>
          <w:szCs w:val="18"/>
          <w:color w:val="0000EE"/>
        </w:rPr>
      </w:pPr>
      <w:hyperlink r:id="rId125">
        <w:r>
          <w:rPr>
            <w:rFonts w:ascii="Arial" w:cs="Arial" w:eastAsia="Arial" w:hAnsi="Arial"/>
            <w:sz w:val="18"/>
            <w:szCs w:val="18"/>
            <w:u w:val="single" w:color="auto"/>
            <w:color w:val="0000EE"/>
          </w:rPr>
          <w:t>10.10</w:t>
        </w:r>
      </w:hyperlink>
      <w:r>
        <w:rPr>
          <w:rFonts w:ascii="Arial" w:cs="Arial" w:eastAsia="Arial" w:hAnsi="Arial"/>
          <w:sz w:val="18"/>
          <w:szCs w:val="18"/>
          <w:color w:val="0000EE"/>
        </w:rPr>
        <w:tab/>
      </w:r>
      <w:r>
        <w:rPr>
          <w:rFonts w:ascii="Arial" w:cs="Arial" w:eastAsia="Arial" w:hAnsi="Arial"/>
          <w:sz w:val="16"/>
          <w:szCs w:val="16"/>
          <w:color w:val="0000EE"/>
        </w:rPr>
        <w:t>TG Therapeutics, Inc. Amended and Restated 2012 Incentive Plan, dated May 14, 2012 (incorporated by reference to Exhibit</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10.1 to the Registrant’s Form 10-Q/A for the quarter ended March 31, 2012). †</w:t>
      </w:r>
    </w:p>
    <w:p>
      <w:pPr>
        <w:spacing w:after="0" w:line="211" w:lineRule="exact"/>
        <w:rPr>
          <w:sz w:val="20"/>
          <w:szCs w:val="20"/>
          <w:color w:val="auto"/>
        </w:rPr>
      </w:pPr>
    </w:p>
    <w:p>
      <w:pPr>
        <w:jc w:val="both"/>
        <w:ind w:left="940" w:hanging="944"/>
        <w:spacing w:after="0" w:line="263" w:lineRule="auto"/>
        <w:tabs>
          <w:tab w:leader="none" w:pos="920" w:val="left"/>
        </w:tabs>
        <w:rPr>
          <w:rFonts w:ascii="Arial" w:cs="Arial" w:eastAsia="Arial" w:hAnsi="Arial"/>
          <w:sz w:val="18"/>
          <w:szCs w:val="18"/>
          <w:color w:val="0000EE"/>
        </w:rPr>
      </w:pPr>
      <w:hyperlink r:id="rId126">
        <w:r>
          <w:rPr>
            <w:rFonts w:ascii="Arial" w:cs="Arial" w:eastAsia="Arial" w:hAnsi="Arial"/>
            <w:sz w:val="18"/>
            <w:szCs w:val="18"/>
            <w:u w:val="single" w:color="auto"/>
            <w:color w:val="0000EE"/>
          </w:rPr>
          <w:t>10.11</w:t>
        </w:r>
      </w:hyperlink>
      <w:r>
        <w:rPr>
          <w:rFonts w:ascii="Arial" w:cs="Arial" w:eastAsia="Arial" w:hAnsi="Arial"/>
          <w:sz w:val="18"/>
          <w:szCs w:val="18"/>
          <w:color w:val="0000EE"/>
        </w:rPr>
        <w:tab/>
        <w:t>First Amendment to TG Therapeutics, Inc. Amended and Restated 2012 Incentive Plan, filed with the Registrant’s Definitive Proxy Statement for the Annual Meeting of Stockholders on June 4, 2015, filed on April 24, 2015, and incorporated herein by reference. †</w:t>
      </w:r>
    </w:p>
    <w:p>
      <w:pPr>
        <w:spacing w:after="0" w:line="184" w:lineRule="exact"/>
        <w:rPr>
          <w:sz w:val="20"/>
          <w:szCs w:val="20"/>
          <w:color w:val="auto"/>
        </w:rPr>
      </w:pPr>
    </w:p>
    <w:p>
      <w:pPr>
        <w:spacing w:after="0"/>
        <w:tabs>
          <w:tab w:leader="none" w:pos="920" w:val="left"/>
        </w:tabs>
        <w:rPr>
          <w:rFonts w:ascii="Arial" w:cs="Arial" w:eastAsia="Arial" w:hAnsi="Arial"/>
          <w:sz w:val="18"/>
          <w:szCs w:val="18"/>
          <w:color w:val="0000EE"/>
        </w:rPr>
      </w:pPr>
      <w:hyperlink r:id="rId127">
        <w:r>
          <w:rPr>
            <w:rFonts w:ascii="Arial" w:cs="Arial" w:eastAsia="Arial" w:hAnsi="Arial"/>
            <w:sz w:val="18"/>
            <w:szCs w:val="18"/>
            <w:u w:val="single" w:color="auto"/>
            <w:color w:val="0000EE"/>
          </w:rPr>
          <w:t>10.12</w:t>
        </w:r>
      </w:hyperlink>
      <w:r>
        <w:rPr>
          <w:rFonts w:ascii="Arial" w:cs="Arial" w:eastAsia="Arial" w:hAnsi="Arial"/>
          <w:sz w:val="18"/>
          <w:szCs w:val="18"/>
          <w:color w:val="0000EE"/>
        </w:rPr>
        <w:tab/>
      </w:r>
      <w:r>
        <w:rPr>
          <w:rFonts w:ascii="Arial" w:cs="Arial" w:eastAsia="Arial" w:hAnsi="Arial"/>
          <w:sz w:val="16"/>
          <w:szCs w:val="16"/>
          <w:color w:val="0000EE"/>
        </w:rPr>
        <w:t>Second Amendment to TG Therapeutics, Inc. Amended and Restated 2012 Incentive Plan (incorporated by reference to Exhibit</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10.1 to the Registrant’s Current Report on Form 8-K filed on June 24, 2020). †</w:t>
      </w:r>
    </w:p>
    <w:p>
      <w:pPr>
        <w:spacing w:after="0" w:line="211" w:lineRule="exact"/>
        <w:rPr>
          <w:sz w:val="20"/>
          <w:szCs w:val="20"/>
          <w:color w:val="auto"/>
        </w:rPr>
      </w:pPr>
    </w:p>
    <w:p>
      <w:pPr>
        <w:jc w:val="both"/>
        <w:ind w:left="940" w:hanging="944"/>
        <w:spacing w:after="0" w:line="308" w:lineRule="auto"/>
        <w:tabs>
          <w:tab w:leader="none" w:pos="920" w:val="left"/>
        </w:tabs>
        <w:rPr>
          <w:rFonts w:ascii="Arial" w:cs="Arial" w:eastAsia="Arial" w:hAnsi="Arial"/>
          <w:sz w:val="18"/>
          <w:szCs w:val="18"/>
          <w:color w:val="0000EE"/>
        </w:rPr>
      </w:pPr>
      <w:hyperlink r:id="rId128">
        <w:r>
          <w:rPr>
            <w:rFonts w:ascii="Arial" w:cs="Arial" w:eastAsia="Arial" w:hAnsi="Arial"/>
            <w:sz w:val="18"/>
            <w:szCs w:val="18"/>
            <w:u w:val="single" w:color="auto"/>
            <w:color w:val="0000EE"/>
          </w:rPr>
          <w:t>10.13</w:t>
        </w:r>
      </w:hyperlink>
      <w:r>
        <w:rPr>
          <w:rFonts w:ascii="Arial" w:cs="Arial" w:eastAsia="Arial" w:hAnsi="Arial"/>
          <w:sz w:val="18"/>
          <w:szCs w:val="18"/>
          <w:color w:val="0000EE"/>
        </w:rPr>
        <w:tab/>
      </w:r>
      <w:r>
        <w:rPr>
          <w:rFonts w:ascii="Arial" w:cs="Arial" w:eastAsia="Arial" w:hAnsi="Arial"/>
          <w:sz w:val="17"/>
          <w:szCs w:val="17"/>
          <w:color w:val="0000EE"/>
        </w:rPr>
        <w:t>Sublicense Agreement between TG Therapeutics, Inc. and Ildong Pharmaceutical Co. Ltd., dated November 13, 2012 (incorporated by reference to Exhibit 10.37 to the Registrant’s Form 10-K for the fiscal year ended December 31, 2012). *</w:t>
      </w:r>
    </w:p>
    <w:p>
      <w:pPr>
        <w:spacing w:after="0" w:line="146" w:lineRule="exact"/>
        <w:rPr>
          <w:sz w:val="20"/>
          <w:szCs w:val="20"/>
          <w:color w:val="auto"/>
        </w:rPr>
      </w:pPr>
    </w:p>
    <w:p>
      <w:pPr>
        <w:jc w:val="both"/>
        <w:ind w:left="940" w:hanging="944"/>
        <w:spacing w:after="0" w:line="277" w:lineRule="auto"/>
        <w:tabs>
          <w:tab w:leader="none" w:pos="920" w:val="left"/>
        </w:tabs>
        <w:rPr>
          <w:rFonts w:ascii="Arial" w:cs="Arial" w:eastAsia="Arial" w:hAnsi="Arial"/>
          <w:sz w:val="18"/>
          <w:szCs w:val="18"/>
          <w:color w:val="0000EE"/>
        </w:rPr>
      </w:pPr>
      <w:hyperlink r:id="rId129">
        <w:r>
          <w:rPr>
            <w:rFonts w:ascii="Arial" w:cs="Arial" w:eastAsia="Arial" w:hAnsi="Arial"/>
            <w:sz w:val="18"/>
            <w:szCs w:val="18"/>
            <w:u w:val="single" w:color="auto"/>
            <w:color w:val="0000EE"/>
          </w:rPr>
          <w:t>10.14</w:t>
        </w:r>
      </w:hyperlink>
      <w:r>
        <w:rPr>
          <w:rFonts w:ascii="Arial" w:cs="Arial" w:eastAsia="Arial" w:hAnsi="Arial"/>
          <w:sz w:val="18"/>
          <w:szCs w:val="18"/>
          <w:color w:val="0000EE"/>
        </w:rPr>
        <w:tab/>
        <w:t>License Agreement between TG Therapeutics, Inc. and Ligand Pharmaceuticals Incorporated, dated June 23, 2014 (incorporated by reference to Exhibit 10.1 to the Registrant’s Form 10-Q for the quarter ended June 30, 2014).*</w:t>
      </w:r>
    </w:p>
    <w:p>
      <w:pPr>
        <w:spacing w:after="0" w:line="170" w:lineRule="exact"/>
        <w:rPr>
          <w:sz w:val="20"/>
          <w:szCs w:val="20"/>
          <w:color w:val="auto"/>
        </w:rPr>
      </w:pPr>
    </w:p>
    <w:p>
      <w:pPr>
        <w:jc w:val="both"/>
        <w:ind w:left="940" w:hanging="944"/>
        <w:spacing w:after="0" w:line="308" w:lineRule="auto"/>
        <w:tabs>
          <w:tab w:leader="none" w:pos="920" w:val="left"/>
        </w:tabs>
        <w:rPr>
          <w:rFonts w:ascii="Arial" w:cs="Arial" w:eastAsia="Arial" w:hAnsi="Arial"/>
          <w:sz w:val="18"/>
          <w:szCs w:val="18"/>
          <w:color w:val="0000EE"/>
        </w:rPr>
      </w:pPr>
      <w:hyperlink r:id="rId130">
        <w:r>
          <w:rPr>
            <w:rFonts w:ascii="Arial" w:cs="Arial" w:eastAsia="Arial" w:hAnsi="Arial"/>
            <w:sz w:val="18"/>
            <w:szCs w:val="18"/>
            <w:u w:val="single" w:color="auto"/>
            <w:color w:val="0000EE"/>
          </w:rPr>
          <w:t>10.15</w:t>
        </w:r>
      </w:hyperlink>
      <w:r>
        <w:rPr>
          <w:rFonts w:ascii="Arial" w:cs="Arial" w:eastAsia="Arial" w:hAnsi="Arial"/>
          <w:sz w:val="18"/>
          <w:szCs w:val="18"/>
          <w:color w:val="0000EE"/>
        </w:rPr>
        <w:tab/>
      </w:r>
      <w:r>
        <w:rPr>
          <w:rFonts w:ascii="Arial" w:cs="Arial" w:eastAsia="Arial" w:hAnsi="Arial"/>
          <w:sz w:val="17"/>
          <w:szCs w:val="17"/>
          <w:color w:val="0000EE"/>
        </w:rPr>
        <w:t>License Agreement between TG Therapeutics, Inc. and Rhizen Pharmaceuticals SA, dated September 22, 2014 (incorporated by reference to Exhibit 10.1 to the Registrant’s Current Report on Form 8-K filed on January 20, 2015). *</w:t>
      </w:r>
    </w:p>
    <w:p>
      <w:pPr>
        <w:spacing w:after="0" w:line="146" w:lineRule="exact"/>
        <w:rPr>
          <w:sz w:val="20"/>
          <w:szCs w:val="20"/>
          <w:color w:val="auto"/>
        </w:rPr>
      </w:pPr>
    </w:p>
    <w:p>
      <w:pPr>
        <w:jc w:val="both"/>
        <w:ind w:left="940" w:hanging="944"/>
        <w:spacing w:after="0" w:line="277" w:lineRule="auto"/>
        <w:tabs>
          <w:tab w:leader="none" w:pos="920" w:val="left"/>
        </w:tabs>
        <w:rPr>
          <w:rFonts w:ascii="Arial" w:cs="Arial" w:eastAsia="Arial" w:hAnsi="Arial"/>
          <w:sz w:val="18"/>
          <w:szCs w:val="18"/>
          <w:color w:val="0000EE"/>
        </w:rPr>
      </w:pPr>
      <w:hyperlink r:id="rId131">
        <w:r>
          <w:rPr>
            <w:rFonts w:ascii="Arial" w:cs="Arial" w:eastAsia="Arial" w:hAnsi="Arial"/>
            <w:sz w:val="18"/>
            <w:szCs w:val="18"/>
            <w:u w:val="single" w:color="auto"/>
            <w:color w:val="0000EE"/>
          </w:rPr>
          <w:t>10.16</w:t>
        </w:r>
      </w:hyperlink>
      <w:r>
        <w:rPr>
          <w:rFonts w:ascii="Arial" w:cs="Arial" w:eastAsia="Arial" w:hAnsi="Arial"/>
          <w:sz w:val="18"/>
          <w:szCs w:val="18"/>
          <w:color w:val="0000EE"/>
        </w:rPr>
        <w:tab/>
        <w:t>Collaboration Agreement between TG Therapeutics, Inc. and Checkpoint Therapeutics, Inc., dated March 3, 2015 (incorporated by reference to Exhibit 10.1 to the Registrant’s Form 10-Q for the quarter ended March 31, 2015). *</w:t>
      </w:r>
    </w:p>
    <w:p>
      <w:pPr>
        <w:spacing w:after="0" w:line="170" w:lineRule="exact"/>
        <w:rPr>
          <w:sz w:val="20"/>
          <w:szCs w:val="20"/>
          <w:color w:val="auto"/>
        </w:rPr>
      </w:pPr>
    </w:p>
    <w:p>
      <w:pPr>
        <w:jc w:val="both"/>
        <w:ind w:left="940" w:hanging="944"/>
        <w:spacing w:after="0" w:line="277" w:lineRule="auto"/>
        <w:tabs>
          <w:tab w:leader="none" w:pos="920" w:val="left"/>
        </w:tabs>
        <w:rPr>
          <w:rFonts w:ascii="Arial" w:cs="Arial" w:eastAsia="Arial" w:hAnsi="Arial"/>
          <w:sz w:val="18"/>
          <w:szCs w:val="18"/>
          <w:color w:val="0000EE"/>
        </w:rPr>
      </w:pPr>
      <w:hyperlink r:id="rId132">
        <w:r>
          <w:rPr>
            <w:rFonts w:ascii="Arial" w:cs="Arial" w:eastAsia="Arial" w:hAnsi="Arial"/>
            <w:sz w:val="18"/>
            <w:szCs w:val="18"/>
            <w:u w:val="single" w:color="auto"/>
            <w:color w:val="0000EE"/>
          </w:rPr>
          <w:t>10.17</w:t>
        </w:r>
      </w:hyperlink>
      <w:r>
        <w:rPr>
          <w:rFonts w:ascii="Arial" w:cs="Arial" w:eastAsia="Arial" w:hAnsi="Arial"/>
          <w:sz w:val="18"/>
          <w:szCs w:val="18"/>
          <w:color w:val="0000EE"/>
        </w:rPr>
        <w:tab/>
        <w:t>Sublicense Agreement between TG Therapeutics, Inc. and Checkpoint Therapeutics, Inc., dated May 27, 2016, (incorporated by reference to Exhibit 10.1 to the Registrant’s Form 10-Q for the quarter ended June 30, 2016). *</w:t>
      </w:r>
    </w:p>
    <w:p>
      <w:pPr>
        <w:sectPr>
          <w:pgSz w:w="11900" w:h="16838" w:orient="portrait"/>
          <w:cols w:equalWidth="0" w:num="1">
            <w:col w:w="10200"/>
          </w:cols>
          <w:pgMar w:left="840" w:top="517"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type w:val="continuous"/>
        </w:sectPr>
      </w:pPr>
    </w:p>
    <w:bookmarkStart w:id="94" w:name="page95"/>
    <w:bookmarkEnd w:id="94"/>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60" w:type="dxa"/>
            <w:vAlign w:val="bottom"/>
          </w:tcPr>
          <w:p>
            <w:pPr>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10.18</w:t>
              </w:r>
            </w:hyperlink>
          </w:p>
        </w:tc>
        <w:tc>
          <w:tcPr>
            <w:tcW w:w="9540" w:type="dxa"/>
            <w:vAlign w:val="bottom"/>
          </w:tcPr>
          <w:p>
            <w:pPr>
              <w:ind w:left="280"/>
              <w:spacing w:after="0"/>
              <w:rPr>
                <w:sz w:val="20"/>
                <w:szCs w:val="20"/>
                <w:color w:val="auto"/>
              </w:rPr>
            </w:pPr>
            <w:r>
              <w:rPr>
                <w:rFonts w:ascii="Arial" w:cs="Arial" w:eastAsia="Arial" w:hAnsi="Arial"/>
                <w:sz w:val="18"/>
                <w:szCs w:val="18"/>
                <w:color w:val="auto"/>
                <w:w w:val="96"/>
              </w:rPr>
              <w:t>Amendment to Employment Agreement, effective January 1, 2017, between TG Therapeutics, Inc. and Michael S. Weiss</w:t>
            </w:r>
          </w:p>
        </w:tc>
      </w:tr>
      <w:tr>
        <w:trPr>
          <w:trHeight w:val="230"/>
        </w:trPr>
        <w:tc>
          <w:tcPr>
            <w:tcW w:w="6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Arial" w:cs="Arial" w:eastAsia="Arial" w:hAnsi="Arial"/>
                <w:sz w:val="18"/>
                <w:szCs w:val="18"/>
                <w:color w:val="auto"/>
                <w:w w:val="98"/>
              </w:rPr>
              <w:t>(incorporated by reference to Exhibit 10.18 to the Registrant’s Form 10-K/A for the year ended December 31, 2016). †</w:t>
            </w:r>
          </w:p>
        </w:tc>
      </w:tr>
      <w:tr>
        <w:trPr>
          <w:trHeight w:val="418"/>
        </w:trPr>
        <w:tc>
          <w:tcPr>
            <w:tcW w:w="660" w:type="dxa"/>
            <w:vAlign w:val="bottom"/>
          </w:tcPr>
          <w:p>
            <w:pPr>
              <w:spacing w:after="0"/>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10.19</w:t>
              </w:r>
            </w:hyperlink>
          </w:p>
        </w:tc>
        <w:tc>
          <w:tcPr>
            <w:tcW w:w="9540" w:type="dxa"/>
            <w:vAlign w:val="bottom"/>
          </w:tcPr>
          <w:p>
            <w:pPr>
              <w:ind w:left="280"/>
              <w:spacing w:after="0"/>
              <w:rPr>
                <w:sz w:val="20"/>
                <w:szCs w:val="20"/>
                <w:color w:val="auto"/>
              </w:rPr>
            </w:pPr>
            <w:r>
              <w:rPr>
                <w:rFonts w:ascii="Arial" w:cs="Arial" w:eastAsia="Arial" w:hAnsi="Arial"/>
                <w:sz w:val="18"/>
                <w:szCs w:val="18"/>
                <w:color w:val="auto"/>
                <w:w w:val="92"/>
              </w:rPr>
              <w:t>Advisory Agreement, effective January 1, 2017, between TG Therapeutics, Inc. and Caribe BioAdvisors, LLC (incorporated by</w:t>
            </w:r>
          </w:p>
        </w:tc>
      </w:tr>
      <w:tr>
        <w:trPr>
          <w:trHeight w:val="230"/>
        </w:trPr>
        <w:tc>
          <w:tcPr>
            <w:tcW w:w="6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Arial" w:cs="Arial" w:eastAsia="Arial" w:hAnsi="Arial"/>
                <w:sz w:val="18"/>
                <w:szCs w:val="18"/>
                <w:color w:val="auto"/>
              </w:rPr>
              <w:t>reference to Exhibit 10.19 to the Registrant’s Form 10-K/A for the year ended December 31, 2016).</w:t>
            </w:r>
          </w:p>
        </w:tc>
      </w:tr>
      <w:tr>
        <w:trPr>
          <w:trHeight w:val="418"/>
        </w:trPr>
        <w:tc>
          <w:tcPr>
            <w:tcW w:w="660" w:type="dxa"/>
            <w:vAlign w:val="bottom"/>
          </w:tcPr>
          <w:p>
            <w:pPr>
              <w:spacing w:after="0"/>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10.20</w:t>
              </w:r>
            </w:hyperlink>
          </w:p>
        </w:tc>
        <w:tc>
          <w:tcPr>
            <w:tcW w:w="9540" w:type="dxa"/>
            <w:vAlign w:val="bottom"/>
          </w:tcPr>
          <w:p>
            <w:pPr>
              <w:ind w:left="280"/>
              <w:spacing w:after="0"/>
              <w:rPr>
                <w:sz w:val="20"/>
                <w:szCs w:val="20"/>
                <w:color w:val="auto"/>
              </w:rPr>
            </w:pPr>
            <w:r>
              <w:rPr>
                <w:rFonts w:ascii="Arial" w:cs="Arial" w:eastAsia="Arial" w:hAnsi="Arial"/>
                <w:sz w:val="18"/>
                <w:szCs w:val="18"/>
                <w:color w:val="auto"/>
                <w:w w:val="91"/>
              </w:rPr>
              <w:t>License Agreement between TG Therapeutics, Inc. and Jiangsu Hengrui Medicine Co., dated January 8, 2018 (incorporated by</w:t>
            </w:r>
          </w:p>
        </w:tc>
      </w:tr>
      <w:tr>
        <w:trPr>
          <w:trHeight w:val="230"/>
        </w:trPr>
        <w:tc>
          <w:tcPr>
            <w:tcW w:w="6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Arial" w:cs="Arial" w:eastAsia="Arial" w:hAnsi="Arial"/>
                <w:sz w:val="18"/>
                <w:szCs w:val="18"/>
                <w:color w:val="auto"/>
              </w:rPr>
              <w:t>reference to Exhibit 10.20 to the Registrant’s Form 10-K for the year ended December 31, 2017). *</w:t>
            </w:r>
          </w:p>
        </w:tc>
      </w:tr>
      <w:tr>
        <w:trPr>
          <w:trHeight w:val="418"/>
        </w:trPr>
        <w:tc>
          <w:tcPr>
            <w:tcW w:w="660" w:type="dxa"/>
            <w:vAlign w:val="bottom"/>
          </w:tcPr>
          <w:p>
            <w:pPr>
              <w:spacing w:after="0"/>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10.21</w:t>
              </w:r>
            </w:hyperlink>
          </w:p>
        </w:tc>
        <w:tc>
          <w:tcPr>
            <w:tcW w:w="9540" w:type="dxa"/>
            <w:vAlign w:val="bottom"/>
          </w:tcPr>
          <w:p>
            <w:pPr>
              <w:ind w:left="280"/>
              <w:spacing w:after="0"/>
              <w:rPr>
                <w:sz w:val="20"/>
                <w:szCs w:val="20"/>
                <w:color w:val="auto"/>
              </w:rPr>
            </w:pPr>
            <w:r>
              <w:rPr>
                <w:rFonts w:ascii="Arial" w:cs="Arial" w:eastAsia="Arial" w:hAnsi="Arial"/>
                <w:sz w:val="18"/>
                <w:szCs w:val="18"/>
                <w:color w:val="auto"/>
                <w:w w:val="90"/>
              </w:rPr>
              <w:t>Joint Venture and License Option Agreement by and between TG Therapeutics, Inc. and Novimmune S.A., dated June 18, 2018</w:t>
            </w:r>
          </w:p>
        </w:tc>
      </w:tr>
      <w:tr>
        <w:trPr>
          <w:trHeight w:val="230"/>
        </w:trPr>
        <w:tc>
          <w:tcPr>
            <w:tcW w:w="6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10.20 to the Registrant’s Form 10-Q for the quarter ended June 30, 2018). *</w:t>
            </w:r>
          </w:p>
        </w:tc>
      </w:tr>
      <w:tr>
        <w:trPr>
          <w:trHeight w:val="418"/>
        </w:trPr>
        <w:tc>
          <w:tcPr>
            <w:tcW w:w="660" w:type="dxa"/>
            <w:vAlign w:val="bottom"/>
          </w:tcPr>
          <w:p>
            <w:pPr>
              <w:spacing w:after="0"/>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10.22</w:t>
              </w:r>
            </w:hyperlink>
          </w:p>
        </w:tc>
        <w:tc>
          <w:tcPr>
            <w:tcW w:w="9540" w:type="dxa"/>
            <w:vAlign w:val="bottom"/>
          </w:tcPr>
          <w:p>
            <w:pPr>
              <w:ind w:left="280"/>
              <w:spacing w:after="0"/>
              <w:rPr>
                <w:sz w:val="20"/>
                <w:szCs w:val="20"/>
                <w:color w:val="auto"/>
              </w:rPr>
            </w:pPr>
            <w:r>
              <w:rPr>
                <w:rFonts w:ascii="Arial" w:cs="Arial" w:eastAsia="Arial" w:hAnsi="Arial"/>
                <w:sz w:val="18"/>
                <w:szCs w:val="18"/>
                <w:color w:val="auto"/>
                <w:w w:val="95"/>
              </w:rPr>
              <w:t>Master Services Agreement between Samsung Biologics Co., Ltd. and TG Therapeutics, Inc., effective February 21, 2018</w:t>
            </w:r>
          </w:p>
        </w:tc>
      </w:tr>
      <w:tr>
        <w:trPr>
          <w:trHeight w:val="230"/>
        </w:trPr>
        <w:tc>
          <w:tcPr>
            <w:tcW w:w="6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Arial" w:cs="Arial" w:eastAsia="Arial" w:hAnsi="Arial"/>
                <w:sz w:val="18"/>
                <w:szCs w:val="18"/>
                <w:color w:val="auto"/>
              </w:rPr>
              <w:t>(incorporated by reference to the Exhibit 10.2 to the Registrant’s Form 10-Q for the quarter ended June 30, 2019). *</w:t>
            </w:r>
          </w:p>
        </w:tc>
      </w:tr>
      <w:tr>
        <w:trPr>
          <w:trHeight w:val="418"/>
        </w:trPr>
        <w:tc>
          <w:tcPr>
            <w:tcW w:w="660" w:type="dxa"/>
            <w:vAlign w:val="bottom"/>
          </w:tcPr>
          <w:p>
            <w:pPr>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10.23</w:t>
              </w:r>
            </w:hyperlink>
          </w:p>
        </w:tc>
        <w:tc>
          <w:tcPr>
            <w:tcW w:w="9540" w:type="dxa"/>
            <w:vAlign w:val="bottom"/>
          </w:tcPr>
          <w:p>
            <w:pPr>
              <w:ind w:left="280"/>
              <w:spacing w:after="0"/>
              <w:rPr>
                <w:sz w:val="20"/>
                <w:szCs w:val="20"/>
                <w:color w:val="auto"/>
              </w:rPr>
            </w:pPr>
            <w:r>
              <w:rPr>
                <w:rFonts w:ascii="Arial" w:cs="Arial" w:eastAsia="Arial" w:hAnsi="Arial"/>
                <w:sz w:val="18"/>
                <w:szCs w:val="18"/>
                <w:color w:val="auto"/>
                <w:w w:val="91"/>
              </w:rPr>
              <w:t>Loan and Security Agreement, dated February 28, 2019, by and among TG Therapeutics, Inc., TG Biologics, Inc. and Hercules</w:t>
            </w:r>
          </w:p>
        </w:tc>
      </w:tr>
      <w:tr>
        <w:trPr>
          <w:trHeight w:val="216"/>
        </w:trPr>
        <w:tc>
          <w:tcPr>
            <w:tcW w:w="660" w:type="dxa"/>
            <w:vAlign w:val="bottom"/>
          </w:tcPr>
          <w:p>
            <w:pPr>
              <w:spacing w:after="0"/>
              <w:rPr>
                <w:sz w:val="18"/>
                <w:szCs w:val="18"/>
                <w:color w:val="auto"/>
              </w:rPr>
            </w:pPr>
          </w:p>
        </w:tc>
        <w:tc>
          <w:tcPr>
            <w:tcW w:w="9540" w:type="dxa"/>
            <w:vAlign w:val="bottom"/>
          </w:tcPr>
          <w:p>
            <w:pPr>
              <w:ind w:left="280"/>
              <w:spacing w:after="0"/>
              <w:rPr>
                <w:sz w:val="20"/>
                <w:szCs w:val="20"/>
                <w:color w:val="auto"/>
              </w:rPr>
            </w:pPr>
            <w:r>
              <w:rPr>
                <w:rFonts w:ascii="Arial" w:cs="Arial" w:eastAsia="Arial" w:hAnsi="Arial"/>
                <w:sz w:val="18"/>
                <w:szCs w:val="18"/>
                <w:color w:val="auto"/>
                <w:w w:val="94"/>
              </w:rPr>
              <w:t>Capital, Inc. (incorporated by reference to the Exhibit 10.2 to the Registrant’s Current Report on Form 8-K filed on March 5,</w:t>
            </w:r>
          </w:p>
        </w:tc>
      </w:tr>
      <w:tr>
        <w:trPr>
          <w:trHeight w:val="230"/>
        </w:trPr>
        <w:tc>
          <w:tcPr>
            <w:tcW w:w="6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Arial" w:cs="Arial" w:eastAsia="Arial" w:hAnsi="Arial"/>
                <w:sz w:val="18"/>
                <w:szCs w:val="18"/>
                <w:color w:val="auto"/>
              </w:rPr>
              <w:t>2019).</w:t>
            </w:r>
          </w:p>
        </w:tc>
      </w:tr>
      <w:tr>
        <w:trPr>
          <w:trHeight w:val="418"/>
        </w:trPr>
        <w:tc>
          <w:tcPr>
            <w:tcW w:w="660" w:type="dxa"/>
            <w:vAlign w:val="bottom"/>
          </w:tcPr>
          <w:p>
            <w:pPr>
              <w:spacing w:after="0"/>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10.24</w:t>
              </w:r>
            </w:hyperlink>
          </w:p>
        </w:tc>
        <w:tc>
          <w:tcPr>
            <w:tcW w:w="9540" w:type="dxa"/>
            <w:vAlign w:val="bottom"/>
          </w:tcPr>
          <w:p>
            <w:pPr>
              <w:ind w:left="280"/>
              <w:spacing w:after="0"/>
              <w:rPr>
                <w:sz w:val="20"/>
                <w:szCs w:val="20"/>
                <w:color w:val="auto"/>
              </w:rPr>
            </w:pPr>
            <w:r>
              <w:rPr>
                <w:rFonts w:ascii="Arial" w:cs="Arial" w:eastAsia="Arial" w:hAnsi="Arial"/>
                <w:sz w:val="18"/>
                <w:szCs w:val="18"/>
                <w:color w:val="auto"/>
                <w:w w:val="90"/>
              </w:rPr>
              <w:t>Warrant Agreement, dated February 28, 2019, by and between TG Therapeutics, Inc. and Hercules Capital, Inc. (incorporated by</w:t>
            </w:r>
          </w:p>
        </w:tc>
      </w:tr>
      <w:tr>
        <w:trPr>
          <w:trHeight w:val="230"/>
        </w:trPr>
        <w:tc>
          <w:tcPr>
            <w:tcW w:w="6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Arial" w:cs="Arial" w:eastAsia="Arial" w:hAnsi="Arial"/>
                <w:sz w:val="18"/>
                <w:szCs w:val="18"/>
                <w:color w:val="auto"/>
              </w:rPr>
              <w:t>reference to the Exhibit 10.3 to the Registrant’s Current Report on Form 8-K filed on March 5, 2019).</w:t>
            </w:r>
          </w:p>
        </w:tc>
      </w:tr>
      <w:tr>
        <w:trPr>
          <w:trHeight w:val="418"/>
        </w:trPr>
        <w:tc>
          <w:tcPr>
            <w:tcW w:w="660" w:type="dxa"/>
            <w:vAlign w:val="bottom"/>
          </w:tcPr>
          <w:p>
            <w:pPr>
              <w:spacing w:after="0"/>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10.25</w:t>
              </w:r>
            </w:hyperlink>
          </w:p>
        </w:tc>
        <w:tc>
          <w:tcPr>
            <w:tcW w:w="9540" w:type="dxa"/>
            <w:vAlign w:val="bottom"/>
          </w:tcPr>
          <w:p>
            <w:pPr>
              <w:ind w:left="280"/>
              <w:spacing w:after="0"/>
              <w:rPr>
                <w:sz w:val="20"/>
                <w:szCs w:val="20"/>
                <w:color w:val="auto"/>
              </w:rPr>
            </w:pPr>
            <w:r>
              <w:rPr>
                <w:rFonts w:ascii="Arial" w:cs="Arial" w:eastAsia="Arial" w:hAnsi="Arial"/>
                <w:sz w:val="18"/>
                <w:szCs w:val="18"/>
                <w:color w:val="auto"/>
                <w:w w:val="97"/>
              </w:rPr>
              <w:t>Warrant Agreement, dated February 28, 2019, by and between TG Therapeutics, Inc. and Hercules Technology III, L.P.</w:t>
            </w:r>
          </w:p>
        </w:tc>
      </w:tr>
      <w:tr>
        <w:trPr>
          <w:trHeight w:val="230"/>
        </w:trPr>
        <w:tc>
          <w:tcPr>
            <w:tcW w:w="6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Arial" w:cs="Arial" w:eastAsia="Arial" w:hAnsi="Arial"/>
                <w:sz w:val="18"/>
                <w:szCs w:val="18"/>
                <w:color w:val="auto"/>
                <w:w w:val="98"/>
              </w:rPr>
              <w:t>(incorporated by reference to the Exhibit 10.4 to the Registrant’s Current Report on Form 8-K filed on March 5, 2019).</w:t>
            </w:r>
          </w:p>
        </w:tc>
      </w:tr>
      <w:tr>
        <w:trPr>
          <w:trHeight w:val="418"/>
        </w:trPr>
        <w:tc>
          <w:tcPr>
            <w:tcW w:w="660" w:type="dxa"/>
            <w:vAlign w:val="bottom"/>
          </w:tcPr>
          <w:p>
            <w:pPr>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10.26</w:t>
              </w:r>
            </w:hyperlink>
          </w:p>
        </w:tc>
        <w:tc>
          <w:tcPr>
            <w:tcW w:w="9540" w:type="dxa"/>
            <w:vAlign w:val="bottom"/>
          </w:tcPr>
          <w:p>
            <w:pPr>
              <w:ind w:left="280"/>
              <w:spacing w:after="0"/>
              <w:rPr>
                <w:sz w:val="20"/>
                <w:szCs w:val="20"/>
                <w:color w:val="auto"/>
              </w:rPr>
            </w:pPr>
            <w:r>
              <w:rPr>
                <w:rFonts w:ascii="Arial" w:cs="Arial" w:eastAsia="Arial" w:hAnsi="Arial"/>
                <w:sz w:val="18"/>
                <w:szCs w:val="18"/>
                <w:color w:val="auto"/>
                <w:w w:val="93"/>
              </w:rPr>
              <w:t>Amended and Restated Collaboration Agreement by and between TG Therapeutics, Inc. and Checkpoint Therapeutics, Inc.,</w:t>
            </w:r>
          </w:p>
        </w:tc>
      </w:tr>
      <w:tr>
        <w:trPr>
          <w:trHeight w:val="216"/>
        </w:trPr>
        <w:tc>
          <w:tcPr>
            <w:tcW w:w="660" w:type="dxa"/>
            <w:vAlign w:val="bottom"/>
          </w:tcPr>
          <w:p>
            <w:pPr>
              <w:spacing w:after="0"/>
              <w:rPr>
                <w:sz w:val="18"/>
                <w:szCs w:val="18"/>
                <w:color w:val="auto"/>
              </w:rPr>
            </w:pPr>
          </w:p>
        </w:tc>
        <w:tc>
          <w:tcPr>
            <w:tcW w:w="9540" w:type="dxa"/>
            <w:vAlign w:val="bottom"/>
          </w:tcPr>
          <w:p>
            <w:pPr>
              <w:ind w:left="280"/>
              <w:spacing w:after="0"/>
              <w:rPr>
                <w:sz w:val="20"/>
                <w:szCs w:val="20"/>
                <w:color w:val="auto"/>
              </w:rPr>
            </w:pPr>
            <w:r>
              <w:rPr>
                <w:rFonts w:ascii="Arial" w:cs="Arial" w:eastAsia="Arial" w:hAnsi="Arial"/>
                <w:sz w:val="18"/>
                <w:szCs w:val="18"/>
                <w:color w:val="auto"/>
                <w:w w:val="93"/>
              </w:rPr>
              <w:t>dated June 19, 2019 (incorporated by reference to Exhibit 10.1 to the Registrant’s Form 10-Q for the quarter ended June 30,</w:t>
            </w:r>
          </w:p>
        </w:tc>
      </w:tr>
      <w:tr>
        <w:trPr>
          <w:trHeight w:val="230"/>
        </w:trPr>
        <w:tc>
          <w:tcPr>
            <w:tcW w:w="6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Arial" w:cs="Arial" w:eastAsia="Arial" w:hAnsi="Arial"/>
                <w:sz w:val="18"/>
                <w:szCs w:val="18"/>
                <w:color w:val="auto"/>
              </w:rPr>
              <w:t>2019). *</w:t>
            </w:r>
          </w:p>
        </w:tc>
      </w:tr>
      <w:tr>
        <w:trPr>
          <w:trHeight w:val="432"/>
        </w:trPr>
        <w:tc>
          <w:tcPr>
            <w:tcW w:w="660" w:type="dxa"/>
            <w:vAlign w:val="bottom"/>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21.1</w:t>
              </w:r>
            </w:hyperlink>
          </w:p>
        </w:tc>
        <w:tc>
          <w:tcPr>
            <w:tcW w:w="9540" w:type="dxa"/>
            <w:vAlign w:val="bottom"/>
          </w:tcPr>
          <w:p>
            <w:pPr>
              <w:ind w:left="280"/>
              <w:spacing w:after="0"/>
              <w:rPr>
                <w:sz w:val="20"/>
                <w:szCs w:val="20"/>
                <w:color w:val="auto"/>
              </w:rPr>
            </w:pPr>
            <w:r>
              <w:rPr>
                <w:rFonts w:ascii="Arial" w:cs="Arial" w:eastAsia="Arial" w:hAnsi="Arial"/>
                <w:sz w:val="18"/>
                <w:szCs w:val="18"/>
                <w:color w:val="auto"/>
              </w:rPr>
              <w:t>Subsidiaries of TG Therapeutics, Inc. #</w:t>
            </w:r>
          </w:p>
        </w:tc>
      </w:tr>
      <w:tr>
        <w:trPr>
          <w:trHeight w:val="432"/>
        </w:trPr>
        <w:tc>
          <w:tcPr>
            <w:tcW w:w="660" w:type="dxa"/>
            <w:vAlign w:val="bottom"/>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23.1</w:t>
              </w:r>
            </w:hyperlink>
          </w:p>
        </w:tc>
        <w:tc>
          <w:tcPr>
            <w:tcW w:w="9540" w:type="dxa"/>
            <w:vAlign w:val="bottom"/>
          </w:tcPr>
          <w:p>
            <w:pPr>
              <w:ind w:left="280"/>
              <w:spacing w:after="0"/>
              <w:rPr>
                <w:sz w:val="20"/>
                <w:szCs w:val="20"/>
                <w:color w:val="auto"/>
              </w:rPr>
            </w:pPr>
            <w:r>
              <w:rPr>
                <w:rFonts w:ascii="Arial" w:cs="Arial" w:eastAsia="Arial" w:hAnsi="Arial"/>
                <w:sz w:val="18"/>
                <w:szCs w:val="18"/>
                <w:color w:val="auto"/>
              </w:rPr>
              <w:t>Consent of Independent Registered Public Accounting Firm #</w:t>
            </w:r>
          </w:p>
        </w:tc>
      </w:tr>
      <w:tr>
        <w:trPr>
          <w:trHeight w:val="432"/>
        </w:trPr>
        <w:tc>
          <w:tcPr>
            <w:tcW w:w="660" w:type="dxa"/>
            <w:vAlign w:val="bottom"/>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31.1</w:t>
              </w:r>
            </w:hyperlink>
          </w:p>
        </w:tc>
        <w:tc>
          <w:tcPr>
            <w:tcW w:w="9540" w:type="dxa"/>
            <w:vAlign w:val="bottom"/>
          </w:tcPr>
          <w:p>
            <w:pPr>
              <w:ind w:left="280"/>
              <w:spacing w:after="0"/>
              <w:rPr>
                <w:sz w:val="20"/>
                <w:szCs w:val="20"/>
                <w:color w:val="auto"/>
              </w:rPr>
            </w:pPr>
            <w:r>
              <w:rPr>
                <w:rFonts w:ascii="Arial" w:cs="Arial" w:eastAsia="Arial" w:hAnsi="Arial"/>
                <w:sz w:val="18"/>
                <w:szCs w:val="18"/>
                <w:color w:val="auto"/>
              </w:rPr>
              <w:t>Certification of Principal Executive Officer #</w:t>
            </w:r>
          </w:p>
        </w:tc>
      </w:tr>
      <w:tr>
        <w:trPr>
          <w:trHeight w:val="432"/>
        </w:trPr>
        <w:tc>
          <w:tcPr>
            <w:tcW w:w="660" w:type="dxa"/>
            <w:vAlign w:val="bottom"/>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31.2</w:t>
              </w:r>
            </w:hyperlink>
          </w:p>
        </w:tc>
        <w:tc>
          <w:tcPr>
            <w:tcW w:w="9540" w:type="dxa"/>
            <w:vAlign w:val="bottom"/>
          </w:tcPr>
          <w:p>
            <w:pPr>
              <w:ind w:left="280"/>
              <w:spacing w:after="0"/>
              <w:rPr>
                <w:sz w:val="20"/>
                <w:szCs w:val="20"/>
                <w:color w:val="auto"/>
              </w:rPr>
            </w:pPr>
            <w:r>
              <w:rPr>
                <w:rFonts w:ascii="Arial" w:cs="Arial" w:eastAsia="Arial" w:hAnsi="Arial"/>
                <w:sz w:val="18"/>
                <w:szCs w:val="18"/>
                <w:color w:val="auto"/>
              </w:rPr>
              <w:t>Certification of Principal Financial Officer #</w:t>
            </w:r>
          </w:p>
        </w:tc>
      </w:tr>
      <w:tr>
        <w:trPr>
          <w:trHeight w:val="432"/>
        </w:trPr>
        <w:tc>
          <w:tcPr>
            <w:tcW w:w="66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32.1</w:t>
              </w:r>
            </w:hyperlink>
          </w:p>
        </w:tc>
        <w:tc>
          <w:tcPr>
            <w:tcW w:w="9540" w:type="dxa"/>
            <w:vAlign w:val="bottom"/>
          </w:tcPr>
          <w:p>
            <w:pPr>
              <w:ind w:left="28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 #</w:t>
            </w:r>
          </w:p>
        </w:tc>
      </w:tr>
      <w:tr>
        <w:trPr>
          <w:trHeight w:val="432"/>
        </w:trPr>
        <w:tc>
          <w:tcPr>
            <w:tcW w:w="660" w:type="dxa"/>
            <w:vAlign w:val="bottom"/>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32.2</w:t>
              </w:r>
            </w:hyperlink>
          </w:p>
        </w:tc>
        <w:tc>
          <w:tcPr>
            <w:tcW w:w="9540" w:type="dxa"/>
            <w:vAlign w:val="bottom"/>
          </w:tcPr>
          <w:p>
            <w:pPr>
              <w:ind w:left="28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 #</w:t>
            </w:r>
          </w:p>
        </w:tc>
      </w:tr>
    </w:tbl>
    <w:p>
      <w:pPr>
        <w:spacing w:after="0" w:line="202" w:lineRule="exact"/>
        <w:rPr>
          <w:sz w:val="20"/>
          <w:szCs w:val="20"/>
          <w:color w:val="auto"/>
        </w:rPr>
      </w:pPr>
    </w:p>
    <w:p>
      <w:pPr>
        <w:jc w:val="both"/>
        <w:ind w:left="950" w:hanging="950"/>
        <w:spacing w:after="0" w:line="259" w:lineRule="auto"/>
        <w:tabs>
          <w:tab w:leader="none" w:pos="9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financial information from TG Therapeutics, Inc.’s Annual Report on Form 10-K for the year ended December 31, 2020, formatted in iXBRL (Inline eXtensible Business Reporting Language): (i) Consolidated Balance Sheets, (ii) Consolidated Statements of Operations, (iii) Consolidated Statements of Stockholders’ Equity, (iv) Consolidated Statements of Cash Flows, (v) the Notes to Consolidated Financial Statements.</w:t>
      </w:r>
    </w:p>
    <w:p>
      <w:pPr>
        <w:spacing w:after="0" w:line="187" w:lineRule="exact"/>
        <w:rPr>
          <w:sz w:val="20"/>
          <w:szCs w:val="20"/>
          <w:color w:val="auto"/>
        </w:rPr>
      </w:pPr>
    </w:p>
    <w:p>
      <w:pPr>
        <w:ind w:left="10"/>
        <w:spacing w:after="0"/>
        <w:tabs>
          <w:tab w:leader="none" w:pos="93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162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5" w:lineRule="exact"/>
        <w:rPr>
          <w:sz w:val="20"/>
          <w:szCs w:val="20"/>
          <w:color w:val="auto"/>
        </w:rPr>
      </w:pPr>
    </w:p>
    <w:p>
      <w:pPr>
        <w:ind w:left="330" w:hanging="330"/>
        <w:spacing w:after="0"/>
        <w:tabs>
          <w:tab w:leader="none" w:pos="3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30" w:hanging="330"/>
        <w:spacing w:after="0"/>
        <w:tabs>
          <w:tab w:leader="none" w:pos="3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330" w:hanging="330"/>
        <w:spacing w:after="0"/>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601(b)(10) of Regulation S-K.</w:t>
      </w:r>
    </w:p>
    <w:p>
      <w:pPr>
        <w:sectPr>
          <w:pgSz w:w="11900" w:h="16838" w:orient="portrait"/>
          <w:cols w:equalWidth="0" w:num="1">
            <w:col w:w="10210"/>
          </w:cols>
          <w:pgMar w:left="830" w:top="517"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372110</wp:posOffset>
            </wp:positionV>
            <wp:extent cx="64979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10"/>
          </w:cols>
          <w:pgMar w:left="830" w:top="517" w:right="85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30"/>
        </w:trPr>
        <w:tc>
          <w:tcPr>
            <w:tcW w:w="9380" w:type="dxa"/>
            <w:vAlign w:val="bottom"/>
          </w:tcPr>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2"/>
        </w:trPr>
        <w:tc>
          <w:tcPr>
            <w:tcW w:w="9380" w:type="dxa"/>
            <w:vAlign w:val="bottom"/>
          </w:tcPr>
          <w:p>
            <w:pPr>
              <w:ind w:left="20"/>
              <w:spacing w:after="0"/>
              <w:rPr>
                <w:sz w:val="20"/>
                <w:szCs w:val="20"/>
                <w:color w:val="auto"/>
              </w:rPr>
            </w:pPr>
            <w:r>
              <w:rPr>
                <w:rFonts w:ascii="Arial" w:cs="Arial" w:eastAsia="Arial" w:hAnsi="Arial"/>
                <w:sz w:val="18"/>
                <w:szCs w:val="18"/>
                <w:b w:val="1"/>
                <w:bCs w:val="1"/>
                <w:color w:val="auto"/>
              </w:rPr>
              <w:t>TG Therapeutics, Inc.</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80" w:type="dxa"/>
            <w:vAlign w:val="bottom"/>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380" w:type="dxa"/>
            <w:vAlign w:val="bottom"/>
            <w:vMerge w:val="restart"/>
          </w:tcPr>
          <w:p>
            <w:pPr>
              <w:ind w:left="2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Report of Independent Registered Public Accounting Firm</w:t>
              </w:r>
            </w:hyperlink>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24"/>
        </w:trPr>
        <w:tc>
          <w:tcPr>
            <w:tcW w:w="9380" w:type="dxa"/>
            <w:vAlign w:val="bottom"/>
            <w:vMerge w:val="continue"/>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418"/>
        </w:trPr>
        <w:tc>
          <w:tcPr>
            <w:tcW w:w="9380" w:type="dxa"/>
            <w:vAlign w:val="bottom"/>
          </w:tcPr>
          <w:p>
            <w:pPr>
              <w:ind w:left="2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Consolidated Balance Sheets as of December 31, 2020 and 2019</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432"/>
        </w:trPr>
        <w:tc>
          <w:tcPr>
            <w:tcW w:w="9380" w:type="dxa"/>
            <w:vAlign w:val="bottom"/>
          </w:tcPr>
          <w:p>
            <w:pPr>
              <w:ind w:left="2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Consolidated Statements of Operations for the years ended December 31, 2020, 2019 and 2018</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432"/>
        </w:trPr>
        <w:tc>
          <w:tcPr>
            <w:tcW w:w="9380" w:type="dxa"/>
            <w:vAlign w:val="bottom"/>
          </w:tcPr>
          <w:p>
            <w:pPr>
              <w:ind w:left="2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Consolidated Statements of Stockholders’ Equity for the years ended December 31, 2020, 2019 and 2018</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432"/>
        </w:trPr>
        <w:tc>
          <w:tcPr>
            <w:tcW w:w="9380" w:type="dxa"/>
            <w:vAlign w:val="bottom"/>
          </w:tcPr>
          <w:p>
            <w:pPr>
              <w:ind w:left="2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Consolidated Statements of Cash Flows for the years ended December 31, 2020, 2019 and 2018</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432"/>
        </w:trPr>
        <w:tc>
          <w:tcPr>
            <w:tcW w:w="9380" w:type="dxa"/>
            <w:vAlign w:val="bottom"/>
          </w:tcPr>
          <w:p>
            <w:pPr>
              <w:ind w:left="2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Notes to Consolidated Financial Statements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878"/>
        </w:trPr>
        <w:tc>
          <w:tcPr>
            <w:tcW w:w="9380" w:type="dxa"/>
            <w:vAlign w:val="bottom"/>
          </w:tcPr>
          <w:p>
            <w:pPr>
              <w:ind w:left="5040"/>
              <w:spacing w:after="0"/>
              <w:rPr>
                <w:sz w:val="20"/>
                <w:szCs w:val="20"/>
                <w:color w:val="auto"/>
              </w:rPr>
            </w:pPr>
            <w:r>
              <w:rPr>
                <w:rFonts w:ascii="Arial" w:cs="Arial" w:eastAsia="Arial" w:hAnsi="Arial"/>
                <w:sz w:val="18"/>
                <w:szCs w:val="18"/>
                <w:color w:val="auto"/>
              </w:rPr>
              <w:t>95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17" w:right="8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audited the accompanying consolidated balance sheets of TG Therapeutics, Inc. and subsidiaries (the “Company”) as of December 31, 2020 and 2019, and the related consolidated statements of operations,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 —Integrated Framework (2013) issued by the Committee of Sponsoring Organizations of the Treadway Commission (COSO), and our report dated March 1, 2021,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553,439</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00"/>
              <w:spacing w:after="0"/>
              <w:rPr>
                <w:sz w:val="20"/>
                <w:szCs w:val="20"/>
                <w:color w:val="auto"/>
              </w:rPr>
            </w:pPr>
            <w:r>
              <w:rPr>
                <w:rFonts w:ascii="Arial" w:cs="Arial" w:eastAsia="Arial" w:hAnsi="Arial"/>
                <w:sz w:val="18"/>
                <w:szCs w:val="18"/>
                <w:color w:val="auto"/>
              </w:rPr>
              <w:t>Short-term investment securities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research and development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Equipment,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625,642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37,014</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0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Loan payable – current portion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00"/>
              <w:spacing w:after="0"/>
              <w:rPr>
                <w:sz w:val="20"/>
                <w:szCs w:val="20"/>
                <w:color w:val="auto"/>
              </w:rPr>
            </w:pPr>
            <w:r>
              <w:rPr>
                <w:rFonts w:ascii="Arial" w:cs="Arial" w:eastAsia="Arial" w:hAnsi="Arial"/>
                <w:sz w:val="18"/>
                <w:szCs w:val="18"/>
                <w:color w:val="auto"/>
              </w:rPr>
              <w:t>Lease liability – current portion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 non-current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106,292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Preferred stock, $0.001 par value per share (10,000,000 shares authorized, none issued and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as of December 31, 2020 and December 31, 2019)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tcPr>
          <w:p>
            <w:pPr>
              <w:ind w:left="400"/>
              <w:spacing w:after="0" w:line="201" w:lineRule="exact"/>
              <w:rPr>
                <w:sz w:val="20"/>
                <w:szCs w:val="20"/>
                <w:color w:val="auto"/>
              </w:rPr>
            </w:pPr>
            <w:r>
              <w:rPr>
                <w:rFonts w:ascii="Arial" w:cs="Arial" w:eastAsia="Arial" w:hAnsi="Arial"/>
                <w:sz w:val="18"/>
                <w:szCs w:val="18"/>
                <w:color w:val="auto"/>
                <w:w w:val="97"/>
              </w:rPr>
              <w:t>Common stock, $0.001 par value per share (150,000,000 shares authorized, 140,617,606 and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90"/>
              </w:rPr>
              <w:t>109,425,243 shares issued, 140,576,297 and 109,383,934 shares outstanding at December 31, 2020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and December 31, 2019, respectively)</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1,500,040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Treasury stock, at cost, 41,309 shares at December 31, 2020 and December 31, 2019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(980,597)</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519,350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625,642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TG Therapeutics, Inc. and Subsidiaries Consolidated Statements of Operations for the Years Ended December 31 (in thousands, except share and per share amounts)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stock expense associated with in-licensing agreements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rPr>
              <w:t>Noncash compensation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research and development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151,934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148,269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research and development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165,896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154,180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159,391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compensation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general and administrative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107,850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273,746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(273,594)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(169,055)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 (income), net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(279,381)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(172,871)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(173,482)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0"/>
              </w:rPr>
              <w:t>Weighted-average shares used in computing basic and diluted net loss per common share</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115,333,693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88,368,844</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75,466,813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9" w:name="page100"/>
    <w:bookmarkEnd w:id="9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 for the Years Ended December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3"/>
        </w:trPr>
        <w:tc>
          <w:tcPr>
            <w:tcW w:w="4200" w:type="dxa"/>
            <w:vAlign w:val="bottom"/>
          </w:tcPr>
          <w:p>
            <w:pPr>
              <w:spacing w:after="0"/>
              <w:rPr>
                <w:sz w:val="13"/>
                <w:szCs w:val="13"/>
                <w:color w:val="auto"/>
              </w:rPr>
            </w:pPr>
          </w:p>
        </w:tc>
        <w:tc>
          <w:tcPr>
            <w:tcW w:w="182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paid-in</w:t>
            </w:r>
          </w:p>
        </w:tc>
        <w:tc>
          <w:tcPr>
            <w:tcW w:w="1700" w:type="dxa"/>
            <w:vAlign w:val="bottom"/>
            <w:gridSpan w:val="5"/>
          </w:tcPr>
          <w:p>
            <w:pPr>
              <w:ind w:left="320"/>
              <w:spacing w:after="0"/>
              <w:rPr>
                <w:sz w:val="20"/>
                <w:szCs w:val="20"/>
                <w:color w:val="auto"/>
              </w:rPr>
            </w:pPr>
            <w:r>
              <w:rPr>
                <w:rFonts w:ascii="Arial" w:cs="Arial" w:eastAsia="Arial" w:hAnsi="Arial"/>
                <w:sz w:val="13"/>
                <w:szCs w:val="13"/>
                <w:b w:val="1"/>
                <w:bCs w:val="1"/>
                <w:color w:val="auto"/>
              </w:rPr>
              <w:t>Treasury Stock</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28"/>
        </w:trPr>
        <w:tc>
          <w:tcPr>
            <w:tcW w:w="420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2"/>
              </w:rPr>
              <w:t>capital</w:t>
            </w:r>
          </w:p>
        </w:tc>
        <w:tc>
          <w:tcPr>
            <w:tcW w:w="78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1"/>
                <w:szCs w:val="11"/>
                <w:color w:val="auto"/>
              </w:rPr>
            </w:pPr>
          </w:p>
        </w:tc>
        <w:tc>
          <w:tcPr>
            <w:tcW w:w="54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42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January 1, 2018</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73,181,750</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422,017</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(354,863)</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66,993</w:t>
            </w:r>
          </w:p>
        </w:tc>
      </w:tr>
      <w:tr>
        <w:trPr>
          <w:trHeight w:val="135"/>
        </w:trPr>
        <w:tc>
          <w:tcPr>
            <w:tcW w:w="4200" w:type="dxa"/>
            <w:vAlign w:val="bottom"/>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1,562,211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(191,196)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4200" w:type="dxa"/>
            <w:vAlign w:val="bottom"/>
          </w:tcPr>
          <w:p>
            <w:pPr>
              <w:ind w:left="20"/>
              <w:spacing w:after="0" w:line="121" w:lineRule="exact"/>
              <w:rPr>
                <w:sz w:val="20"/>
                <w:szCs w:val="20"/>
                <w:color w:val="auto"/>
              </w:rPr>
            </w:pPr>
            <w:r>
              <w:rPr>
                <w:rFonts w:ascii="Arial" w:cs="Arial" w:eastAsia="Arial" w:hAnsi="Arial"/>
                <w:sz w:val="13"/>
                <w:szCs w:val="13"/>
                <w:color w:val="auto"/>
                <w:w w:val="94"/>
              </w:rPr>
              <w:t>Issuance of common stock in At-the-Market offerings (net of offering costs of</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9"/>
        </w:trPr>
        <w:tc>
          <w:tcPr>
            <w:tcW w:w="4200" w:type="dxa"/>
            <w:vAlign w:val="bottom"/>
          </w:tcPr>
          <w:p>
            <w:pPr>
              <w:ind w:left="20"/>
              <w:spacing w:after="0"/>
              <w:rPr>
                <w:sz w:val="20"/>
                <w:szCs w:val="20"/>
                <w:color w:val="auto"/>
              </w:rPr>
            </w:pPr>
            <w:r>
              <w:rPr>
                <w:rFonts w:ascii="Arial" w:cs="Arial" w:eastAsia="Arial" w:hAnsi="Arial"/>
                <w:sz w:val="13"/>
                <w:szCs w:val="13"/>
                <w:color w:val="auto"/>
              </w:rPr>
              <w:t>$2.0 million)</w:t>
            </w:r>
          </w:p>
        </w:tc>
        <w:tc>
          <w:tcPr>
            <w:tcW w:w="760" w:type="dxa"/>
            <w:vAlign w:val="bottom"/>
          </w:tcPr>
          <w:p>
            <w:pPr>
              <w:jc w:val="right"/>
              <w:spacing w:after="0"/>
              <w:rPr>
                <w:sz w:val="20"/>
                <w:szCs w:val="20"/>
                <w:color w:val="auto"/>
              </w:rPr>
            </w:pPr>
            <w:r>
              <w:rPr>
                <w:rFonts w:ascii="Arial" w:cs="Arial" w:eastAsia="Arial" w:hAnsi="Arial"/>
                <w:sz w:val="13"/>
                <w:szCs w:val="13"/>
                <w:color w:val="auto"/>
              </w:rPr>
              <w:t>9,025,222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113,630</w:t>
            </w:r>
          </w:p>
        </w:tc>
        <w:tc>
          <w:tcPr>
            <w:tcW w:w="1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113,639</w:t>
            </w:r>
          </w:p>
        </w:tc>
      </w:tr>
      <w:tr>
        <w:trPr>
          <w:trHeight w:val="121"/>
        </w:trPr>
        <w:tc>
          <w:tcPr>
            <w:tcW w:w="42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0"/>
              </w:rPr>
              <w:t>Compensation in respect of restricted stock granted to employees, directors and</w:t>
            </w: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consultants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12,886</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12,886</w:t>
            </w:r>
          </w:p>
        </w:tc>
      </w:tr>
      <w:tr>
        <w:trPr>
          <w:trHeight w:val="135"/>
        </w:trPr>
        <w:tc>
          <w:tcPr>
            <w:tcW w:w="4200" w:type="dxa"/>
            <w:vAlign w:val="bottom"/>
          </w:tcPr>
          <w:p>
            <w:pPr>
              <w:ind w:left="20"/>
              <w:spacing w:after="0" w:line="135" w:lineRule="exact"/>
              <w:rPr>
                <w:sz w:val="20"/>
                <w:szCs w:val="20"/>
                <w:color w:val="auto"/>
              </w:rPr>
            </w:pPr>
            <w:r>
              <w:rPr>
                <w:rFonts w:ascii="Arial" w:cs="Arial" w:eastAsia="Arial" w:hAnsi="Arial"/>
                <w:sz w:val="13"/>
                <w:szCs w:val="13"/>
                <w:color w:val="auto"/>
              </w:rPr>
              <w:t>Shares issued in connection with in-licensing agreements</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333,868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4,000</w:t>
            </w:r>
          </w:p>
        </w:tc>
        <w:tc>
          <w:tcPr>
            <w:tcW w:w="18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4,000</w:t>
            </w:r>
          </w:p>
        </w:tc>
      </w:tr>
      <w:tr>
        <w:trPr>
          <w:trHeight w:val="135"/>
        </w:trPr>
        <w:tc>
          <w:tcPr>
            <w:tcW w:w="4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(173,482)</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(173,482)</w:t>
            </w:r>
          </w:p>
        </w:tc>
      </w:tr>
      <w:tr>
        <w:trPr>
          <w:trHeight w:val="128"/>
        </w:trPr>
        <w:tc>
          <w:tcPr>
            <w:tcW w:w="4200" w:type="dxa"/>
            <w:vAlign w:val="bottom"/>
          </w:tcPr>
          <w:p>
            <w:pPr>
              <w:ind w:left="20"/>
              <w:spacing w:after="0" w:line="129" w:lineRule="exact"/>
              <w:rPr>
                <w:sz w:val="20"/>
                <w:szCs w:val="20"/>
                <w:color w:val="auto"/>
              </w:rPr>
            </w:pPr>
            <w:r>
              <w:rPr>
                <w:rFonts w:ascii="Arial" w:cs="Arial" w:eastAsia="Arial" w:hAnsi="Arial"/>
                <w:sz w:val="13"/>
                <w:szCs w:val="13"/>
                <w:color w:val="auto"/>
              </w:rPr>
              <w:t>Balance at December 31, 2018</w:t>
            </w: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83,911,855</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84</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552,531</w:t>
            </w:r>
          </w:p>
        </w:tc>
        <w:tc>
          <w:tcPr>
            <w:tcW w:w="18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(528,345)</w:t>
            </w: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24,036</w:t>
            </w:r>
          </w:p>
        </w:tc>
      </w:tr>
      <w:tr>
        <w:trPr>
          <w:trHeight w:val="135"/>
        </w:trPr>
        <w:tc>
          <w:tcPr>
            <w:tcW w:w="4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1,851,520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00" w:type="dxa"/>
            <w:vAlign w:val="bottom"/>
          </w:tcPr>
          <w:p>
            <w:pPr>
              <w:ind w:left="20"/>
              <w:spacing w:after="0" w:line="135" w:lineRule="exact"/>
              <w:rPr>
                <w:sz w:val="20"/>
                <w:szCs w:val="20"/>
                <w:color w:val="auto"/>
              </w:rPr>
            </w:pPr>
            <w:r>
              <w:rPr>
                <w:rFonts w:ascii="Arial" w:cs="Arial" w:eastAsia="Arial" w:hAnsi="Arial"/>
                <w:sz w:val="13"/>
                <w:szCs w:val="13"/>
                <w:color w:val="auto"/>
              </w:rPr>
              <w:t>Warrants issued with debt financing</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993</w:t>
            </w:r>
          </w:p>
        </w:tc>
        <w:tc>
          <w:tcPr>
            <w:tcW w:w="18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993</w:t>
            </w:r>
          </w:p>
        </w:tc>
      </w:tr>
      <w:tr>
        <w:trPr>
          <w:trHeight w:val="135"/>
        </w:trPr>
        <w:tc>
          <w:tcPr>
            <w:tcW w:w="4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(116,463)</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00" w:type="dxa"/>
            <w:vAlign w:val="bottom"/>
          </w:tcPr>
          <w:p>
            <w:pPr>
              <w:ind w:left="20"/>
              <w:spacing w:after="0" w:line="135" w:lineRule="exact"/>
              <w:rPr>
                <w:sz w:val="20"/>
                <w:szCs w:val="20"/>
                <w:color w:val="auto"/>
              </w:rPr>
            </w:pPr>
            <w:r>
              <w:rPr>
                <w:rFonts w:ascii="Arial" w:cs="Arial" w:eastAsia="Arial" w:hAnsi="Arial"/>
                <w:sz w:val="13"/>
                <w:szCs w:val="13"/>
                <w:color w:val="auto"/>
                <w:w w:val="96"/>
              </w:rPr>
              <w:t>Issuance of common stock in offerings (net of offering costs of $0.2 million)</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10,149,783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77,465</w:t>
            </w:r>
          </w:p>
        </w:tc>
        <w:tc>
          <w:tcPr>
            <w:tcW w:w="18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77,475</w:t>
            </w:r>
          </w:p>
        </w:tc>
      </w:tr>
      <w:tr>
        <w:trPr>
          <w:trHeight w:val="121"/>
        </w:trPr>
        <w:tc>
          <w:tcPr>
            <w:tcW w:w="42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4"/>
              </w:rPr>
              <w:t>Issuance of common stock in At-the-Market offerings (net of offering costs of</w:t>
            </w: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 million)</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13,620,165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97,533</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97,547</w:t>
            </w:r>
          </w:p>
        </w:tc>
      </w:tr>
      <w:tr>
        <w:trPr>
          <w:trHeight w:val="121"/>
        </w:trPr>
        <w:tc>
          <w:tcPr>
            <w:tcW w:w="4200" w:type="dxa"/>
            <w:vAlign w:val="bottom"/>
          </w:tcPr>
          <w:p>
            <w:pPr>
              <w:ind w:left="20"/>
              <w:spacing w:after="0" w:line="121" w:lineRule="exact"/>
              <w:rPr>
                <w:sz w:val="20"/>
                <w:szCs w:val="20"/>
                <w:color w:val="auto"/>
              </w:rPr>
            </w:pPr>
            <w:r>
              <w:rPr>
                <w:rFonts w:ascii="Arial" w:cs="Arial" w:eastAsia="Arial" w:hAnsi="Arial"/>
                <w:sz w:val="13"/>
                <w:szCs w:val="13"/>
                <w:color w:val="auto"/>
                <w:w w:val="90"/>
              </w:rPr>
              <w:t>Compensation in respect of restricted stock granted to employees, directors and</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9"/>
        </w:trPr>
        <w:tc>
          <w:tcPr>
            <w:tcW w:w="4200" w:type="dxa"/>
            <w:vAlign w:val="bottom"/>
          </w:tcPr>
          <w:p>
            <w:pPr>
              <w:ind w:left="20"/>
              <w:spacing w:after="0"/>
              <w:rPr>
                <w:sz w:val="20"/>
                <w:szCs w:val="20"/>
                <w:color w:val="auto"/>
              </w:rPr>
            </w:pPr>
            <w:r>
              <w:rPr>
                <w:rFonts w:ascii="Arial" w:cs="Arial" w:eastAsia="Arial" w:hAnsi="Arial"/>
                <w:sz w:val="13"/>
                <w:szCs w:val="13"/>
                <w:color w:val="auto"/>
              </w:rPr>
              <w:t>consultants</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11,335</w:t>
            </w:r>
          </w:p>
        </w:tc>
        <w:tc>
          <w:tcPr>
            <w:tcW w:w="1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11,335</w:t>
            </w:r>
          </w:p>
        </w:tc>
      </w:tr>
      <w:tr>
        <w:trPr>
          <w:trHeight w:val="135"/>
        </w:trPr>
        <w:tc>
          <w:tcPr>
            <w:tcW w:w="4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Shares issued in connection with in-licensing agreements</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8,383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w:t>
            </w:r>
          </w:p>
        </w:tc>
      </w:tr>
      <w:tr>
        <w:trPr>
          <w:trHeight w:val="135"/>
        </w:trPr>
        <w:tc>
          <w:tcPr>
            <w:tcW w:w="420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(172,871)</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w w:val="93"/>
              </w:rPr>
              <w:t>(172,871)</w:t>
            </w:r>
          </w:p>
        </w:tc>
      </w:tr>
      <w:tr>
        <w:trPr>
          <w:trHeight w:val="128"/>
        </w:trPr>
        <w:tc>
          <w:tcPr>
            <w:tcW w:w="42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December 31, 2019</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109,425,243</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739,956</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(701,216)</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38,615</w:t>
            </w:r>
          </w:p>
        </w:tc>
      </w:tr>
      <w:tr>
        <w:trPr>
          <w:trHeight w:val="135"/>
        </w:trPr>
        <w:tc>
          <w:tcPr>
            <w:tcW w:w="420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35,814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146</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146</w:t>
            </w:r>
          </w:p>
        </w:tc>
      </w:tr>
      <w:tr>
        <w:trPr>
          <w:trHeight w:val="135"/>
        </w:trPr>
        <w:tc>
          <w:tcPr>
            <w:tcW w:w="4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4,909,829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0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(128,666)</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Issuance of common stock in offerings (net of offering costs of $29.9 million)</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17,043,000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462,212</w:t>
            </w: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462,229</w:t>
            </w:r>
          </w:p>
        </w:tc>
      </w:tr>
      <w:tr>
        <w:trPr>
          <w:trHeight w:val="121"/>
        </w:trPr>
        <w:tc>
          <w:tcPr>
            <w:tcW w:w="4200" w:type="dxa"/>
            <w:vAlign w:val="bottom"/>
          </w:tcPr>
          <w:p>
            <w:pPr>
              <w:ind w:left="20"/>
              <w:spacing w:after="0" w:line="121" w:lineRule="exact"/>
              <w:rPr>
                <w:sz w:val="20"/>
                <w:szCs w:val="20"/>
                <w:color w:val="auto"/>
              </w:rPr>
            </w:pPr>
            <w:r>
              <w:rPr>
                <w:rFonts w:ascii="Arial" w:cs="Arial" w:eastAsia="Arial" w:hAnsi="Arial"/>
                <w:sz w:val="13"/>
                <w:szCs w:val="13"/>
                <w:color w:val="auto"/>
                <w:w w:val="94"/>
              </w:rPr>
              <w:t>Issuance of common stock in At-the-Market offerings (net of offering costs of</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9"/>
        </w:trPr>
        <w:tc>
          <w:tcPr>
            <w:tcW w:w="4200" w:type="dxa"/>
            <w:vAlign w:val="bottom"/>
          </w:tcPr>
          <w:p>
            <w:pPr>
              <w:ind w:left="20"/>
              <w:spacing w:after="0"/>
              <w:rPr>
                <w:sz w:val="20"/>
                <w:szCs w:val="20"/>
                <w:color w:val="auto"/>
              </w:rPr>
            </w:pPr>
            <w:r>
              <w:rPr>
                <w:rFonts w:ascii="Arial" w:cs="Arial" w:eastAsia="Arial" w:hAnsi="Arial"/>
                <w:sz w:val="13"/>
                <w:szCs w:val="13"/>
                <w:color w:val="auto"/>
              </w:rPr>
              <w:t>$4.0 million)</w:t>
            </w:r>
          </w:p>
        </w:tc>
        <w:tc>
          <w:tcPr>
            <w:tcW w:w="760" w:type="dxa"/>
            <w:vAlign w:val="bottom"/>
          </w:tcPr>
          <w:p>
            <w:pPr>
              <w:jc w:val="right"/>
              <w:spacing w:after="0"/>
              <w:rPr>
                <w:sz w:val="20"/>
                <w:szCs w:val="20"/>
                <w:color w:val="auto"/>
              </w:rPr>
            </w:pPr>
            <w:r>
              <w:rPr>
                <w:rFonts w:ascii="Arial" w:cs="Arial" w:eastAsia="Arial" w:hAnsi="Arial"/>
                <w:sz w:val="13"/>
                <w:szCs w:val="13"/>
                <w:color w:val="auto"/>
              </w:rPr>
              <w:t>9,332,386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217,442</w:t>
            </w:r>
          </w:p>
        </w:tc>
        <w:tc>
          <w:tcPr>
            <w:tcW w:w="1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217,452</w:t>
            </w:r>
          </w:p>
        </w:tc>
      </w:tr>
      <w:tr>
        <w:trPr>
          <w:trHeight w:val="121"/>
        </w:trPr>
        <w:tc>
          <w:tcPr>
            <w:tcW w:w="42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0"/>
              </w:rPr>
              <w:t>Compensation in respect of restricted stock granted to employees, directors and</w:t>
            </w: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consultants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80,289</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80,289</w:t>
            </w:r>
          </w:p>
        </w:tc>
      </w:tr>
      <w:tr>
        <w:trPr>
          <w:trHeight w:val="135"/>
        </w:trPr>
        <w:tc>
          <w:tcPr>
            <w:tcW w:w="420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(279,381)</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w w:val="93"/>
              </w:rPr>
              <w:t>(279,381)</w:t>
            </w:r>
          </w:p>
        </w:tc>
      </w:tr>
      <w:tr>
        <w:trPr>
          <w:trHeight w:val="128"/>
        </w:trPr>
        <w:tc>
          <w:tcPr>
            <w:tcW w:w="420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December 31, 2020</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140,617,606</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1,500,040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(980,597)</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519,350</w:t>
            </w:r>
          </w:p>
        </w:tc>
      </w:tr>
      <w:tr>
        <w:trPr>
          <w:trHeight w:val="20"/>
        </w:trPr>
        <w:tc>
          <w:tcPr>
            <w:tcW w:w="4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162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Amount less than one thousand dollars.</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20" w:top="517" w:right="8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line="275" w:lineRule="auto"/>
        <w:rPr>
          <w:sz w:val="20"/>
          <w:szCs w:val="20"/>
          <w:color w:val="auto"/>
        </w:rPr>
      </w:pPr>
      <w:r>
        <w:rPr>
          <w:rFonts w:ascii="Arial" w:cs="Arial" w:eastAsia="Arial" w:hAnsi="Arial"/>
          <w:sz w:val="18"/>
          <w:szCs w:val="18"/>
          <w:b w:val="1"/>
          <w:bCs w:val="1"/>
          <w:color w:val="auto"/>
        </w:rPr>
        <w:t>TG Therapeutics, Inc. and Subsidiaries Consolidated Statements of Cash Flows for the Years Ended December 31 (in thousands)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(279,381)</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(172,871)</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stock compensation expense</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80,289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11,335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Shares issued in connection with in-licensing agreement</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Amortization of premium on investment securities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debt issuance costs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Amortization of leasehold interest</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change in lease liability and right of use asset</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Change in fair value of notes payable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Decrease (increase) in other current assets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2,263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1,395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accrued interest receivable</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accounts payable and accrued expenses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11,631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(4,795)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10,957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(Decrease) increase in lease liabilities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(Decrease) increase in interest payable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1,491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(Decrease) increase in other liabilities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(31,462)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28,810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Decrease in deferred revenue</w:t>
            </w: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used in operating activities</w:t>
            </w:r>
          </w:p>
        </w:tc>
        <w:tc>
          <w:tcPr>
            <w:tcW w:w="7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(214,507)</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(132,806)</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(128,925)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Proceeds from maturity of short-term securities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43,250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29,250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held-to-maturity securities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(67,403)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(29,837)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Purchases of equipment</w:t>
            </w: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(357)</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(used in) provided by investing activities</w:t>
            </w:r>
          </w:p>
        </w:tc>
        <w:tc>
          <w:tcPr>
            <w:tcW w:w="7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(24,510)</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(718)</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Proceeds from sale of common stock, net</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679,680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175,021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113,639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options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Proceeds from debt financings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29,987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costs paid</w:t>
            </w:r>
          </w:p>
        </w:tc>
        <w:tc>
          <w:tcPr>
            <w:tcW w:w="7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(795)</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provided by financing activities</w:t>
            </w: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679,827</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204,213</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113,639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NET INCREASE (DECREASE) IN CASH, CASH EQUIVALENTS AND RESTRICTED CASH</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440,810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70,689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(14,106)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YEAR</w:t>
            </w: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113,888</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43,199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57,305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CASH, CASH EQUIVALENTS AND RESTRICTED CASH AT END OF YEAR</w:t>
            </w:r>
          </w:p>
        </w:tc>
        <w:tc>
          <w:tcPr>
            <w:tcW w:w="9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554,698</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113,888</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43,199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Reconciliation to amounts on consolidated balance sheets: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9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553,439</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112,637</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41,958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7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1,259</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1,251</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40" w:type="dxa"/>
            <w:vAlign w:val="bottom"/>
            <w:tcBorders>
              <w:bottom w:val="single" w:sz="8" w:color="CCEEFF"/>
            </w:tcBorders>
          </w:tcPr>
          <w:p>
            <w:pPr>
              <w:ind w:left="8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7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554,698</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113,888</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43,199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Cash paid for:</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Interest</w:t>
            </w: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4,501</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2,622</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TRANSACTIONS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9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988</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issued with debt financing</w:t>
            </w: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4"/>
                <w:szCs w:val="14"/>
                <w:color w:val="auto"/>
              </w:rPr>
              <w:t>Shares issued in connection with in-licensing</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3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requires otherwise, references in this report to “TG,” “Company,” “we,” “us” and “our” refer to TG Therapeutics,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our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TG Therapeutics is a fully-integrated, commercial stage biopharmaceutical company focused on the acquisition, development and commercialization of novel treatments for B-cell malignancies and autoimmune diseases. In addition to an active research pipeline including five investigational medicines across these therapeutic areas, we have received accelerated approval from the U.S. Food and Drug Administration (FDA) for UKONIQ (umbralisib), for the treatment of adult patients with relapsed or refractory marginal zone lymphoma who have received at least one prior anti-CD20-based regimen and relapsed or refractory follicular lymphoma who have received at least three prior lines of systemic therapies. Currently, we have two programs in Phase 3 development for the treatment of patients with relapsing forms of multiple sclerosis (RMS) and patients with chronic lymphocytic leukemia (CLL) and several investigational medicines in Phase 1 clinical development. We also actively evaluate complementary products, technologies and companies for in-licensing, partnership, acquisition and/or investment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have incurred operating losses since our inception, and expect to continue to incur operating losses for the foreseeable future and may never become profitable. As of December 31, 2020, we have an accumulated deficit of $980.6 million.</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major sources of cash have been proceeds from the private placement and public offering of equity securities, and in 2019 from our loan and security agreement executed with Hercules Capital, Inc. (“Hercules”) (see Note 7 for more information). As of December 31, 2020 we had not yet generated revenue from drug sales of UKONIQ. UKONIQ first became commercially available in the United States in February of 2021. Even with the commercialization of UKONIQ and the future commercialization of our other drug candidates, we may not become profitable. Our ability to achieve profitability depends on our ability to generate revenue and many other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31, 2020, we had $605.4 million in cash and cash equivalents, and investment securities. We anticipate that our cash and cash equivalents, and investment securities as of December 31, 2020 will provide sufficient liquidity for more than a twelve-month period from the date of filing this Annual Report on Form 10-K , during which time the Company plans to continue to commercialize UKONIQ in the United States, which commenced in February 2021.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quoted on the Nasdaq Capital Market and trades under the symbol “TGTX.”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July 2018, the Financial Accounting Standards Board ("FASB") issued Accounting Standards Update (“ASU”) No. 2018-11, </w:t>
      </w:r>
      <w:r>
        <w:rPr>
          <w:rFonts w:ascii="Arial" w:cs="Arial" w:eastAsia="Arial" w:hAnsi="Arial"/>
          <w:sz w:val="17"/>
          <w:szCs w:val="17"/>
          <w:i w:val="1"/>
          <w:iCs w:val="1"/>
          <w:color w:val="auto"/>
        </w:rPr>
        <w:t xml:space="preserve">Leases - Targeted Improvements </w:t>
      </w:r>
      <w:r>
        <w:rPr>
          <w:rFonts w:ascii="Arial" w:cs="Arial" w:eastAsia="Arial" w:hAnsi="Arial"/>
          <w:sz w:val="17"/>
          <w:szCs w:val="17"/>
          <w:color w:val="auto"/>
        </w:rPr>
        <w:t>(“ASU 2018-11”) as an update to ASU 2016-02,</w:t>
      </w:r>
      <w:r>
        <w:rPr>
          <w:rFonts w:ascii="Arial" w:cs="Arial" w:eastAsia="Arial" w:hAnsi="Arial"/>
          <w:sz w:val="17"/>
          <w:szCs w:val="17"/>
          <w:i w:val="1"/>
          <w:iCs w:val="1"/>
          <w:color w:val="auto"/>
        </w:rPr>
        <w:t xml:space="preserve"> Leases </w:t>
      </w:r>
      <w:r>
        <w:rPr>
          <w:rFonts w:ascii="Arial" w:cs="Arial" w:eastAsia="Arial" w:hAnsi="Arial"/>
          <w:sz w:val="17"/>
          <w:szCs w:val="17"/>
          <w:color w:val="auto"/>
        </w:rPr>
        <w:t>(“ASU 2016-02” or “Topic 842”) issued on</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Accounting Standards Codification (“ASC”)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ASU 2018-11 is effective for public business entities for fiscal years beginning after December 15, 2018, and interim periods within those fiscal years, with earlier adoption permitted. The Company adopted ASU 2018-11 on January 1, 2019 using a modified retrospective method and will not restate comparative periods. We elected the package of practical expedients permitted under the transition guidance, which allows us to carry forward our historical lease classification and our assessment on whether a contract is or contains a lease. The adoption of this guidance resulted in the addition of material balances of ROU assets and lease liabilities to our consolidated balance sheets at January 1, 2019, primarily relating to our lease of office space (see Note 8). The impact to our consolidated statements of operations was not material as a result of this standard.</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(“ASU 2018-07”). ASU 2018-07 expands the scope of FASB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ASU 2018-07 is effective for public business entities for fiscal years beginning after December 15, 2018, including interim periods within that fiscal year. Early adoption is permitted, but no earlier than an entity’s adoption date of Topic 606.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On an ongoing basis, we evaluate our estimates and judgments, including those related to accrued clinical trial expenses and stock-based compensation. Actual results could differ from those estimates. Such differences could be material to the financial statements.</w:t>
      </w:r>
    </w:p>
    <w:p>
      <w:pPr>
        <w:sectPr>
          <w:pgSz w:w="11900" w:h="16838" w:orient="portrait"/>
          <w:cols w:equalWidth="0" w:num="1">
            <w:col w:w="10220"/>
          </w:cols>
          <w:pgMar w:left="840" w:top="517" w:right="839" w:bottom="1440" w:gutter="0" w:footer="0" w:header="0"/>
        </w:sect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379730</wp:posOffset>
            </wp:positionV>
            <wp:extent cx="6497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treat liquid investments with original maturities of less than three months when purchased as cash and cash equivalents.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record cash pledged or held in trust as restricted cash. As of December 31, 2020 and 2019, we have approximately $1.3 million of restricted cash pledged to secure a line of credit as a security deposit for an Office Agreement (see Note 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Investment securities at both December 31, 2020 and 2019 consist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Dividend and interest income are recognized when earned.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Effective January 1, 2018, the Company began recognizing revenue under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using the modified retrospective transition method. The impact of adopting the new revenue standard was not material to our consolidated financial statements and there was no adjustment to beginning retained earnings on January 1, 2018. The core principle of this new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92" w:lineRule="exact"/>
        <w:rPr>
          <w:sz w:val="20"/>
          <w:szCs w:val="20"/>
          <w:color w:val="auto"/>
        </w:rPr>
      </w:pPr>
    </w:p>
    <w:p>
      <w:pPr>
        <w:ind w:left="980" w:hanging="315"/>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225" w:lineRule="exact"/>
        <w:rPr>
          <w:rFonts w:ascii="Arial" w:cs="Arial" w:eastAsia="Arial" w:hAnsi="Arial"/>
          <w:sz w:val="18"/>
          <w:szCs w:val="18"/>
          <w:color w:val="auto"/>
        </w:rPr>
      </w:pPr>
    </w:p>
    <w:p>
      <w:pPr>
        <w:ind w:left="980" w:hanging="315"/>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225" w:lineRule="exact"/>
        <w:rPr>
          <w:rFonts w:ascii="Arial" w:cs="Arial" w:eastAsia="Arial" w:hAnsi="Arial"/>
          <w:sz w:val="18"/>
          <w:szCs w:val="18"/>
          <w:color w:val="auto"/>
        </w:rPr>
      </w:pPr>
    </w:p>
    <w:p>
      <w:pPr>
        <w:ind w:left="980" w:hanging="315"/>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225" w:lineRule="exact"/>
        <w:rPr>
          <w:rFonts w:ascii="Arial" w:cs="Arial" w:eastAsia="Arial" w:hAnsi="Arial"/>
          <w:sz w:val="18"/>
          <w:szCs w:val="18"/>
          <w:color w:val="auto"/>
        </w:rPr>
      </w:pPr>
    </w:p>
    <w:p>
      <w:pPr>
        <w:ind w:left="980" w:hanging="315"/>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225" w:lineRule="exact"/>
        <w:rPr>
          <w:rFonts w:ascii="Arial" w:cs="Arial" w:eastAsia="Arial" w:hAnsi="Arial"/>
          <w:sz w:val="18"/>
          <w:szCs w:val="18"/>
          <w:color w:val="auto"/>
        </w:rPr>
      </w:pPr>
    </w:p>
    <w:p>
      <w:pPr>
        <w:ind w:left="980" w:hanging="315"/>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84" w:lineRule="exact"/>
        <w:rPr>
          <w:sz w:val="20"/>
          <w:szCs w:val="20"/>
          <w:color w:val="auto"/>
        </w:rPr>
      </w:pPr>
    </w:p>
    <w:p>
      <w:pPr>
        <w:ind w:left="980" w:right="20" w:hanging="315"/>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customer can benefit from the good or service either on its own or together with other resources that are readily available to the customer (i.e., the good or service is capable of being distinct).</w:t>
      </w:r>
    </w:p>
    <w:p>
      <w:pPr>
        <w:spacing w:after="0" w:line="170" w:lineRule="exact"/>
        <w:rPr>
          <w:rFonts w:ascii="Arial" w:cs="Arial" w:eastAsia="Arial" w:hAnsi="Arial"/>
          <w:sz w:val="18"/>
          <w:szCs w:val="18"/>
          <w:color w:val="auto"/>
        </w:rPr>
      </w:pPr>
    </w:p>
    <w:p>
      <w:pPr>
        <w:ind w:left="980" w:right="20" w:hanging="315"/>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certain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Judgments and estimates must be made and used in determining the accrued balance and expense in any accounting period for expenses that are not explicitly defined by contractual rates and terms.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an initial negotiation and vary from contract to contract. Payments under these contracts may be uneven, and depend on factors such as the achievement of certain events, the successful recruitment of patients, the completion of portions of the clinical trial or similar conditions. As such, certain expense accruals related to clinical site costs are recognized based on our estimate of the degree of performance of the event or events specified in the specific clinical study or trial contract.</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Prepaid research and development in our consolidated balance sheets includes, among other things, costs related to agreements with CROs, certain costs to third-party service providers related to development and manufacturing services as well as clinical development. These agreements often require payments in advance of services performed or goods received. Accordingly, as of December 31, 2020 and December 31, 2019, we recorded approximately $5.2 million and $8.1 million, respectively, in prepaid research and development related to such advance agreements.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5" w:name="page106"/>
    <w:bookmarkEnd w:id="10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20" w:firstLine="648"/>
        <w:spacing w:after="0" w:line="293"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64"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 Refer to Note 9 for further information on impact of tax reform.</w:t>
      </w:r>
    </w:p>
    <w:p>
      <w:pPr>
        <w:spacing w:after="0" w:line="188" w:lineRule="exact"/>
        <w:rPr>
          <w:sz w:val="20"/>
          <w:szCs w:val="20"/>
          <w:color w:val="auto"/>
        </w:rPr>
      </w:pPr>
    </w:p>
    <w:p>
      <w:pPr>
        <w:jc w:val="both"/>
        <w:ind w:left="20" w:firstLine="648"/>
        <w:spacing w:after="0" w:line="259" w:lineRule="auto"/>
        <w:rPr>
          <w:sz w:val="20"/>
          <w:szCs w:val="20"/>
          <w:color w:val="auto"/>
        </w:rPr>
      </w:pPr>
      <w:r>
        <w:rPr>
          <w:rFonts w:ascii="Arial" w:cs="Arial" w:eastAsia="Arial" w:hAnsi="Arial"/>
          <w:sz w:val="18"/>
          <w:szCs w:val="18"/>
          <w:color w:val="auto"/>
        </w:rPr>
        <w:t>The Coronavirus Aid, Relief, and Economic Security Act of 2020 (“CARES Act”) was enacted on March 27, 2020 in response to the economic fallout of the COVID-19 pandemic in the United States. There are several provisions of the CARES Act that were considered in the December 31, 2020 year-end tax provision. However, the Company chose not to utilize any provisions or participate in certain programs due to lack of a benefit to the Company.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left="20" w:firstLine="648"/>
        <w:spacing w:after="0" w:line="259" w:lineRule="auto"/>
        <w:rPr>
          <w:sz w:val="20"/>
          <w:szCs w:val="20"/>
          <w:color w:val="auto"/>
        </w:rPr>
      </w:pPr>
      <w:r>
        <w:rPr>
          <w:rFonts w:ascii="Arial" w:cs="Arial" w:eastAsia="Arial" w:hAnsi="Arial"/>
          <w:sz w:val="18"/>
          <w:szCs w:val="18"/>
          <w:color w:val="auto"/>
        </w:rPr>
        <w:t>We recognize all stock-based payments to employees and non-employee directors (as compensation for service) as noncash compensation expense in the consolidated financial statements based on the fair values of such payments. Stock-based compensation expense recognized each period is based on the value of the portion of stock-based payment awards that is ultimately expected to vest during the period. Forfeitures are recognized as they occur.</w:t>
      </w:r>
    </w:p>
    <w:p>
      <w:pPr>
        <w:spacing w:after="0" w:line="187"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 parties vest upon achievement of certain milestones, the total expense is uncertain. Compensation expense for such awards that vest upon the achievement of milestones is recognized when the achievement of such milestones becomes probable.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7"/>
          <w:szCs w:val="17"/>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amounts of potentially dilutive securities excluded from the calculation were 11,976,276, 8,361,739 and 6,528,932 at December 31, 2020, 2019 and 2018, respectively. During the years ended December 31, 2020, 2019 and 2018, the Company incurred a net loss; therefore, all of the securities are antidilutive and excluded from the computation of diluted loss per share.</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60" w:type="dxa"/>
            <w:vAlign w:val="bottom"/>
          </w:tcPr>
          <w:p>
            <w:pPr>
              <w:jc w:val="right"/>
              <w:ind w:right="316"/>
              <w:spacing w:after="0" w:line="142" w:lineRule="exact"/>
              <w:rPr>
                <w:sz w:val="20"/>
                <w:szCs w:val="20"/>
                <w:color w:val="auto"/>
              </w:rPr>
            </w:pPr>
            <w:r>
              <w:rPr>
                <w:rFonts w:ascii="Arial" w:cs="Arial" w:eastAsia="Arial" w:hAnsi="Arial"/>
                <w:sz w:val="14"/>
                <w:szCs w:val="14"/>
                <w:b w:val="1"/>
                <w:bCs w:val="1"/>
                <w:color w:val="auto"/>
              </w:rPr>
              <w:t>2020</w:t>
            </w:r>
          </w:p>
        </w:tc>
        <w:tc>
          <w:tcPr>
            <w:tcW w:w="104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8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w:t>
            </w:r>
          </w:p>
        </w:tc>
        <w:tc>
          <w:tcPr>
            <w:tcW w:w="3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9,285,020</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5,591,786</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4,595,689</w:t>
            </w:r>
          </w:p>
        </w:tc>
      </w:tr>
      <w:tr>
        <w:trPr>
          <w:trHeight w:val="216"/>
        </w:trPr>
        <w:tc>
          <w:tcPr>
            <w:tcW w:w="2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Options</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2,526,166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2,605,730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1,916,900</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Shares issuable upon note conversion</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18,032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17,165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16,343</w:t>
            </w: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11,976,276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8,361,739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6,528,932</w:t>
            </w: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260" w:type="dxa"/>
            <w:vAlign w:val="bottom"/>
            <w:gridSpan w:val="2"/>
          </w:tcPr>
          <w:p>
            <w:pPr>
              <w:jc w:val="right"/>
              <w:ind w:right="2736"/>
              <w:spacing w:after="0"/>
              <w:rPr>
                <w:sz w:val="20"/>
                <w:szCs w:val="20"/>
                <w:color w:val="auto"/>
              </w:rPr>
            </w:pPr>
            <w:r>
              <w:rPr>
                <w:rFonts w:ascii="Arial" w:cs="Arial" w:eastAsia="Arial" w:hAnsi="Arial"/>
                <w:sz w:val="18"/>
                <w:szCs w:val="18"/>
                <w:color w:val="auto"/>
              </w:rPr>
              <w:t>F-10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517" w:right="839" w:bottom="1440" w:gutter="0" w:footer="0" w:header="0"/>
        </w:sectPr>
      </w:pPr>
    </w:p>
    <w:bookmarkStart w:id="106" w:name="page107"/>
    <w:bookmarkEnd w:id="10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LONG-LIVED ASSETS AND GOODWILL</w:t>
      </w:r>
    </w:p>
    <w:p>
      <w:pPr>
        <w:spacing w:after="0" w:line="229" w:lineRule="exact"/>
        <w:rPr>
          <w:sz w:val="20"/>
          <w:szCs w:val="20"/>
          <w:color w:val="auto"/>
        </w:rPr>
      </w:pPr>
    </w:p>
    <w:p>
      <w:pPr>
        <w:jc w:val="both"/>
        <w:ind w:left="20" w:firstLine="648"/>
        <w:spacing w:after="0" w:line="275" w:lineRule="auto"/>
        <w:rPr>
          <w:sz w:val="20"/>
          <w:szCs w:val="20"/>
          <w:color w:val="auto"/>
        </w:rPr>
      </w:pPr>
      <w:r>
        <w:rPr>
          <w:rFonts w:ascii="Arial" w:cs="Arial" w:eastAsia="Arial" w:hAnsi="Arial"/>
          <w:sz w:val="17"/>
          <w:szCs w:val="17"/>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76"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7"/>
          <w:szCs w:val="17"/>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 There was no impairment to goodwill as of December 31, 2020.</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 – 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cash and cash equivalents at December 31,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Checking and bank deposits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399,879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Money market funds</w:t>
            </w:r>
          </w:p>
        </w:tc>
        <w:tc>
          <w:tcPr>
            <w:tcW w:w="4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553,439</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420" w:type="dxa"/>
            <w:vAlign w:val="bottom"/>
            <w:gridSpan w:val="2"/>
          </w:tcPr>
          <w:p>
            <w:pPr>
              <w:jc w:val="right"/>
              <w:ind w:right="2547"/>
              <w:spacing w:after="0"/>
              <w:rPr>
                <w:sz w:val="20"/>
                <w:szCs w:val="20"/>
                <w:color w:val="auto"/>
              </w:rPr>
            </w:pPr>
            <w:r>
              <w:rPr>
                <w:rFonts w:ascii="Arial" w:cs="Arial" w:eastAsia="Arial" w:hAnsi="Arial"/>
                <w:sz w:val="18"/>
                <w:szCs w:val="18"/>
                <w:color w:val="auto"/>
              </w:rPr>
              <w:t>F-11</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17" w:right="839" w:bottom="1440" w:gutter="0" w:footer="0" w:header="0"/>
        </w:sectPr>
      </w:pPr>
    </w:p>
    <w:bookmarkStart w:id="107" w:name="page108"/>
    <w:bookmarkEnd w:id="107"/>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3 – INVESTMENT SECURITIES</w:t>
      </w:r>
    </w:p>
    <w:p>
      <w:pPr>
        <w:spacing w:after="0" w:line="229" w:lineRule="exact"/>
        <w:rPr>
          <w:sz w:val="20"/>
          <w:szCs w:val="20"/>
          <w:color w:val="auto"/>
        </w:rPr>
      </w:pPr>
    </w:p>
    <w:p>
      <w:pPr>
        <w:jc w:val="both"/>
        <w:ind w:left="20" w:firstLine="648"/>
        <w:spacing w:after="0" w:line="277" w:lineRule="auto"/>
        <w:rPr>
          <w:sz w:val="20"/>
          <w:szCs w:val="20"/>
          <w:color w:val="auto"/>
        </w:rPr>
      </w:pPr>
      <w:r>
        <w:rPr>
          <w:rFonts w:ascii="Arial" w:cs="Arial" w:eastAsia="Arial" w:hAnsi="Arial"/>
          <w:sz w:val="18"/>
          <w:szCs w:val="18"/>
          <w:color w:val="auto"/>
        </w:rPr>
        <w:t>Our investments as of December 31, 2020 and 2019 are classified as held-to-maturity. Held-to-maturity investments are recorded at amortized cost.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December 31, 2020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0"/>
                <w:szCs w:val="10"/>
                <w:color w:val="auto"/>
              </w:rPr>
            </w:pPr>
          </w:p>
        </w:tc>
        <w:tc>
          <w:tcPr>
            <w:tcW w:w="9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Estimated fair</w:t>
            </w: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adjusted</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 gains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 losses</w:t>
            </w:r>
          </w:p>
        </w:tc>
        <w:tc>
          <w:tcPr>
            <w:tcW w:w="20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20" w:type="dxa"/>
            <w:vAlign w:val="bottom"/>
          </w:tcPr>
          <w:p>
            <w:pPr>
              <w:ind w:left="20"/>
              <w:spacing w:after="0" w:line="201" w:lineRule="exact"/>
              <w:rPr>
                <w:sz w:val="20"/>
                <w:szCs w:val="20"/>
                <w:color w:val="auto"/>
              </w:rPr>
            </w:pPr>
            <w:r>
              <w:rPr>
                <w:rFonts w:ascii="Arial" w:cs="Arial" w:eastAsia="Arial" w:hAnsi="Arial"/>
                <w:sz w:val="18"/>
                <w:szCs w:val="18"/>
                <w:color w:val="auto"/>
                <w:w w:val="95"/>
              </w:rPr>
              <w:t>Obligations of domestic governmental agencies (maturing between January 2021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and December 2021) (held-to-maturity)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51,987</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51,984</w:t>
            </w:r>
          </w:p>
        </w:tc>
        <w:tc>
          <w:tcPr>
            <w:tcW w:w="0" w:type="dxa"/>
            <w:vAlign w:val="bottom"/>
          </w:tcPr>
          <w:p>
            <w:pPr>
              <w:spacing w:after="0"/>
              <w:rPr>
                <w:sz w:val="1"/>
                <w:szCs w:val="1"/>
                <w:color w:val="auto"/>
              </w:rPr>
            </w:pPr>
          </w:p>
        </w:tc>
      </w:tr>
      <w:tr>
        <w:trPr>
          <w:trHeight w:val="209"/>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6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0"/>
                <w:szCs w:val="10"/>
                <w:color w:val="auto"/>
              </w:rPr>
            </w:pPr>
          </w:p>
        </w:tc>
        <w:tc>
          <w:tcPr>
            <w:tcW w:w="9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Estimated fair</w:t>
            </w: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adjusted</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 gains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 losses</w:t>
            </w:r>
          </w:p>
        </w:tc>
        <w:tc>
          <w:tcPr>
            <w:tcW w:w="20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20" w:type="dxa"/>
            <w:vAlign w:val="bottom"/>
          </w:tcPr>
          <w:p>
            <w:pPr>
              <w:ind w:left="20"/>
              <w:spacing w:after="0" w:line="201" w:lineRule="exact"/>
              <w:rPr>
                <w:sz w:val="20"/>
                <w:szCs w:val="20"/>
                <w:color w:val="auto"/>
              </w:rPr>
            </w:pPr>
            <w:r>
              <w:rPr>
                <w:rFonts w:ascii="Arial" w:cs="Arial" w:eastAsia="Arial" w:hAnsi="Arial"/>
                <w:sz w:val="18"/>
                <w:szCs w:val="18"/>
                <w:color w:val="auto"/>
                <w:w w:val="95"/>
              </w:rPr>
              <w:t>Obligations of domestic governmental agencies (maturing between January 2020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and September 2020) (held-to-maturity)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27,798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27,826</w:t>
            </w: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 securities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27,826</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4" w:lineRule="exact"/>
        <w:rPr>
          <w:sz w:val="20"/>
          <w:szCs w:val="20"/>
          <w:color w:val="auto"/>
        </w:rPr>
      </w:pPr>
    </w:p>
    <w:p>
      <w:pPr>
        <w:ind w:left="1000" w:hanging="315"/>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117" w:lineRule="exact"/>
        <w:rPr>
          <w:rFonts w:ascii="Arial" w:cs="Arial" w:eastAsia="Arial" w:hAnsi="Arial"/>
          <w:sz w:val="18"/>
          <w:szCs w:val="18"/>
          <w:color w:val="auto"/>
        </w:rPr>
      </w:pPr>
    </w:p>
    <w:p>
      <w:pPr>
        <w:ind w:left="1000" w:hanging="315"/>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117" w:lineRule="exact"/>
        <w:rPr>
          <w:rFonts w:ascii="Arial" w:cs="Arial" w:eastAsia="Arial" w:hAnsi="Arial"/>
          <w:sz w:val="18"/>
          <w:szCs w:val="18"/>
          <w:color w:val="auto"/>
        </w:rPr>
      </w:pPr>
    </w:p>
    <w:p>
      <w:pPr>
        <w:ind w:left="1000" w:hanging="315"/>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jc w:val="both"/>
        <w:ind w:left="20" w:right="20" w:firstLine="648"/>
        <w:spacing w:after="0" w:line="277" w:lineRule="auto"/>
        <w:rPr>
          <w:sz w:val="20"/>
          <w:szCs w:val="20"/>
          <w:color w:val="auto"/>
        </w:rPr>
      </w:pPr>
      <w:r>
        <w:rPr>
          <w:rFonts w:ascii="Arial" w:cs="Arial" w:eastAsia="Arial" w:hAnsi="Arial"/>
          <w:sz w:val="18"/>
          <w:szCs w:val="18"/>
          <w:color w:val="auto"/>
        </w:rPr>
        <w:t>As of December 31, 2020 and 2019, the fair values of cash and cash equivalents, restricted cash, and notes and interest payable approximate their carrying value.</w:t>
      </w:r>
    </w:p>
    <w:p>
      <w:pPr>
        <w:spacing w:after="0" w:line="170" w:lineRule="exact"/>
        <w:rPr>
          <w:sz w:val="20"/>
          <w:szCs w:val="20"/>
          <w:color w:val="auto"/>
        </w:rPr>
      </w:pPr>
    </w:p>
    <w:p>
      <w:pPr>
        <w:jc w:val="both"/>
        <w:ind w:left="20" w:firstLine="648"/>
        <w:spacing w:after="0" w:line="254" w:lineRule="auto"/>
        <w:rPr>
          <w:sz w:val="20"/>
          <w:szCs w:val="20"/>
          <w:color w:val="auto"/>
        </w:rPr>
      </w:pPr>
      <w:r>
        <w:rPr>
          <w:rFonts w:ascii="Arial" w:cs="Arial" w:eastAsia="Arial" w:hAnsi="Arial"/>
          <w:sz w:val="18"/>
          <w:szCs w:val="18"/>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cumulative liability including accrued and unpaid interest of the 5% Notes was approximately $20.3 million at December 31, 2020 and $19.3 million at December 31, 2019. No payments have been made on the 5% Notes through December 31, 2020.</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December 31, 2020 and 2019.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provide the fair value measurements of applicable financial liabilities as of December 31, 2020 and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400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w w:val="99"/>
              </w:rPr>
              <w:t>Financial liabilities at fair value as of December 31, 2020</w:t>
            </w:r>
          </w:p>
        </w:tc>
        <w:tc>
          <w:tcPr>
            <w:tcW w:w="0" w:type="dxa"/>
            <w:vAlign w:val="bottom"/>
          </w:tcPr>
          <w:p>
            <w:pPr>
              <w:spacing w:after="0"/>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8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8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88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88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7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1"/>
          </w:tcPr>
          <w:p>
            <w:pPr>
              <w:jc w:val="right"/>
              <w:ind w:right="194"/>
              <w:spacing w:after="0"/>
              <w:rPr>
                <w:sz w:val="20"/>
                <w:szCs w:val="20"/>
                <w:color w:val="auto"/>
              </w:rPr>
            </w:pPr>
            <w:r>
              <w:rPr>
                <w:rFonts w:ascii="Arial" w:cs="Arial" w:eastAsia="Arial" w:hAnsi="Arial"/>
                <w:sz w:val="14"/>
                <w:szCs w:val="14"/>
                <w:b w:val="1"/>
                <w:bCs w:val="1"/>
                <w:color w:val="auto"/>
                <w:w w:val="95"/>
              </w:rPr>
              <w:t>Financial liabilities at fair value as of 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9"/>
        </w:trPr>
        <w:tc>
          <w:tcPr>
            <w:tcW w:w="3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7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Level 3 instruments for the years ended December 31, 2019 and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80" w:type="dxa"/>
            <w:vAlign w:val="bottom"/>
          </w:tcPr>
          <w:p>
            <w:pPr>
              <w:spacing w:after="0"/>
              <w:rPr>
                <w:sz w:val="20"/>
                <w:szCs w:val="20"/>
                <w:color w:val="auto"/>
              </w:rPr>
            </w:pPr>
            <w:r>
              <w:rPr>
                <w:rFonts w:ascii="Arial" w:cs="Arial" w:eastAsia="Arial" w:hAnsi="Arial"/>
                <w:sz w:val="14"/>
                <w:szCs w:val="14"/>
                <w:color w:val="auto"/>
              </w:rPr>
              <w:t>(in thousands)</w:t>
            </w:r>
          </w:p>
        </w:tc>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336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Interest accrued on face value of 5% Notes</w:t>
            </w:r>
          </w:p>
        </w:tc>
        <w:tc>
          <w:tcPr>
            <w:tcW w:w="2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Conversion of 5% Notes</w:t>
            </w:r>
          </w:p>
        </w:tc>
        <w:tc>
          <w:tcPr>
            <w:tcW w:w="2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Change in fair value of Level 3 liabilities</w:t>
            </w:r>
          </w:p>
        </w:tc>
        <w:tc>
          <w:tcPr>
            <w:tcW w:w="29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Interest accrued on face value of 5% Notes</w:t>
            </w:r>
          </w:p>
        </w:tc>
        <w:tc>
          <w:tcPr>
            <w:tcW w:w="2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Conversion of 5% Notes</w:t>
            </w:r>
          </w:p>
        </w:tc>
        <w:tc>
          <w:tcPr>
            <w:tcW w:w="2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Change in fair value of Level 3 liabilities</w:t>
            </w:r>
          </w:p>
        </w:tc>
        <w:tc>
          <w:tcPr>
            <w:tcW w:w="29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10"/>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0"/>
        </w:trPr>
        <w:tc>
          <w:tcPr>
            <w:tcW w:w="6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consolidated statements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amended and restated certificate of incorporation authorizes the issuance of up to 10,000,000 shares of preferred stock, $0.001 par value, with rights senior to those of our common stock, issuable in one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Rights Plan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18, 2014, we adopted a stockholder rights plan. The stockholder rights plan is embodied in the Stockholder Protection Rights Agreement dated as of July 18, 2014 (the "Rights Agreement"), between us and American Stock Transfer &amp; Trust Company, LLC, as rights agent (the "Rights Agent").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Accordingly, the Board of Directors declared a distribution of one right (a “Right”) for each outstanding share of common stock, to stockholders of record at the close of business on July 28, 2014, for each share of common stock issued (including shares distributed from Treasury) by us thereafter and prior to the Separation Time (as defined in the Rights Agreement), and for certain shares of common stock issued after the Separation Time. Following the Separation Time, each Right entitles the registered holder to purchase from us one one-thousandth (1/1,000) of a share of Series A Junior Participating Preferred Stock, par value $0.001 per share (the "Preferred Stock"), at a purchase price of $100.00 (the "Exercise Price"), subject to adjustment. The description and terms of the Rights are set forth in the Rights Agreement. Each one one-thousandth of a share of Preferred Stock has substantially the same rights as one share of common stock. Subject to the terms and conditions of the Rights Agreement, Rights become exercisable ten days after the public announcement that a “Person” has become an “Acquiring Person” (as each such term is defined in the Rights Agreement). Any Rights held by an Acquiring Person are void and may not be exercised.</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Rights Agreement was approved by our Board of Directors on July 18, 2014. The Rights will expire at the close of business on its ten-year anniversary, unless earlier exchanged or terminated by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amended and restated certificate of incorporation authorizes the issuance of up to 150,000,000 shares of $0.001 par value common stock.</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2017, we filed a shelf registration statement on Form S-3 (the "2017 S-3"), which was declared effective in June 2017, replacing the 2015 S-3. Under the 2017 S-3, we may sell up to a total of $300 million of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 "2017 Agent" and collectively, the "2017 Agents"), relating to the sale of shares of our common stock. Under the 2017 ATM we pay the 2017 Agents a commission rate of up to 3.0% of the gross proceeds from the sale of any shares of common stock.</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2018, we sold a total of 9,025,222 shares of common stock under the 2017 ATM for aggregate total gross proceeds of approximately $115.8 million at an average selling price of $12.83 per share, resulting in net proceeds of approximately $113.7 million after deducting commissions and other transactions costs.</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During the year ended December 31, 2019, we sold a total of 13,620,165 shares of common stock under the 2017 ATM for aggregate total gross proceeds of approximately $99.3 million at an average selling price of $7.29 per share, resulting in net proceeds of approximately $97.5 million after deducting commissions and other transactions costs.</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 2019, we completed a public offering of 4,100,000 shares of our common stock (plus a 30-day underwriter overallotment option to purchase up to an additional 615,000 shares of common stock, which was exercised) at a price of $5.87 per share. Net proceeds from this offering, including the overallotment, were approximately $27.5 million after underwriting discounts and offering expenses of approximately $0.2 million.</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Securities, Inc. (each a “2020 Agent” and collectively, the “2020 Agents”), relating to the sale of shares of our common stock. Under the 2020 ATM, we pay the 2020 Agents a commission rate of up to 3.0% of the gross proceeds from the sale of any shares of common stock. In November 2020, we entered into an At-the-Market Issuance Sales Agreement (the “2021 ATM”) with the same terms and agents (each a “2021 Agent” and collectively, the “2021 Agents”) as the 2020 ATM.</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we sold a total of 8,528,286 shares of common stock under the 2020 ATM for aggregate total gross proceeds of approximately $187.5 million at an average selling price of $21.99 per share, resulting in net proceeds of approximately $184.2 million after deducting commissions and other transactions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we sold a total of 804,100 shares of common stock under the 2021 ATM for aggregate total gross proceeds of approximately $33.9 million at an average selling price of $42.18 per share, resulting in net proceeds of approximately $33.3 million after deducting commissions and other transactions costs.</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December 22, 2019, we completed a securities purchase agreement with an institutional investor in which we agreed to sell 5,434,783 shares of our common stock at a price of $9.20 per share. Net proceeds from this offering were approximately $50.0 million.</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2020, we completed an underwritten public offering of 8,500,000 shares of our common stock (plus an underwriter option to purchase up to an additional 1,275,000 shares of common stock, which was exercised) at a price of $18 per share. Net proceeds from this offering, including the overallotment, were approximately $165.1 million, net of underwriting discounts and offering expenses of approximately $10.8 million.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17, 2020, we completed a public offering of 6,320,000 shares of our common stock (plus a 30-day underwriter overallotment option to purchase up to an additional 948,000 shares of common stock, which was exercised) at a price of $43.50 per share. Net proceeds from this offering, including the overallotment, were approximately $297.2 million after underwriting discounts and offering expenses of approximately $19.0 million.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2019 WKSI Shelf is currently our only active shelf-registration statement. We may offer any combination of the securities registered under the 2019 WKSI Shelf from time to time in response to market conditions or other circumstances if we believe such a plan of financing is in the best interests of our stockholders. We believe that the 2019 WKSI Shelf provides us with the flexibility to raise additional capital to finance our operations as needed.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December 31, 2020 and 2019, 41,309 shares of common stock are being held in Treasury, at a cost of approximately $234,000, representing the fair market value on the date the shares were surrendered to the Company to satisfy employee tax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TG Therapeutics, Inc. Amended and Restated 2012 Incentive Plan (“2012 Incentive Plan”) was approved by stockholders in June 2020. Pursuant to this amendment, 8,000,000 shares were added to the 2012 Incentive Plan. As of December 31, 2020 and 2019, 2,526,166 and 2,605,730 options, respectively, were outstanding and up to an additional 4,054,913 shares may be issued under the 2012 Incentive Plan.</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11" w:name="page112"/>
    <w:bookmarkEnd w:id="11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ind w:left="20" w:right="20" w:firstLine="648"/>
        <w:spacing w:after="0" w:line="263" w:lineRule="auto"/>
        <w:rPr>
          <w:sz w:val="20"/>
          <w:szCs w:val="20"/>
          <w:color w:val="auto"/>
        </w:rPr>
      </w:pPr>
      <w:r>
        <w:rPr>
          <w:rFonts w:ascii="Arial" w:cs="Arial" w:eastAsia="Arial" w:hAnsi="Arial"/>
          <w:sz w:val="18"/>
          <w:szCs w:val="18"/>
          <w:color w:val="auto"/>
        </w:rPr>
        <w:t>The estimated fair value of the options granted in the year ended December 31, 2020 was determined utilizing the Black-Scholes option-pricing model at the date of grant. The following table summarizes stock option activity for the years ended December 31, 2020 and 2019:</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20" w:type="dxa"/>
            <w:vAlign w:val="bottom"/>
          </w:tcPr>
          <w:p>
            <w:pPr>
              <w:spacing w:after="0"/>
              <w:rPr>
                <w:sz w:val="12"/>
                <w:szCs w:val="12"/>
                <w:color w:val="auto"/>
              </w:rPr>
            </w:pPr>
          </w:p>
        </w:tc>
        <w:tc>
          <w:tcPr>
            <w:tcW w:w="10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term</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102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59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1,916,900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815,000</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(126,170)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20"/>
                <w:szCs w:val="20"/>
                <w:color w:val="auto"/>
              </w:rPr>
            </w:pPr>
            <w:r>
              <w:rPr>
                <w:rFonts w:ascii="Arial" w:cs="Arial" w:eastAsia="Arial" w:hAnsi="Arial"/>
                <w:sz w:val="18"/>
                <w:szCs w:val="18"/>
                <w:color w:val="auto"/>
              </w:rPr>
              <w:t>Outstanding at December 31, 2019</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2,605,730</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11,706,110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(35,814)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Expired</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2,526,166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115,472,832</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2,526,166</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115,472,832</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Outstanding at December 31, 2020</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20" w:type="dxa"/>
            <w:vAlign w:val="bottom"/>
            <w:tcBorders>
              <w:bottom w:val="single" w:sz="8" w:color="CCEEFF"/>
            </w:tcBorders>
            <w:vMerge w:val="continue"/>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2,526,166</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6.99</w:t>
            </w:r>
          </w:p>
        </w:tc>
        <w:tc>
          <w:tcPr>
            <w:tcW w:w="1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115,472,832</w:t>
            </w:r>
          </w:p>
        </w:tc>
        <w:tc>
          <w:tcPr>
            <w:tcW w:w="0" w:type="dxa"/>
            <w:vAlign w:val="bottom"/>
          </w:tcPr>
          <w:p>
            <w:pPr>
              <w:spacing w:after="0"/>
              <w:rPr>
                <w:sz w:val="1"/>
                <w:szCs w:val="1"/>
                <w:color w:val="auto"/>
              </w:rPr>
            </w:pPr>
          </w:p>
        </w:tc>
      </w:tr>
      <w:tr>
        <w:trPr>
          <w:trHeight w:val="197"/>
        </w:trPr>
        <w:tc>
          <w:tcPr>
            <w:tcW w:w="59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to vest at December 31, 2020</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2,526,166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6.99</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115,472,832</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Exercisable at December 31, 2020</w:t>
            </w: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20" w:type="dxa"/>
            <w:vAlign w:val="bottom"/>
            <w:tcBorders>
              <w:bottom w:val="single" w:sz="8" w:color="CCEEFF"/>
            </w:tcBorders>
            <w:vMerge w:val="continue"/>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910,625</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6.23</w:t>
            </w:r>
          </w:p>
        </w:tc>
        <w:tc>
          <w:tcPr>
            <w:tcW w:w="1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41,701,656</w:t>
            </w:r>
          </w:p>
        </w:tc>
        <w:tc>
          <w:tcPr>
            <w:tcW w:w="0" w:type="dxa"/>
            <w:vAlign w:val="bottom"/>
          </w:tcPr>
          <w:p>
            <w:pPr>
              <w:spacing w:after="0"/>
              <w:rPr>
                <w:sz w:val="1"/>
                <w:szCs w:val="1"/>
                <w:color w:val="auto"/>
              </w:rPr>
            </w:pPr>
          </w:p>
        </w:tc>
      </w:tr>
      <w:tr>
        <w:trPr>
          <w:trHeight w:val="196"/>
        </w:trPr>
        <w:tc>
          <w:tcPr>
            <w:tcW w:w="5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 w:firstLine="648"/>
        <w:spacing w:after="0" w:line="293" w:lineRule="auto"/>
        <w:rPr>
          <w:sz w:val="20"/>
          <w:szCs w:val="20"/>
          <w:color w:val="auto"/>
        </w:rPr>
      </w:pPr>
      <w:r>
        <w:rPr>
          <w:rFonts w:ascii="Arial" w:cs="Arial" w:eastAsia="Arial" w:hAnsi="Arial"/>
          <w:sz w:val="16"/>
          <w:szCs w:val="16"/>
          <w:color w:val="auto"/>
        </w:rPr>
        <w:t>Total expense associated with the stock options was approximately $6.0 million, $3.5 million and zero during the years ended December 31, 2020, 2019 and 2018, respectively. As of December 31, 2020, there was approximately $1.7 million of total unrecognized compensation cost related to unvested time-based stock options, which is expected to be recognized over a weighted-average period of 1.0 year. As of December 31, 2020, the stock options outstanding include options granted to both employees and non-employees which are both time-based and milestone-based. Stock-based compensation for milestone-based options will be recorded if and when a milestone occurs. We recognized stock-based compensation expense of $3.8 million during the year ended December 31, 2020 for these stock options.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Company’s option awards were estimated using the assumptions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1254"/>
              <w:spacing w:after="0"/>
              <w:rPr>
                <w:sz w:val="20"/>
                <w:szCs w:val="20"/>
                <w:color w:val="auto"/>
              </w:rPr>
            </w:pPr>
            <w:r>
              <w:rPr>
                <w:rFonts w:ascii="Arial" w:cs="Arial" w:eastAsia="Arial" w:hAnsi="Arial"/>
                <w:sz w:val="14"/>
                <w:szCs w:val="14"/>
                <w:b w:val="1"/>
                <w:bCs w:val="1"/>
                <w:color w:val="auto"/>
              </w:rPr>
              <w:t>Year ended</w:t>
            </w:r>
          </w:p>
        </w:tc>
        <w:tc>
          <w:tcPr>
            <w:tcW w:w="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December 31, 2020</w:t>
            </w: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December 31, 2019</w:t>
            </w: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6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186.91-191.05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172.99-291.61</w:t>
            </w:r>
          </w:p>
        </w:tc>
        <w:tc>
          <w:tcPr>
            <w:tcW w:w="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7"/>
              </w:rPr>
              <w:t>5.0-6.25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5.0-6.25</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0.34-0.54</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340" w:type="dxa"/>
            <w:vAlign w:val="bottom"/>
            <w:gridSpan w:val="3"/>
            <w:shd w:val="clear" w:color="auto" w:fill="CCEEFF"/>
          </w:tcPr>
          <w:p>
            <w:pPr>
              <w:jc w:val="right"/>
              <w:ind w:right="530"/>
              <w:spacing w:after="0"/>
              <w:rPr>
                <w:sz w:val="20"/>
                <w:szCs w:val="20"/>
                <w:color w:val="auto"/>
              </w:rPr>
            </w:pPr>
            <w:r>
              <w:rPr>
                <w:rFonts w:ascii="Arial" w:cs="Arial" w:eastAsia="Arial" w:hAnsi="Arial"/>
                <w:sz w:val="18"/>
                <w:szCs w:val="18"/>
                <w:color w:val="auto"/>
              </w:rPr>
              <w:t>1.82-2.49 %</w:t>
            </w: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680" w:type="dxa"/>
            <w:vAlign w:val="bottom"/>
          </w:tcPr>
          <w:p>
            <w:pPr>
              <w:spacing w:after="0"/>
              <w:rPr>
                <w:sz w:val="20"/>
                <w:szCs w:val="20"/>
                <w:color w:val="auto"/>
              </w:rPr>
            </w:pPr>
          </w:p>
        </w:tc>
        <w:tc>
          <w:tcPr>
            <w:tcW w:w="900" w:type="dxa"/>
            <w:vAlign w:val="bottom"/>
          </w:tcPr>
          <w:p>
            <w:pPr>
              <w:jc w:val="center"/>
              <w:ind w:left="596"/>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0"/>
                <w:szCs w:val="20"/>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594"/>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w w:val="99"/>
              </w:rPr>
              <w:t>%</w:t>
            </w:r>
          </w:p>
        </w:tc>
      </w:tr>
      <w:tr>
        <w:trPr>
          <w:trHeight w:val="850"/>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580" w:type="dxa"/>
            <w:vAlign w:val="bottom"/>
            <w:gridSpan w:val="2"/>
          </w:tcPr>
          <w:p>
            <w:pPr>
              <w:ind w:left="1580"/>
              <w:spacing w:after="0"/>
              <w:rPr>
                <w:sz w:val="20"/>
                <w:szCs w:val="20"/>
                <w:color w:val="auto"/>
              </w:rPr>
            </w:pPr>
            <w:r>
              <w:rPr>
                <w:rFonts w:ascii="Arial" w:cs="Arial" w:eastAsia="Arial" w:hAnsi="Arial"/>
                <w:sz w:val="18"/>
                <w:szCs w:val="18"/>
                <w:color w:val="auto"/>
              </w:rPr>
              <w:t>F-16</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517" w:right="839" w:bottom="1440" w:gutter="0" w:footer="0" w:header="0"/>
        </w:sectPr>
      </w:pPr>
    </w:p>
    <w:bookmarkStart w:id="112" w:name="page113"/>
    <w:bookmarkEnd w:id="11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jc w:val="both"/>
        <w:ind w:left="20" w:firstLine="648"/>
        <w:spacing w:after="0" w:line="342" w:lineRule="auto"/>
        <w:rPr>
          <w:sz w:val="20"/>
          <w:szCs w:val="20"/>
          <w:color w:val="auto"/>
        </w:rPr>
      </w:pPr>
      <w:r>
        <w:rPr>
          <w:rFonts w:ascii="Arial" w:cs="Arial" w:eastAsia="Arial" w:hAnsi="Arial"/>
          <w:sz w:val="16"/>
          <w:szCs w:val="16"/>
          <w:color w:val="auto"/>
        </w:rPr>
        <w:t>Certain employees, directors and consultants have been awarded restricted stock. The restricted stock vesting consists of milestone and time-based vesting. The following table summarizes restricted share activity for the years ended December 31, 2020, 2019 and 2018:</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750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Number of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71"/>
        </w:trPr>
        <w:tc>
          <w:tcPr>
            <w:tcW w:w="75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09"/>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6,321,643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1,562,211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(1,596,966)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(191,196)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9"/>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6,095,692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1,851,520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(116,463)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9"/>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7,091,789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4,909,829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(1,087,918)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(128,666)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10,785,034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firstLine="648"/>
        <w:spacing w:after="0" w:line="293" w:lineRule="auto"/>
        <w:rPr>
          <w:sz w:val="20"/>
          <w:szCs w:val="20"/>
          <w:color w:val="auto"/>
        </w:rPr>
      </w:pPr>
      <w:r>
        <w:rPr>
          <w:rFonts w:ascii="Arial" w:cs="Arial" w:eastAsia="Arial" w:hAnsi="Arial"/>
          <w:sz w:val="16"/>
          <w:szCs w:val="16"/>
          <w:color w:val="auto"/>
        </w:rPr>
        <w:t>Total compensation expense associated with restricted stock grants was $74.2 million, $7.8 million and $12.9 million during the years ended December 31, 2020, 2019 and 2018, respectively. As of December 31, 2020, there was approximately $47.4 million of total unrecognized compensation expense related to unvested time-based restricted stock, which is expected to be recognized over a weighted-average period of 1 year. This amount does not include, as of December 31, 2020, 2,961,174 shares of restricted stock outstanding which are milestone-based and vest upon certain corporate milestones; and 1,866,250 shares of restricted stock outstanding issued to non-employees. Milestone-based noncash compensation expense will be measured and recorded if and when a milestone becomes probable.</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color w:val="auto"/>
        </w:rPr>
        <w:t>The Company’s only outstanding warrant is the warrant issued to Hercules as part of our debt agreement to purchase 147,058 shares of common stock with an exercise price of $4.08. See Note 7 for further details. There was no expense related to warrants during the years ended December 31, 2020, 2019 and 2018.</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6 – OTHER LIABILITIES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summary of notes payable included in other current liabilities on the Company's consolidated balance sheets: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1"/>
              </w:rPr>
              <w:t>December 31, 2020</w:t>
            </w: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tcPr>
          <w:p>
            <w:pPr>
              <w:jc w:val="right"/>
              <w:ind w:right="67"/>
              <w:spacing w:after="0"/>
              <w:rPr>
                <w:sz w:val="20"/>
                <w:szCs w:val="20"/>
                <w:color w:val="auto"/>
              </w:rPr>
            </w:pPr>
            <w:r>
              <w:rPr>
                <w:rFonts w:ascii="Arial" w:cs="Arial" w:eastAsia="Arial" w:hAnsi="Arial"/>
                <w:sz w:val="14"/>
                <w:szCs w:val="14"/>
                <w:b w:val="1"/>
                <w:bCs w:val="1"/>
                <w:color w:val="auto"/>
                <w:w w:val="91"/>
              </w:rPr>
              <w:t>December 31, 2019</w:t>
            </w:r>
          </w:p>
        </w:tc>
        <w:tc>
          <w:tcPr>
            <w:tcW w:w="600" w:type="dxa"/>
            <w:vAlign w:val="bottom"/>
            <w:tcBorders>
              <w:bottom w:val="single" w:sz="8" w:color="auto"/>
            </w:tcBorders>
          </w:tcPr>
          <w:p>
            <w:pPr>
              <w:spacing w:after="0"/>
              <w:rPr>
                <w:sz w:val="16"/>
                <w:szCs w:val="16"/>
                <w:color w:val="auto"/>
              </w:rPr>
            </w:pPr>
          </w:p>
        </w:tc>
      </w:tr>
      <w:tr>
        <w:trPr>
          <w:trHeight w:val="179"/>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Current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current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21"/>
              <w:spacing w:after="0"/>
              <w:rPr>
                <w:sz w:val="20"/>
                <w:szCs w:val="20"/>
                <w:color w:val="auto"/>
              </w:rPr>
            </w:pPr>
            <w:r>
              <w:rPr>
                <w:rFonts w:ascii="Arial" w:cs="Arial" w:eastAsia="Arial" w:hAnsi="Arial"/>
                <w:sz w:val="14"/>
                <w:szCs w:val="14"/>
                <w:b w:val="1"/>
                <w:bCs w:val="1"/>
                <w:color w:val="auto"/>
                <w:w w:val="98"/>
              </w:rPr>
              <w:t>Current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right="62"/>
              <w:spacing w:after="0"/>
              <w:rPr>
                <w:sz w:val="20"/>
                <w:szCs w:val="20"/>
                <w:color w:val="auto"/>
              </w:rPr>
            </w:pPr>
            <w:r>
              <w:rPr>
                <w:rFonts w:ascii="Arial" w:cs="Arial" w:eastAsia="Arial" w:hAnsi="Arial"/>
                <w:sz w:val="14"/>
                <w:szCs w:val="14"/>
                <w:b w:val="1"/>
                <w:bCs w:val="1"/>
                <w:color w:val="auto"/>
                <w:w w:val="99"/>
              </w:rPr>
              <w:t>current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portion,</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portion,</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21"/>
              <w:spacing w:after="0"/>
              <w:rPr>
                <w:sz w:val="20"/>
                <w:szCs w:val="20"/>
                <w:color w:val="auto"/>
              </w:rPr>
            </w:pPr>
            <w:r>
              <w:rPr>
                <w:rFonts w:ascii="Arial" w:cs="Arial" w:eastAsia="Arial" w:hAnsi="Arial"/>
                <w:sz w:val="14"/>
                <w:szCs w:val="14"/>
                <w:b w:val="1"/>
                <w:bCs w:val="1"/>
                <w:color w:val="auto"/>
                <w:w w:val="95"/>
              </w:rPr>
              <w:t>portion,</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portion,</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8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net</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5"/>
              </w:rPr>
              <w:t>net</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Total</w:t>
            </w:r>
          </w:p>
        </w:tc>
      </w:tr>
      <w:tr>
        <w:trPr>
          <w:trHeight w:val="189"/>
        </w:trPr>
        <w:tc>
          <w:tcPr>
            <w:tcW w:w="20" w:type="dxa"/>
            <w:vAlign w:val="bottom"/>
          </w:tcPr>
          <w:p>
            <w:pPr>
              <w:spacing w:after="0"/>
              <w:rPr>
                <w:sz w:val="16"/>
                <w:szCs w:val="16"/>
                <w:color w:val="auto"/>
              </w:rPr>
            </w:pPr>
          </w:p>
        </w:tc>
        <w:tc>
          <w:tcPr>
            <w:tcW w:w="4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Convertible 5% Notes Payable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938</w:t>
            </w:r>
          </w:p>
        </w:tc>
        <w:tc>
          <w:tcPr>
            <w:tcW w:w="4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400"/>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938</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190</w:t>
            </w:r>
          </w:p>
        </w:tc>
        <w:tc>
          <w:tcPr>
            <w:tcW w:w="4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ind w:left="400"/>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190</w:t>
            </w:r>
          </w:p>
        </w:tc>
      </w:tr>
      <w:tr>
        <w:trPr>
          <w:trHeight w:val="182"/>
        </w:trPr>
        <w:tc>
          <w:tcPr>
            <w:tcW w:w="20" w:type="dxa"/>
            <w:vAlign w:val="bottom"/>
          </w:tcPr>
          <w:p>
            <w:pPr>
              <w:spacing w:after="0"/>
              <w:rPr>
                <w:sz w:val="15"/>
                <w:szCs w:val="15"/>
                <w:color w:val="auto"/>
              </w:rPr>
            </w:pPr>
          </w:p>
        </w:tc>
        <w:tc>
          <w:tcPr>
            <w:tcW w:w="4840" w:type="dxa"/>
            <w:vAlign w:val="bottom"/>
          </w:tcPr>
          <w:p>
            <w:pPr>
              <w:ind w:left="80"/>
              <w:spacing w:after="0" w:line="182" w:lineRule="exact"/>
              <w:rPr>
                <w:sz w:val="20"/>
                <w:szCs w:val="20"/>
                <w:color w:val="auto"/>
              </w:rPr>
            </w:pPr>
            <w:r>
              <w:rPr>
                <w:rFonts w:ascii="Arial" w:cs="Arial" w:eastAsia="Arial" w:hAnsi="Arial"/>
                <w:sz w:val="18"/>
                <w:szCs w:val="18"/>
                <w:color w:val="auto"/>
              </w:rPr>
              <w:t>Totals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938</w:t>
            </w: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ind w:left="400"/>
              <w:spacing w:after="0" w:line="18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938</w:t>
            </w:r>
          </w:p>
        </w:tc>
        <w:tc>
          <w:tcPr>
            <w:tcW w:w="1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190</w:t>
            </w: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ind w:left="400"/>
              <w:spacing w:after="0" w:line="18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190</w:t>
            </w: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18"/>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F-17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517" w:right="8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19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5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The cumulative liability including accrued and unpaid interest of these notes was approximately $20.3 million at December 31, 2020 and $19.3 million at December 31, 2019. No payments have been made on the 5% Notes through December 31, 2020.</w:t>
      </w:r>
    </w:p>
    <w:p>
      <w:pPr>
        <w:spacing w:after="0" w:line="148"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Liabilities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In 2018, we entered into an agreement with a contract manufacturer for the clinical and potential commercial supply of one of our product candidates. As part of this agreement, the contract manufacturer has agreed to defer payment of certain costs and expenses under the agreement in exchange for the payment of an administrative fee. To date we have incurred expenses related to this agreement of approximately $53.7 million as of December 31, 2020, which include service fees, raw material costs and administrative fees. We have made payments of $37.4 million to the contract manufacturer as of December 31, 2020. Accordingly, as of December 31, 2020 and 2019, $15.7 million and $47.2 million is included in current liabilities in the Company’s consolidated balance sheets. Of the remaining $15.7 million, $4.2 million is due in the first quarter of 2021. We will incur an administrative fee of six percent (6%) per year starting from the date of invoice issuance. For the years ended December 31, 2020, 2019 and 2018, we have accrued $1.2 million, $1.2 million and zero, respectively, in administrative fees in connection with these costs, which has been included in interest expense in the Company’s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LONG-TERM DEBT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28, 2019 (the “Closing Date”), we entered into a term loan facility of up to $60.0 million (“Term Loan”) with Hercules, the proceeds of which were used for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Two additional advances of $10.0 million may be drawn at our option but subject to certain clinical trial milestones, and the fourth advance of $10.0 million, available in minimum increments of $5.0 million, is available through December 15, 2020 subject to the approval of Hercules’ investment committee.</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The Term Loan will mature on March 1, 2022 (the “Loan Maturity Date”). Each advance accrues interest at a per annum rate of interest equal to the greater of either (i) the “prime rate”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plus 4.75%, or (ii) 10.25%. The Term Loan provides for interest-only payments until October 1, 2020. The interest-only period may be extended to April 1, 2021 if, on or before September 30, 2020, we achieve either the third milestone or we have raised at least $150.0 million in unrestricted net cash proceeds from one or more equity financings, subordinated indebtedness and/or upfront proceeds from business development transactions permitted under the Loan Agreement, in each case after February 7, 2019, and prior to September 30, 2020 (“Milestone IV”). Thereafter, amortization payments will be payable monthly in eighteen installments (or, if the period requiring interest-only payments has been extended to April 1, 2021, in twelve installments) of principal and interest (subject to recalculation upon a change in prime rates). As a result of the Company having raised in excess of $150 million before the required timeline in the Loan Agreement, the interest-only period has been extended to April 1, 2021. At our option upon seven business days’ prior written notice to Hercules, we may prepay all or any portion greater than or equal to $5.0 million of the outstanding advances by paying the entire principal balance (or portion thereof), all accrued and unpaid interest, subject to a prepayment charge of 3.0%, if such advance is prepaid in any of the first twelve months following the Closing Date; 1.5%, if such advance is prepaid after twelve months following the Closing Date but on or prior to twenty-four months following the Closing Date; and 0% thereafter. In addition, a final payment equal to 3.5% of the aggregate principal amount of the loan extended by Hercules is due on the maturity date. Amounts outstanding during an event of default shall be payable on demand and accrue interest at an additional rate of 4.0% per annum of the past due amount outstanding.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14" w:name="page115"/>
    <w:bookmarkEnd w:id="114"/>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20" w:firstLine="648"/>
        <w:spacing w:after="0" w:line="279" w:lineRule="auto"/>
        <w:rPr>
          <w:sz w:val="20"/>
          <w:szCs w:val="20"/>
          <w:color w:val="auto"/>
        </w:rPr>
      </w:pPr>
      <w:r>
        <w:rPr>
          <w:rFonts w:ascii="Arial" w:cs="Arial" w:eastAsia="Arial" w:hAnsi="Arial"/>
          <w:sz w:val="17"/>
          <w:szCs w:val="17"/>
          <w:color w:val="auto"/>
        </w:rPr>
        <w:t>The Term Loan is secured by a lien on substantially all of our assets, other than intellectual property, and contains customary covenants and representations, including a liquidity covenant, financial reporting covenant and limitations on dividends, indebtedness, collateral, investments, distributions, transfers, mergers or acquisitions, taxes, corporate changes, deposit accounts, and subsidiaries. As of and through December 31, 2020, the Company has been in compliance with all covenants.</w:t>
      </w:r>
    </w:p>
    <w:p>
      <w:pPr>
        <w:spacing w:after="0" w:line="171" w:lineRule="exact"/>
        <w:rPr>
          <w:sz w:val="20"/>
          <w:szCs w:val="20"/>
          <w:color w:val="auto"/>
        </w:rPr>
      </w:pPr>
    </w:p>
    <w:p>
      <w:pPr>
        <w:jc w:val="both"/>
        <w:ind w:left="20" w:firstLine="648"/>
        <w:spacing w:after="0" w:line="293" w:lineRule="auto"/>
        <w:rPr>
          <w:sz w:val="20"/>
          <w:szCs w:val="20"/>
          <w:color w:val="auto"/>
        </w:rPr>
      </w:pPr>
      <w:r>
        <w:rPr>
          <w:rFonts w:ascii="Arial" w:cs="Arial" w:eastAsia="Arial" w:hAnsi="Arial"/>
          <w:sz w:val="16"/>
          <w:szCs w:val="16"/>
          <w:color w:val="auto"/>
        </w:rPr>
        <w:t>The events of default under the Loan Agreement include, without limitation, and subject to customary grace periods, (1) our failure to make any payments of principal or interest under the Loan Agreement, promissory notes or other loan documents, (2) our breach or default in the performance of any covenant under the Loan Agreement, (3) the occurrence of a material adverse effect, (4) a false or misleading representation or warranty in any material respect, (5) our insolvency or bankruptcy, (6) certain attachments or judgments on the Borrower’s assets, or (7) the occurrence of any material default under certain agreements or obligations involving indebtedness in excess of $750,000. If an event of default occurs, Hercules is entitled to take enforcement action, including acceleration of amounts due under the Loan Agreement.</w:t>
      </w:r>
    </w:p>
    <w:p>
      <w:pPr>
        <w:spacing w:after="0" w:line="164"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7"/>
          <w:szCs w:val="17"/>
          <w:color w:val="auto"/>
        </w:rPr>
        <w:t>The Loan Agreement also contains warrant coverage of 2% of the total amount funded. A warrant (the “Hercules Warrant”) was issued to Hercules to purchase 147,058 shares of common stock with an exercise price of $4.08. The Hercules Warrant is exercisable for seven years from the date of issuance. Hercules may exercise the Hercules Warrant either by (a) cash or check or (b) through a net issuance conversion. The shares will be registered and freely tradeable within six months of issuance. We accounted for the Hercules Warrant as an equity instrument since it was indexed to our common shares and met the criteria for classification in shareholders’ equity. The relative fair value of the Hercules Warrant on the date of issuance was approximately $1.0 million and was treated as debt issuance costs and as an offset to the Term Loan. This amount will be amortized to interest expense using the straight-line method, which approximates the effective interest method, over the life of the Term Loan.</w:t>
      </w:r>
    </w:p>
    <w:p>
      <w:pPr>
        <w:spacing w:after="0" w:line="178" w:lineRule="exact"/>
        <w:rPr>
          <w:sz w:val="20"/>
          <w:szCs w:val="20"/>
          <w:color w:val="auto"/>
        </w:rPr>
      </w:pPr>
    </w:p>
    <w:p>
      <w:pPr>
        <w:jc w:val="both"/>
        <w:ind w:left="20" w:firstLine="648"/>
        <w:spacing w:after="0" w:line="277" w:lineRule="auto"/>
        <w:rPr>
          <w:sz w:val="20"/>
          <w:szCs w:val="20"/>
          <w:color w:val="auto"/>
        </w:rPr>
      </w:pPr>
      <w:r>
        <w:rPr>
          <w:rFonts w:ascii="Arial" w:cs="Arial" w:eastAsia="Arial" w:hAnsi="Arial"/>
          <w:sz w:val="18"/>
          <w:szCs w:val="18"/>
          <w:color w:val="auto"/>
        </w:rPr>
        <w:t>The Company estimated the fair value of the Hercules Warrant using the Black-Scholes model based on the following key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3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Common share price on date of issuance</w:t>
            </w:r>
          </w:p>
        </w:tc>
        <w:tc>
          <w:tcPr>
            <w:tcW w:w="3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6.80</w:t>
            </w: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3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Contractual term (in years)</w:t>
            </w:r>
          </w:p>
        </w:tc>
        <w:tc>
          <w:tcPr>
            <w:tcW w:w="3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7.00 years</w:t>
            </w:r>
          </w:p>
        </w:tc>
        <w:tc>
          <w:tcPr>
            <w:tcW w:w="200" w:type="dxa"/>
            <w:vAlign w:val="bottom"/>
          </w:tcPr>
          <w:p>
            <w:pPr>
              <w:spacing w:after="0"/>
              <w:rPr>
                <w:sz w:val="20"/>
                <w:szCs w:val="20"/>
                <w:color w:val="auto"/>
              </w:rPr>
            </w:pPr>
          </w:p>
        </w:tc>
      </w:tr>
    </w:tbl>
    <w:p>
      <w:pPr>
        <w:spacing w:after="0" w:line="200" w:lineRule="exact"/>
        <w:rPr>
          <w:sz w:val="20"/>
          <w:szCs w:val="20"/>
          <w:color w:val="auto"/>
        </w:rPr>
      </w:pPr>
    </w:p>
    <w:p>
      <w:pPr>
        <w:spacing w:after="0" w:line="203" w:lineRule="exact"/>
        <w:rPr>
          <w:sz w:val="20"/>
          <w:szCs w:val="20"/>
          <w:color w:val="auto"/>
        </w:rPr>
      </w:pPr>
    </w:p>
    <w:p>
      <w:pPr>
        <w:jc w:val="both"/>
        <w:ind w:left="20" w:firstLine="648"/>
        <w:spacing w:after="0" w:line="293" w:lineRule="auto"/>
        <w:rPr>
          <w:sz w:val="20"/>
          <w:szCs w:val="20"/>
          <w:color w:val="auto"/>
        </w:rPr>
      </w:pPr>
      <w:r>
        <w:rPr>
          <w:rFonts w:ascii="Arial" w:cs="Arial" w:eastAsia="Arial" w:hAnsi="Arial"/>
          <w:sz w:val="16"/>
          <w:szCs w:val="16"/>
          <w:color w:val="auto"/>
        </w:rPr>
        <w:t>The Company incurred financing expenses of $2.8 million (including the fair value of the Hercules Warrant) related to the Hercules Loan Agreement which are recorded as debt issuance costs and as an offset to long-term debt on the Company’s consolidated balance sheet. The debt issuance costs are being amortized over the term of the debt using the straight-line method, which approximates the effective interest method, and are included in interest expense in the Company’s consolidated statements of operations. Amortization of debt issuance costs was $0.9 million and $0.8 million for the years ended December 31, 2020 and 2019. At December 31, 2020 and 2019, the remaining unamortized balance of debt issuance costs was approximately $1.1 million and $2.0 million, respectively.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as of December 31, 2020 and 2019, is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 of term fee</w:t>
            </w:r>
          </w:p>
        </w:tc>
        <w:tc>
          <w:tcPr>
            <w:tcW w:w="3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30,975</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debt issuance costs</w:t>
            </w:r>
          </w:p>
        </w:tc>
        <w:tc>
          <w:tcPr>
            <w:tcW w:w="3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28,970</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3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non-current</w:t>
            </w:r>
          </w:p>
        </w:tc>
        <w:tc>
          <w:tcPr>
            <w:tcW w:w="3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28,970</w:t>
            </w: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960" w:type="dxa"/>
            <w:vAlign w:val="bottom"/>
            <w:gridSpan w:val="2"/>
          </w:tcPr>
          <w:p>
            <w:pPr>
              <w:jc w:val="right"/>
              <w:ind w:right="2447"/>
              <w:spacing w:after="0"/>
              <w:rPr>
                <w:sz w:val="20"/>
                <w:szCs w:val="20"/>
                <w:color w:val="auto"/>
              </w:rPr>
            </w:pPr>
            <w:r>
              <w:rPr>
                <w:rFonts w:ascii="Arial" w:cs="Arial" w:eastAsia="Arial" w:hAnsi="Arial"/>
                <w:sz w:val="18"/>
                <w:szCs w:val="18"/>
                <w:color w:val="auto"/>
              </w:rPr>
              <w:t>F-19</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517" w:right="839" w:bottom="1440" w:gutter="0" w:footer="0" w:header="0"/>
        </w:sectPr>
      </w:pPr>
    </w:p>
    <w:bookmarkStart w:id="115" w:name="page116"/>
    <w:bookmarkEnd w:id="11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LEASES</w:t>
      </w:r>
    </w:p>
    <w:p>
      <w:pPr>
        <w:spacing w:after="0" w:line="229" w:lineRule="exact"/>
        <w:rPr>
          <w:sz w:val="20"/>
          <w:szCs w:val="20"/>
          <w:color w:val="auto"/>
        </w:rPr>
      </w:pPr>
    </w:p>
    <w:p>
      <w:pPr>
        <w:jc w:val="both"/>
        <w:ind w:left="20" w:firstLine="648"/>
        <w:spacing w:after="0" w:line="270" w:lineRule="auto"/>
        <w:rPr>
          <w:sz w:val="20"/>
          <w:szCs w:val="20"/>
          <w:color w:val="auto"/>
        </w:rPr>
      </w:pPr>
      <w:r>
        <w:rPr>
          <w:rFonts w:ascii="Arial" w:cs="Arial" w:eastAsia="Arial" w:hAnsi="Arial"/>
          <w:sz w:val="17"/>
          <w:szCs w:val="17"/>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$1.4 million under the Office Agreement. We began to occupy this new space in April 2016, with rental payments beginning in the third quarter of 2016. At January 1, 2019, we recognized a lease liability and corresponding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$12.1 million and $9.3 million, respectively, as of December 31, 2020. Our leases have remaining lease terms of 4 months to 11 years. One lease has a renewal option to extend the lease for an additional term of two years.</w:t>
      </w:r>
    </w:p>
    <w:p>
      <w:pPr>
        <w:spacing w:after="0" w:line="181" w:lineRule="exact"/>
        <w:rPr>
          <w:sz w:val="20"/>
          <w:szCs w:val="20"/>
          <w:color w:val="auto"/>
        </w:rPr>
      </w:pPr>
    </w:p>
    <w:p>
      <w:pPr>
        <w:jc w:val="both"/>
        <w:ind w:left="20" w:firstLine="648"/>
        <w:spacing w:after="0" w:line="273" w:lineRule="auto"/>
        <w:rPr>
          <w:sz w:val="20"/>
          <w:szCs w:val="20"/>
          <w:color w:val="auto"/>
        </w:rPr>
      </w:pPr>
      <w:r>
        <w:rPr>
          <w:rFonts w:ascii="Arial" w:cs="Arial" w:eastAsia="Arial" w:hAnsi="Arial"/>
          <w:sz w:val="17"/>
          <w:szCs w:val="17"/>
          <w:color w:val="auto"/>
        </w:rPr>
        <w:t>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December 31, 2020, the allocation rate is 65% and will be evaluated again in August 2021 for the following rent year.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78"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components of lease expense are included in the Company’s consolidated statements of operations for the years ended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31, 2020, 2019 and 2018:</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r>
      <w:tr>
        <w:trPr>
          <w:trHeight w:val="20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10"/>
        </w:trPr>
        <w:tc>
          <w:tcPr>
            <w:tcW w:w="688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color w:val="auto"/>
        </w:rPr>
        <w:t>As of December 31, 2020, the weighted-average remaining operating lease term was 7.7 years and the weighted-average discount rate for operating leases was 10.25%. Cash paid for amounts included in the measurement of operating lease liabilities during the year ended December 31, 2020 was $2.0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balance sheet classification of lease liabilities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r>
      <w:tr>
        <w:trPr>
          <w:trHeight w:val="210"/>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current portion</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r>
      <w:tr>
        <w:trPr>
          <w:trHeight w:val="216"/>
        </w:trPr>
        <w:tc>
          <w:tcPr>
            <w:tcW w:w="20" w:type="dxa"/>
            <w:vAlign w:val="bottom"/>
          </w:tcPr>
          <w:p>
            <w:pPr>
              <w:spacing w:after="0"/>
              <w:rPr>
                <w:sz w:val="18"/>
                <w:szCs w:val="18"/>
                <w:color w:val="auto"/>
              </w:rPr>
            </w:pPr>
          </w:p>
        </w:tc>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 liability non-current</w:t>
            </w:r>
          </w:p>
        </w:tc>
        <w:tc>
          <w:tcPr>
            <w:tcW w:w="4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10,218</w:t>
            </w:r>
          </w:p>
        </w:tc>
      </w:tr>
      <w:tr>
        <w:trPr>
          <w:trHeight w:val="209"/>
        </w:trPr>
        <w:tc>
          <w:tcPr>
            <w:tcW w:w="20" w:type="dxa"/>
            <w:vAlign w:val="bottom"/>
          </w:tcPr>
          <w:p>
            <w:pPr>
              <w:spacing w:after="0"/>
              <w:rPr>
                <w:sz w:val="18"/>
                <w:szCs w:val="18"/>
                <w:color w:val="auto"/>
              </w:rPr>
            </w:pPr>
          </w:p>
        </w:tc>
        <w:tc>
          <w:tcPr>
            <w:tcW w:w="35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lease liability</w:t>
            </w:r>
          </w:p>
        </w:tc>
        <w:tc>
          <w:tcPr>
            <w:tcW w:w="4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12,081</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11,834</w:t>
            </w: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360" w:type="dxa"/>
            <w:vAlign w:val="bottom"/>
            <w:gridSpan w:val="2"/>
          </w:tcPr>
          <w:p>
            <w:pPr>
              <w:jc w:val="right"/>
              <w:ind w:right="2547"/>
              <w:spacing w:after="0"/>
              <w:rPr>
                <w:sz w:val="20"/>
                <w:szCs w:val="20"/>
                <w:color w:val="auto"/>
              </w:rPr>
            </w:pPr>
            <w:r>
              <w:rPr>
                <w:rFonts w:ascii="Arial" w:cs="Arial" w:eastAsia="Arial" w:hAnsi="Arial"/>
                <w:sz w:val="18"/>
                <w:szCs w:val="18"/>
                <w:color w:val="auto"/>
              </w:rPr>
              <w:t>F-20</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517" w:right="8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ind w:left="3600"/>
              <w:spacing w:after="0"/>
              <w:rPr>
                <w:sz w:val="20"/>
                <w:szCs w:val="20"/>
                <w:color w:val="auto"/>
              </w:rPr>
            </w:pPr>
            <w:r>
              <w:rPr>
                <w:rFonts w:ascii="Arial" w:cs="Arial" w:eastAsia="Arial" w:hAnsi="Arial"/>
                <w:sz w:val="18"/>
                <w:szCs w:val="18"/>
                <w:b w:val="1"/>
                <w:bCs w:val="1"/>
                <w:color w:val="auto"/>
              </w:rPr>
              <w:t>TG Therapeutics, Inc. and Subsidiaries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7860" w:type="dxa"/>
            <w:vAlign w:val="bottom"/>
          </w:tcPr>
          <w:p>
            <w:pPr>
              <w:ind w:left="3440"/>
              <w:spacing w:after="0"/>
              <w:rPr>
                <w:sz w:val="20"/>
                <w:szCs w:val="20"/>
                <w:color w:val="auto"/>
              </w:rPr>
            </w:pPr>
            <w:r>
              <w:rPr>
                <w:rFonts w:ascii="Arial" w:cs="Arial" w:eastAsia="Arial" w:hAnsi="Arial"/>
                <w:sz w:val="18"/>
                <w:szCs w:val="18"/>
                <w:b w:val="1"/>
                <w:bCs w:val="1"/>
                <w:color w:val="auto"/>
              </w:rPr>
              <w:t>Notes to Consolidated Financial Statements</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7860" w:type="dxa"/>
            <w:vAlign w:val="bottom"/>
          </w:tcPr>
          <w:p>
            <w:pPr>
              <w:ind w:left="640"/>
              <w:spacing w:after="0"/>
              <w:rPr>
                <w:sz w:val="20"/>
                <w:szCs w:val="20"/>
                <w:color w:val="auto"/>
              </w:rPr>
            </w:pPr>
            <w:r>
              <w:rPr>
                <w:rFonts w:ascii="Arial" w:cs="Arial" w:eastAsia="Arial" w:hAnsi="Arial"/>
                <w:sz w:val="18"/>
                <w:szCs w:val="18"/>
                <w:color w:val="auto"/>
              </w:rPr>
              <w:t>As of December 31, 2020, the maturities of lease liabilities were as follows: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9"/>
        </w:trPr>
        <w:tc>
          <w:tcPr>
            <w:tcW w:w="7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233"/>
              <w:spacing w:after="0"/>
              <w:rPr>
                <w:sz w:val="20"/>
                <w:szCs w:val="20"/>
                <w:color w:val="auto"/>
              </w:rPr>
            </w:pPr>
            <w:r>
              <w:rPr>
                <w:rFonts w:ascii="Arial" w:cs="Arial" w:eastAsia="Arial" w:hAnsi="Arial"/>
                <w:sz w:val="14"/>
                <w:szCs w:val="14"/>
                <w:b w:val="1"/>
                <w:bCs w:val="1"/>
                <w:color w:val="auto"/>
              </w:rPr>
              <w:t>Operating</w:t>
            </w:r>
          </w:p>
        </w:tc>
      </w:tr>
      <w:tr>
        <w:trPr>
          <w:trHeight w:val="171"/>
        </w:trPr>
        <w:tc>
          <w:tcPr>
            <w:tcW w:w="78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1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leases</w:t>
            </w: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2022</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2,035</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2024</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1,923</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16"/>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2025</w:t>
            </w:r>
          </w:p>
        </w:tc>
        <w:tc>
          <w:tcPr>
            <w:tcW w:w="1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9,884</w:t>
            </w: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19,547</w:t>
            </w:r>
          </w:p>
        </w:tc>
      </w:tr>
      <w:tr>
        <w:trPr>
          <w:trHeight w:val="216"/>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1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w:t>
            </w:r>
          </w:p>
        </w:tc>
      </w:tr>
      <w:tr>
        <w:trPr>
          <w:trHeight w:val="210"/>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12,081</w:t>
            </w:r>
          </w:p>
        </w:tc>
      </w:tr>
      <w:tr>
        <w:trPr>
          <w:trHeight w:val="20"/>
        </w:trPr>
        <w:tc>
          <w:tcPr>
            <w:tcW w:w="7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38"/>
        <w:spacing w:after="0" w:line="263" w:lineRule="auto"/>
        <w:tabs>
          <w:tab w:leader="none" w:pos="92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account for income taxes under the asset and liability method. Deferred tax assets and liabilities are determined based on differences between the financial reporting and tax bases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upon management's assessment of all available evidence, we believe that it is more-likely-than-not that the deferred tax assets will not be realizable, and therefore, a valuation allowance has been established. The valuation allowance for deferred tax assets was approximately $276.7 million and $186.7 million as of December 31, 2020 and 2019, respectively.</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CARES Act was enacted on March 27, 2020 in response to the economic fallout of the COVID-19 pandemic in the United States. There are several provisions of the CARES Act that were considered in the December 31, 2020 year-end tax provision as follows. Under the CARES Act, a net operating loss carryforward (“NOL”) arising in tax years beginning after December 31, 2017 and before January 1, 2021 may be carried back to each of the five tax years preceding the tax year of such loss. The Company has incurred taxable losses in prior years; therefore, there is no carry-back opportunity to the Company. Under the Tax Cuts and Jobs Act of 2017 (“TCJA”), deductible interest expense was limited to 30% of adjusted taxable income. The CARES Act increased the limit to 50% of adjusted taxable income for 2019 and 2020 and allowed companies to elect to use 2019 adjusted taxable income for the 2020 limitation, if it resulted in more interest expense allowed. Due to the significant amount of taxable losses, this provision did not provide any benefit to the Company as all interest expense is disallowed (except as offset by interest income), even under the 50% limitation and using 2019 adjusted taxable income. The CARES Act allows employers to defer the deposit and payment of the employer’s share of Social Security taxes during the payroll tax deferral period of March 27, 2020 through December 31, 2020. The CARES Act provides for half of the deferred payroll taxes to be paid by December 31, 2021 and the second half to be paid by December 31, 2022. The Company did not participate in this deferral program.</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December 31, 2020, we have U.S. NOLs of approximately $956.3 million, research and development credit carryforwards (“R&amp;D credits”) of approximately $27.6 million and business interest expense carryforwards of $7.5 million. For income tax purposes, these NOLs and R&amp;D credits will expire in various amounts through 2037. NOLs generated after 2017 and the business interest expense carryforwards do not expire. The Tax Reform Act of 1986 contains provisions which limit the ability to utilize NOL carryforwards and R&amp;D credit carryforwards in the case of certain events including significant changes in ownership interests. The Exchange Transaction with TG Bio may have resulted in a “change in ownership” as defined by IRC Section 382 of the Internal Revenue Code of 1986, as amended. Additionally, stock issuance activities may have resulted in a “change in ownership” as defined by IRC Section 382 of the Internal Revenue Code of 1986, as amended. Accordingly, a substantial portion of the Company’s NOLs above may be subject to annual limitations in reducing any future year’s taxable income, and a substantial portion of the R&amp;D credit carryforwards may be subject to annual limitations in reducing any future year’s tax.</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2020 and 2019 are presented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223,685</w:t>
            </w:r>
          </w:p>
        </w:tc>
        <w:tc>
          <w:tcPr>
            <w:tcW w:w="220" w:type="dxa"/>
            <w:vAlign w:val="bottom"/>
          </w:tcPr>
          <w:p>
            <w:pPr>
              <w:spacing w:after="0"/>
              <w:rPr>
                <w:sz w:val="18"/>
                <w:szCs w:val="18"/>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Noncash compensation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22,381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Disallowed interest</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excluding valuation allowance</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0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(186,711)</w:t>
            </w:r>
          </w:p>
        </w:tc>
        <w:tc>
          <w:tcPr>
            <w:tcW w:w="0" w:type="dxa"/>
            <w:vAlign w:val="bottom"/>
          </w:tcPr>
          <w:p>
            <w:pPr>
              <w:spacing w:after="0"/>
              <w:rPr>
                <w:sz w:val="1"/>
                <w:szCs w:val="1"/>
                <w:color w:val="auto"/>
              </w:rPr>
            </w:pP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08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was no current or deferred income tax expense for the year ended December 31, 2020. Income tax expense differed from amounts computed by applying the U.S. federal income tax rate of 21% for the years ended December 31, 2020, 2019 and 2018, to pretax loss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3"/>
              </w:rPr>
              <w:t>Loss before income taxes, as reported in the consolidated statements of operations</w:t>
            </w: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(279,381)</w:t>
            </w: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(172,871)</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(58,670)</w:t>
            </w: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(36,303)</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income taxes resulting from:</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80"/>
              <w:spacing w:after="0"/>
              <w:rPr>
                <w:sz w:val="20"/>
                <w:szCs w:val="20"/>
                <w:color w:val="auto"/>
              </w:rPr>
            </w:pPr>
            <w:r>
              <w:rPr>
                <w:rFonts w:ascii="Arial" w:cs="Arial" w:eastAsia="Arial" w:hAnsi="Arial"/>
                <w:sz w:val="18"/>
                <w:szCs w:val="18"/>
                <w:color w:val="auto"/>
              </w:rPr>
              <w:t>Expected benefit from state and local taxes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(10,801)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Enactment of federal tax reform</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(14,763)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the balance of the valuation allowance for deferred tax assets</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file income tax returns in the U.S. federal and various state and local jurisdictions. With certain exceptions, the Company is no longer subject to U.S. federal and state income tax examinations by tax authorities for years prior to 2016. However, NOLs and tax credits generated from those prior years could still be adjusted upon audit.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would recognize interest and penalties, if any, to uncertain tax positions in income tax expense in the statement of operations. There was no accrual for interest and penalties related to uncertain tax positions for 2020. We do not believe that there will be a material change in our unrecognized tax positions over the next twelve months. All of the unrecognized tax benefits, if recognized, would be offset by the valuation allowance.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$152,000 for each of the years ended December 31, 2020, 2019 and 2018, and, at December 31, 2020 and 2019, have deferred revenue of approximately $0.8 million and $0.9 million, respectively, associated with this $2 million payment (approximately $152,000 of which has been classified in current liabilities at December 31, 2020 and 2019).</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 (Umbralisib)</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22, 2014, we exercised our option to license the global rights to umbralisib, thereby entering into an exclusive licensing agreement (the “TGR-1202 License”) with Rhizen Pharmaceuticals, SA (“Rhizen”) for the development and commercialization of umbralisib. Prior to this, we had been jointly developing umbralisib in a 50:50 joint venture with Rhizen.</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terms of the TGR-1202 License, Rhizen received a $4.0 million cash payment and 371,530 shares of our common stock as an upfront license fee. With respect to umbralisib, Rhizen is eligible to receive an aggregate of approximately $175 million in milestone payments, a small portion of which is attributable to the milestone paid upon the NDA filing for umbralisib and that will be payable based on the February 2021 FDA approval of umbralisib. The remainder of the milestone payments are payable on approval in multiple jurisdictions for up to two oncology indications and one non-oncology indication and attaining certain sales milestones. In addition, if umbralisib is co-formulated with another drug to create a new product (a "New Product"), Rhizen will be eligible to receive similar regulatory approval and sales-based milestone payments for such New Product. Additionally, Rhizen will be entitled to tiered royalties on our future net sales of umbralisib and any New Product. In lieu of sales milestones and royalties on net sales, Rhizen shall also be eligible to participate in sublicensing revenue, if any, based on a percentage that decreases as a function of the number of patients treated in clinical trials following the exercise of the license option. Rhizen will retain global manufacturing rights to umbralisib, provided that they are price competitive with alternative manufacturers.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TG-1501: PDL1 (Cosibelimab)</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2015, we entered into a Global Collaboration Agreement (“Collaboration Agreement”) with Checkpoint for the development and commercialization of anti-PD-L1 and anti-GITR antibody research programs in the field of hematological malignancies. The Collaboration Agreement was amended in June 2019 and upon execution of the amendment we incurred an upfront fee of $1.0 million. We incurred expenses of approximately $1.1 million, $4.1 million and $0.6 million for the years ended December 31, 2020, 2019 and 2018, respectively, the majority of which relates to manufacturing expenses and milestone payments of PD-L1. The relevant expenses are recorded in other research and development in the accompanying consolidated statements of operations.</w:t>
      </w:r>
    </w:p>
    <w:p>
      <w:pPr>
        <w:sectPr>
          <w:pgSz w:w="11900" w:h="16838" w:orient="portrait"/>
          <w:cols w:equalWidth="0" w:num="1">
            <w:col w:w="10220"/>
          </w:cols>
          <w:pgMar w:left="840" w:top="517" w:right="8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TG-1601: BET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2016, as part of a broader agreement with Jubilant Biosys (“Jubilant”), we entered into a sub-license agreement (“JBET Agreement”) with Checkpoint Therapeutics, Inc. (“Checkpoint”) (see Note 11), for the development and commercialization of Jubilant’s novel BET inhibitor program in the field of hematological malignancies.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TG-1701: BTK</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January 2018, we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Pursuant to the agreement, in April 2018, we paid Hengrui an upfront fee of $1.0 million in our common stock recorded to noncash stock expense associated with in-licensing agreements in our consolidated statement of operations. In addition, in July 2019, we paid Hengrui the first milestone of $0.1 million in our common stock recorded to noncash stock expense associated with in-licensing agreements in our consolidated statement of operations.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TG-1801: anti-CD47/anti-CD19</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recorded to noncash stock expense associated with in-licensing agreements in our consolidated statement of operations.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LFB Biotechnologies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LFB Group was issued 5,000,000 shares of common stock, and a warrant to purchase 2,500,000 shares of common stock at a purchase price of $0.001 per share.</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the terms of the LFB License Agreement, we utilize LFB Group for certain development and manufacturing services. As of December 31, 2020 we accrued approximately $6.0 million in expense related to the achievement of certain milestones of the LFB License Agreement. These expenses are included in other research and development expenses in the accompanying consolidated statements of operations. As of December 31, 2020, we had approximately zero recorded in accounts payable related to the LFB License Agreement.</w:t>
      </w:r>
    </w:p>
    <w:p>
      <w:pPr>
        <w:sectPr>
          <w:pgSz w:w="11900" w:h="16838" w:orient="portrait"/>
          <w:cols w:equalWidth="0" w:num="1">
            <w:col w:w="10220"/>
          </w:cols>
          <w:pgMar w:left="840" w:top="517" w:right="8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October 2014, we entered into the Office Agreement with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At January 1, 2019, we recognized a lease liability of $9.3 million, with a corresponding ROU asset of $7.7 million based on the present value of the remaining lease payments for all of our leased office spaces, the majority of which is comprised of our New York City office space. Mr. Weiss, our Executive Chairman and CEO, is also Executive Vice Chairman of FBIO.</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Office Agreement, we agreed to pay FBIO our portion of the build-out costs, which have been allocated to us at the 45% rate mentioned above. The allocated build-out costs have been recorded in Leasehold Interest, net on the Company's consolidated balance sheets and will be amortized over the 15-year term of the Office Agreement. 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December 31, 2020, the allocation rate is 65% and will be evaluated again in August 2021 for the following rent year.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$0.8 million, $0.9 million and $1.6 million for shared services for the years ended December 31, 2020, 2019 and 2018, respectively, primarily related to shared personnel.</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2016, as part of a broader agreement with Jubilant, we entered into a sublicense agreement with Checkpoint, a subsidiary of FBIO, for the development and commercialization of Jubilant’s novel BET inhibitor program in the field of hematological malignancies. We paid Checkpoint an up-front licensing fee of $1.0 million in July 2016 and incurred expenses of $0.2 million in March 2017 for the first milestone achievement as part of the JBET Agreement which is recorded in other research and development in the accompanying consolidated statement of operations.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2015, we entered into the Collaboration Agreement with Checkpoint for the development and commercialization of anti-PD-L1 and anti-GITR antibody research programs in the field of hematological malignancies. The Collaboration Agreement was amended in June 2019 and upon execution of the amendment we incurred an upfront fee of $1.0 million. We incurred expenses of approximately $1.1 million, $4.1 million and $0.6 million for the years ended December 31, 2020, 2019 and 2018, respectively, the majority of which relates to manufacturing expenses and milestone expenses PD-L1. The relevant expenses are recorded in other research and development in the accompanying consolidated statements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we have known contractual obligations; commitments and contingencies of $65.2 million related to our short- and long-term liabilities and operating lease obligations.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Payment due by period (in thousands)</w:t>
            </w: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4"/>
                <w:szCs w:val="14"/>
                <w:b w:val="1"/>
                <w:bCs w:val="1"/>
                <w:color w:val="auto"/>
                <w:w w:val="88"/>
              </w:rPr>
              <w:t>Less than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88"/>
              </w:rPr>
              <w:t>1-3 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3-5 years</w:t>
            </w:r>
          </w:p>
        </w:tc>
        <w:tc>
          <w:tcPr>
            <w:tcW w:w="200" w:type="dxa"/>
            <w:vAlign w:val="bottom"/>
          </w:tcPr>
          <w:p>
            <w:pPr>
              <w:spacing w:after="0"/>
              <w:rPr>
                <w:sz w:val="14"/>
                <w:szCs w:val="14"/>
                <w:color w:val="auto"/>
              </w:rPr>
            </w:pPr>
          </w:p>
        </w:tc>
        <w:tc>
          <w:tcPr>
            <w:tcW w:w="8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CEEFF"/>
            </w:tcBorders>
            <w:vMerge w:val="continue"/>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1 year</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5 years</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Operating leases</w:t>
            </w:r>
          </w:p>
        </w:tc>
        <w:tc>
          <w:tcPr>
            <w:tcW w:w="17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rPr>
              <w:t>19,548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manufacturer</w:t>
            </w:r>
          </w:p>
        </w:tc>
        <w:tc>
          <w:tcPr>
            <w:tcW w:w="15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15,669</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65,217</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Manufacturer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6 for a detailed description of our current liabilities. Future minimum contractual commitments as of December 31, 2020 total approximately $15.7 million and are due in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8 for a detailed description of our lease arrangements in New York and New Jersey. Total rental expense was approximately $2.7 million, $2.7 million and $1.4 million for the years ended December 31, 2020, 2019, and 2018, respectively.</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Future minimum lease commitments as of December 31, 2020, in the aggregate total approximately $19.5 million through December 31, 2031. The preceding table shows future minimum lease commitments, which include our office leases in New York, New Jersey, North Carolina and Tennessee by year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6920" w:type="dxa"/>
            <w:vAlign w:val="bottom"/>
            <w:gridSpan w:val="2"/>
          </w:tcPr>
          <w:p>
            <w:pPr>
              <w:ind w:left="1680"/>
              <w:spacing w:after="0"/>
              <w:rPr>
                <w:sz w:val="20"/>
                <w:szCs w:val="20"/>
                <w:color w:val="auto"/>
              </w:rPr>
            </w:pPr>
            <w:r>
              <w:rPr>
                <w:rFonts w:ascii="Arial" w:cs="Arial" w:eastAsia="Arial" w:hAnsi="Arial"/>
                <w:sz w:val="18"/>
                <w:szCs w:val="18"/>
                <w:b w:val="1"/>
                <w:bCs w:val="1"/>
                <w:color w:val="auto"/>
              </w:rPr>
              <w:t>TG THERAPEUTICS, INC.</w:t>
            </w:r>
          </w:p>
        </w:tc>
      </w:tr>
      <w:tr>
        <w:trPr>
          <w:trHeight w:val="365"/>
        </w:trPr>
        <w:tc>
          <w:tcPr>
            <w:tcW w:w="3180" w:type="dxa"/>
            <w:vAlign w:val="bottom"/>
          </w:tcPr>
          <w:p>
            <w:pPr>
              <w:spacing w:after="0"/>
              <w:rPr>
                <w:sz w:val="20"/>
                <w:szCs w:val="20"/>
                <w:color w:val="auto"/>
              </w:rPr>
            </w:pPr>
            <w:r>
              <w:rPr>
                <w:rFonts w:ascii="Arial" w:cs="Arial" w:eastAsia="Arial" w:hAnsi="Arial"/>
                <w:sz w:val="18"/>
                <w:szCs w:val="18"/>
                <w:color w:val="auto"/>
              </w:rPr>
              <w:t>Date: March 1, 2021</w:t>
            </w:r>
          </w:p>
        </w:tc>
        <w:tc>
          <w:tcPr>
            <w:tcW w:w="6920" w:type="dxa"/>
            <w:vAlign w:val="bottom"/>
            <w:gridSpan w:val="2"/>
          </w:tcPr>
          <w:p>
            <w:pPr>
              <w:ind w:left="1680"/>
              <w:spacing w:after="0"/>
              <w:rPr>
                <w:sz w:val="20"/>
                <w:szCs w:val="20"/>
                <w:color w:val="auto"/>
              </w:rPr>
            </w:pPr>
            <w:r>
              <w:rPr>
                <w:rFonts w:ascii="Arial" w:cs="Arial" w:eastAsia="Arial" w:hAnsi="Arial"/>
                <w:sz w:val="18"/>
                <w:szCs w:val="18"/>
                <w:color w:val="auto"/>
              </w:rPr>
              <w:t>By:  /s/ Michael S. Weiss</w:t>
            </w:r>
          </w:p>
        </w:tc>
      </w:tr>
      <w:tr>
        <w:trPr>
          <w:trHeight w:val="195"/>
        </w:trPr>
        <w:tc>
          <w:tcPr>
            <w:tcW w:w="3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3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230"/>
        </w:trPr>
        <w:tc>
          <w:tcPr>
            <w:tcW w:w="31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each of Michael S. Weiss and Sean A. Power, his true and lawful attorney-in-fact and agent, with full power of substitution and resubstitution, for him and his name, place and stead, in any and all capacities, to sign any or all amendments to this annual report on Form 10-K, and to file the same, with all exhibits thereto and other documents in connection therewith, with the SEC,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any of his substitutes, may lawfully do or cause to be done by virtue hereof.</w:t>
      </w:r>
    </w:p>
    <w:p>
      <w:pPr>
        <w:spacing w:after="0" w:line="15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Form 10-K has been signed by the following persons on behalf of the Registrant on March 1, 2021, and in the capacities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Signatures</w:t>
            </w:r>
          </w:p>
        </w:tc>
        <w:tc>
          <w:tcPr>
            <w:tcW w:w="280" w:type="dxa"/>
            <w:vAlign w:val="bottom"/>
          </w:tcPr>
          <w:p>
            <w:pPr>
              <w:spacing w:after="0"/>
              <w:rPr>
                <w:sz w:val="20"/>
                <w:szCs w:val="20"/>
                <w:color w:val="auto"/>
              </w:rPr>
            </w:pPr>
          </w:p>
        </w:tc>
        <w:tc>
          <w:tcPr>
            <w:tcW w:w="480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Title</w:t>
            </w:r>
          </w:p>
        </w:tc>
      </w:tr>
      <w:tr>
        <w:trPr>
          <w:trHeight w:val="195"/>
        </w:trPr>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0"/>
              </w:rPr>
              <w:t>/s/ Michael S. Weiss</w:t>
            </w:r>
          </w:p>
        </w:tc>
        <w:tc>
          <w:tcPr>
            <w:tcW w:w="28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Executive Chairman, Chief Executive Officer and President</w:t>
            </w: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89"/>
              </w:rPr>
              <w:t>Michael S. Weiss</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88"/>
              </w:rPr>
              <w:t>/s/ Sean A. Power</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Chief Financial Officer (principal financial and accounting</w:t>
            </w: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89"/>
              </w:rPr>
              <w:t>Sean A. Power</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officer)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90"/>
              </w:rPr>
              <w:t>/s/ Laurence N. Charney</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91"/>
              </w:rPr>
              <w:t>Laurence N. Charney</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90"/>
              </w:rPr>
              <w:t>/s/ Yann Echelard</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88"/>
              </w:rPr>
              <w:t>Yann Echelard</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91"/>
              </w:rPr>
              <w:t>/s/ Kenneth Hoberman</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89"/>
              </w:rPr>
              <w:t>Kenneth Hoberman</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92"/>
              </w:rPr>
              <w:t>/s/ Daniel Hume</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92"/>
              </w:rPr>
              <w:t>Daniel Hume</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92"/>
              </w:rPr>
              <w:t>/s/ William J. Kennedy</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94"/>
              </w:rPr>
              <w:t>William J. Kennedy</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91"/>
              </w:rPr>
              <w:t>/s/ Sagar Lonial</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90"/>
              </w:rPr>
              <w:t>Sagar Lonial</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When used herein, the terms “we,” “our,” and “us” refer to TG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summary of the terms of our common stock may not be complete and is subject to, and qualified in its entirety by reference to, the terms and provisions of our amended and restated certificate of incorporation and our restated bylaws. You should refer to, and read this summary together with, our amended and restated certificate of incorporation and restated bylaws to review all of the terms of our common stock that may be important to you.</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Common Stock</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Under our certificate of incorporation, we are authorized to issue a total of 150,000,000 shares of common stock, par value $0.001 per share. All outstanding shares of our common stock are fully paid and nonassessable. Our common stock is listed on the Nasdaq Capital Market under the symbol “TGTX.”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Subject to the dividend rights of the holders of any outstanding series of preferred stock, holders of our common stock are entitled to receive ratably such dividends and other distributions of cash or any other right or property as may be declared by our board of directors out of our assets or funds legally available for such dividends or distributions.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holders of our common stock are entitled to one vote for each share of common stock owned by that stockholder on every matter properly submitted to the stockholders for their vote. Stockholders are not entitled to vote cumulatively for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Dissolution</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holders of common stock would be entitled to share ratably in our assets that are legally available for distribution to stockholders after payment of liabilities. If we have any preferred stock outstanding at such time, holders of the preferred stock may be entitled to distributions and/or liquidation preferences. In either such case, we must pay the applicable distribution to the holders of our preferred stock (if any) before we may pay distributions to the holders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Holders of our common stock have no conversion, redemption, preemptive, subscription or similar rights.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American Stock Transfer and Trust Company serves as the transfer agent and registrar for all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Preferred Stock</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Under the terms of our restated certificate of incorporation, our board of directors is authorized to issue up to 10,000,000 shares of preferred stock, par value $0.001 per share. Our board of directors may issues shares of preferred stock in one or more series without stockholder approval, and has the discretion to determine the rights, preferences, privileges and restrictions, including voting rights, dividend rights, conversion rights, redemption privileges and liquidation preferences, of each series of preferred stock. We may amend from time to time our restated certificate of incorporation to increase the number of authorized shares of preferred stock. Any such amendment would require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25" w:name="page126"/>
    <w:bookmarkEnd w:id="125"/>
    <w:p>
      <w:pPr>
        <w:jc w:val="both"/>
        <w:spacing w:after="0" w:line="277" w:lineRule="auto"/>
        <w:rPr>
          <w:sz w:val="20"/>
          <w:szCs w:val="20"/>
          <w:color w:val="auto"/>
        </w:rPr>
      </w:pPr>
      <w:r>
        <w:rPr>
          <w:rFonts w:ascii="Arial" w:cs="Arial" w:eastAsia="Arial" w:hAnsi="Arial"/>
          <w:sz w:val="18"/>
          <w:szCs w:val="18"/>
          <w:color w:val="auto"/>
        </w:rPr>
        <w:t>approval of the holders of a majority of the voting power of the shares entitled to vote thereon. As of the current date, we have 10,000,000 shares of preferred shares authorized, but no shares of preferred stock outstanding.</w:t>
      </w:r>
    </w:p>
    <w:p>
      <w:pPr>
        <w:spacing w:after="0" w:line="170" w:lineRule="exact"/>
        <w:rPr>
          <w:sz w:val="20"/>
          <w:szCs w:val="20"/>
          <w:color w:val="auto"/>
        </w:rPr>
      </w:pPr>
    </w:p>
    <w:p>
      <w:pPr>
        <w:jc w:val="both"/>
        <w:ind w:firstLine="557"/>
        <w:spacing w:after="0" w:line="255" w:lineRule="auto"/>
        <w:rPr>
          <w:sz w:val="20"/>
          <w:szCs w:val="20"/>
          <w:color w:val="auto"/>
        </w:rPr>
      </w:pPr>
      <w:r>
        <w:rPr>
          <w:rFonts w:ascii="Arial" w:cs="Arial" w:eastAsia="Arial" w:hAnsi="Arial"/>
          <w:sz w:val="18"/>
          <w:szCs w:val="18"/>
          <w:color w:val="auto"/>
        </w:rPr>
        <w:t>It is not possible to state the actual effect of the issuance of any shares of preferred stock upon the rights of the holders of common stock until the board of directors determines the specific rights of the holders of preferred stock. However, effects of the issuance of preferred stock include restricting dividends on common stock, diluting the voting power of common stock, impairing the liquidation rights of common stock, and making it more difficult for a third party to acquire us, which could have the effect of discouraging a third party from acquiring, or deterring a third party from paying a premium to acquire, a majority of our outstanding voting stock.</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particular terms of any series of preferred stock being offered by us will be described in the applicable prospectus supplement relating to that series of preferred stock. Those terms may include:</w:t>
      </w:r>
    </w:p>
    <w:p>
      <w:pPr>
        <w:spacing w:after="0" w:line="170" w:lineRule="exact"/>
        <w:rPr>
          <w:sz w:val="20"/>
          <w:szCs w:val="20"/>
          <w:color w:val="auto"/>
        </w:rPr>
      </w:pPr>
    </w:p>
    <w:p>
      <w:pPr>
        <w:ind w:left="640" w:hanging="308"/>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title and liquidation preference per share of the preferred stock and the number of shares offered;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purchase price of the preferred stock;</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dividend rate (or method of calculation);</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dates on which dividends will be paid and the date from which dividends will begin to accumulate;</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redemption or sinking fund provisions of the preferred stock;</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conversion provisions of the preferred stock;</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voting rights, if any, of the preferred stock; and</w:t>
      </w:r>
    </w:p>
    <w:p>
      <w:pPr>
        <w:spacing w:after="0" w:line="225" w:lineRule="exact"/>
        <w:rPr>
          <w:rFonts w:ascii="Arial" w:cs="Arial" w:eastAsia="Arial" w:hAnsi="Arial"/>
          <w:sz w:val="18"/>
          <w:szCs w:val="18"/>
          <w:color w:val="auto"/>
        </w:rPr>
      </w:pPr>
    </w:p>
    <w:p>
      <w:pPr>
        <w:ind w:left="660" w:hanging="328"/>
        <w:spacing w:after="0" w:line="277" w:lineRule="auto"/>
        <w:tabs>
          <w:tab w:leader="none" w:pos="8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additional dividend, liquidation, redemption, sinking fund and other rights, preferences, privileges, limitations and restrictions of the preferred stock.</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preferred stock will, when issued, be fully paid and non-assessable.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WARRANTS</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may issue warrants to purchase shares of our common stock and/or preferred stock in one or more series together with other securities or separately, as described in each applicable prospectus supplement.</w:t>
      </w:r>
    </w:p>
    <w:p>
      <w:pPr>
        <w:spacing w:after="0" w:line="17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prospectus supplement relating to any warrants we offer will include specific terms relating to the offering. These terms will include some or all of the following:</w:t>
      </w:r>
    </w:p>
    <w:p>
      <w:pPr>
        <w:spacing w:after="0" w:line="170" w:lineRule="exact"/>
        <w:rPr>
          <w:sz w:val="20"/>
          <w:szCs w:val="20"/>
          <w:color w:val="auto"/>
        </w:rPr>
      </w:pPr>
    </w:p>
    <w:p>
      <w:pPr>
        <w:ind w:left="640" w:hanging="308"/>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aggregate number of warrants offered;</w:t>
      </w:r>
    </w:p>
    <w:p>
      <w:pPr>
        <w:spacing w:after="0" w:line="225" w:lineRule="exact"/>
        <w:rPr>
          <w:rFonts w:ascii="Arial" w:cs="Arial" w:eastAsia="Arial" w:hAnsi="Arial"/>
          <w:sz w:val="18"/>
          <w:szCs w:val="18"/>
          <w:color w:val="auto"/>
        </w:rPr>
      </w:pPr>
    </w:p>
    <w:p>
      <w:pPr>
        <w:ind w:left="660" w:hanging="328"/>
        <w:spacing w:after="0" w:line="277" w:lineRule="auto"/>
        <w:tabs>
          <w:tab w:leader="none" w:pos="65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 number and terms of the shares of common stock purchasable upon exercise of the warrants and procedures by which those numbers may be adjusted;</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exercise price of the warrants;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w:t>
      </w:r>
    </w:p>
    <w:p>
      <w:pPr>
        <w:sectPr>
          <w:pgSz w:w="11900" w:h="16838" w:orient="portrait"/>
          <w:cols w:equalWidth="0" w:num="1">
            <w:col w:w="9920"/>
          </w:cols>
          <w:pgMar w:left="980" w:top="109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7" w:right="999" w:bottom="1440" w:gutter="0" w:footer="0" w:header="0"/>
          <w:type w:val="continuous"/>
        </w:sectPr>
      </w:pPr>
    </w:p>
    <w:bookmarkStart w:id="126" w:name="page127"/>
    <w:bookmarkEnd w:id="126"/>
    <w:p>
      <w:pPr>
        <w:ind w:left="660" w:right="160" w:hanging="328"/>
        <w:spacing w:after="0" w:line="277" w:lineRule="auto"/>
        <w:tabs>
          <w:tab w:leader="none" w:pos="65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warrants are issued as a unit with another security, the date on and after which the warrants and the other security will be separately transferable;</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5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exercise price is not payable in U.S. dollars, the foreign currency, currency unit or composite currency in which the exercise price is denominated;</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terms relating to the modification of the warrants;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warrants;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specific terms of the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may offer debt securities which may be senior, subordinated or junior subordinated and may be convertible. Unless otherwise specified in the applicable prospectus supplement, our debt securities will be issued in one or more series under an indenture to be entered into between us and a trustee. We will issue the debt securities offered by any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The indenture will be subject to and governed by the terms of the Trust Indenture Act of 1939.</w:t>
      </w:r>
    </w:p>
    <w:p>
      <w:pPr>
        <w:spacing w:after="0" w:line="16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following description briefly sets forth certain general terms and provisions of the debt securities that we may offer. The particular terms of the debt securities offered by any prospectus supplement and the extent, if any, to which these general provisions may apply to the debt securities, will be described in the related prospectus supplement. Accordingly, for a description of the terms of a particular issue of debt securities, reference must be made to both the related prospectus supplement and to the following description.</w:t>
      </w:r>
    </w:p>
    <w:p>
      <w:pPr>
        <w:spacing w:after="0" w:line="15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aggregate principal amount of debt securities that may be issued under the indenture is unlimited. The debt securities may be issued in one or more series as may be authorized from time to time pursuant to a supplemental indenture entered into between us and the trustee or an order delivered by us to the trustee. For each series of debt securities we offer, a prospectus supplement will describe the following terms and conditions of the series of debt securities that we are offering, to the extent applicable:</w:t>
      </w:r>
    </w:p>
    <w:p>
      <w:pPr>
        <w:spacing w:after="0" w:line="157" w:lineRule="exact"/>
        <w:rPr>
          <w:sz w:val="20"/>
          <w:szCs w:val="20"/>
          <w:color w:val="auto"/>
        </w:rPr>
      </w:pPr>
    </w:p>
    <w:p>
      <w:pPr>
        <w:ind w:left="640" w:hanging="308"/>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title and aggregate principal amount;</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the debt securities will be senior, subordinated or junior subordinated;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applicable subordination provisions, if any;</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51"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provisions regarding whether the debt securities will be convertible or exchangeable into other securities or property of the Company or any other person;</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percentage or percentages of principal amount at which the debt securities will be issued;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maturity date(s);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interest rate(s) or the method for determining the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127" w:name="page128"/>
    <w:bookmarkEnd w:id="127"/>
    <w:p>
      <w:pPr>
        <w:ind w:left="308" w:hanging="308"/>
        <w:spacing w:after="0"/>
        <w:tabs>
          <w:tab w:leader="none" w:pos="3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interest on the debt securities will be payable in cash or additional debt securities of the same series;</w:t>
      </w:r>
    </w:p>
    <w:p>
      <w:pPr>
        <w:spacing w:after="0" w:line="225" w:lineRule="exact"/>
        <w:rPr>
          <w:rFonts w:ascii="Arial" w:cs="Arial" w:eastAsia="Arial" w:hAnsi="Arial"/>
          <w:sz w:val="18"/>
          <w:szCs w:val="18"/>
          <w:color w:val="auto"/>
        </w:rPr>
      </w:pPr>
    </w:p>
    <w:p>
      <w:pPr>
        <w:ind w:left="328" w:hanging="328"/>
        <w:spacing w:after="0" w:line="277" w:lineRule="auto"/>
        <w:tabs>
          <w:tab w:leader="none" w:pos="3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dates on which interest will accrue or the method for determining dates on which interest will accrue and dates on which interest will be payable;</w:t>
      </w:r>
    </w:p>
    <w:p>
      <w:pPr>
        <w:spacing w:after="0" w:line="170" w:lineRule="exact"/>
        <w:rPr>
          <w:rFonts w:ascii="Arial" w:cs="Arial" w:eastAsia="Arial" w:hAnsi="Arial"/>
          <w:sz w:val="18"/>
          <w:szCs w:val="18"/>
          <w:color w:val="auto"/>
        </w:rPr>
      </w:pPr>
    </w:p>
    <w:p>
      <w:pPr>
        <w:ind w:left="328" w:right="480" w:hanging="328"/>
        <w:spacing w:after="0" w:line="277" w:lineRule="auto"/>
        <w:tabs>
          <w:tab w:leader="none" w:pos="3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the amount of payment of principal of, premium, if any, or interest on the debt securities may be determined with reference to an index, formula or other method;</w:t>
      </w:r>
    </w:p>
    <w:p>
      <w:pPr>
        <w:spacing w:after="0" w:line="170" w:lineRule="exact"/>
        <w:rPr>
          <w:rFonts w:ascii="Arial" w:cs="Arial" w:eastAsia="Arial" w:hAnsi="Arial"/>
          <w:sz w:val="18"/>
          <w:szCs w:val="18"/>
          <w:color w:val="auto"/>
        </w:rPr>
      </w:pPr>
    </w:p>
    <w:p>
      <w:pPr>
        <w:ind w:left="328" w:right="480" w:hanging="328"/>
        <w:spacing w:after="0" w:line="277" w:lineRule="auto"/>
        <w:tabs>
          <w:tab w:leader="none" w:pos="3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redemption, repurchase or early repayment provisions, including our obligation or right to redeem, purchase or repay debt securities under a sinking fund, amortization or analogous provision;</w:t>
      </w:r>
    </w:p>
    <w:p>
      <w:pPr>
        <w:spacing w:after="0" w:line="170" w:lineRule="exact"/>
        <w:rPr>
          <w:rFonts w:ascii="Arial" w:cs="Arial" w:eastAsia="Arial" w:hAnsi="Arial"/>
          <w:sz w:val="18"/>
          <w:szCs w:val="18"/>
          <w:color w:val="auto"/>
        </w:rPr>
      </w:pPr>
    </w:p>
    <w:p>
      <w:pPr>
        <w:ind w:left="328" w:right="100" w:hanging="328"/>
        <w:spacing w:after="0" w:line="277" w:lineRule="auto"/>
        <w:tabs>
          <w:tab w:leader="none" w:pos="3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other than the debt securities’ principal amount, the portion of the principal amount of the debt securities that will be payable upon declaration of acceleration of the maturity;</w:t>
      </w:r>
    </w:p>
    <w:p>
      <w:pPr>
        <w:spacing w:after="0" w:line="170" w:lineRule="exact"/>
        <w:rPr>
          <w:rFonts w:ascii="Arial" w:cs="Arial" w:eastAsia="Arial" w:hAnsi="Arial"/>
          <w:sz w:val="18"/>
          <w:szCs w:val="18"/>
          <w:color w:val="auto"/>
        </w:rPr>
      </w:pPr>
    </w:p>
    <w:p>
      <w:pPr>
        <w:ind w:left="308" w:hanging="308"/>
        <w:spacing w:after="0"/>
        <w:tabs>
          <w:tab w:leader="none" w:pos="3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225" w:lineRule="exact"/>
        <w:rPr>
          <w:rFonts w:ascii="Arial" w:cs="Arial" w:eastAsia="Arial" w:hAnsi="Arial"/>
          <w:sz w:val="18"/>
          <w:szCs w:val="18"/>
          <w:color w:val="auto"/>
        </w:rPr>
      </w:pPr>
    </w:p>
    <w:p>
      <w:pPr>
        <w:ind w:left="308" w:hanging="308"/>
        <w:spacing w:after="0"/>
        <w:tabs>
          <w:tab w:leader="none" w:pos="3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form;</w:t>
      </w:r>
    </w:p>
    <w:p>
      <w:pPr>
        <w:spacing w:after="0" w:line="225" w:lineRule="exact"/>
        <w:rPr>
          <w:rFonts w:ascii="Arial" w:cs="Arial" w:eastAsia="Arial" w:hAnsi="Arial"/>
          <w:sz w:val="18"/>
          <w:szCs w:val="18"/>
          <w:color w:val="auto"/>
        </w:rPr>
      </w:pPr>
    </w:p>
    <w:p>
      <w:pPr>
        <w:ind w:left="328" w:right="140" w:hanging="328"/>
        <w:spacing w:after="0" w:line="277" w:lineRule="auto"/>
        <w:tabs>
          <w:tab w:leader="none" w:pos="3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 of discount or premium, if any, with which the debt securities will be issued, including whether the debt securities will be issued as “original issue discount” securities;</w:t>
      </w:r>
    </w:p>
    <w:p>
      <w:pPr>
        <w:spacing w:after="0" w:line="170" w:lineRule="exact"/>
        <w:rPr>
          <w:rFonts w:ascii="Arial" w:cs="Arial" w:eastAsia="Arial" w:hAnsi="Arial"/>
          <w:sz w:val="18"/>
          <w:szCs w:val="18"/>
          <w:color w:val="auto"/>
        </w:rPr>
      </w:pPr>
    </w:p>
    <w:p>
      <w:pPr>
        <w:ind w:left="308" w:hanging="308"/>
        <w:spacing w:after="0"/>
        <w:tabs>
          <w:tab w:leader="none" w:pos="3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place or places where the principal of, premium, if any, and interest on the debt securities will be payable;</w:t>
      </w:r>
    </w:p>
    <w:p>
      <w:pPr>
        <w:spacing w:after="0" w:line="225" w:lineRule="exact"/>
        <w:rPr>
          <w:rFonts w:ascii="Arial" w:cs="Arial" w:eastAsia="Arial" w:hAnsi="Arial"/>
          <w:sz w:val="18"/>
          <w:szCs w:val="18"/>
          <w:color w:val="auto"/>
        </w:rPr>
      </w:pPr>
    </w:p>
    <w:p>
      <w:pPr>
        <w:ind w:left="308" w:hanging="308"/>
        <w:spacing w:after="0"/>
        <w:tabs>
          <w:tab w:leader="none" w:pos="3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where the debt securities may be presented for registration of transfer, exchange or conversion;</w:t>
      </w:r>
    </w:p>
    <w:p>
      <w:pPr>
        <w:spacing w:after="0" w:line="225" w:lineRule="exact"/>
        <w:rPr>
          <w:rFonts w:ascii="Arial" w:cs="Arial" w:eastAsia="Arial" w:hAnsi="Arial"/>
          <w:sz w:val="18"/>
          <w:szCs w:val="18"/>
          <w:color w:val="auto"/>
        </w:rPr>
      </w:pPr>
    </w:p>
    <w:p>
      <w:pPr>
        <w:ind w:left="308" w:hanging="308"/>
        <w:spacing w:after="0"/>
        <w:tabs>
          <w:tab w:leader="none" w:pos="30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place or places where notices and demands to or upon the Company in respect of the debt securities may be made;</w:t>
      </w:r>
    </w:p>
    <w:p>
      <w:pPr>
        <w:spacing w:after="0" w:line="236" w:lineRule="exact"/>
        <w:rPr>
          <w:rFonts w:ascii="Arial" w:cs="Arial" w:eastAsia="Arial" w:hAnsi="Arial"/>
          <w:sz w:val="17"/>
          <w:szCs w:val="17"/>
          <w:color w:val="auto"/>
        </w:rPr>
      </w:pPr>
    </w:p>
    <w:p>
      <w:pPr>
        <w:ind w:left="308" w:hanging="308"/>
        <w:spacing w:after="0"/>
        <w:tabs>
          <w:tab w:leader="none" w:pos="3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the debt securities will be issued in whole or in part in the form of one or more global securities;</w:t>
      </w:r>
    </w:p>
    <w:p>
      <w:pPr>
        <w:spacing w:after="0" w:line="225" w:lineRule="exact"/>
        <w:rPr>
          <w:rFonts w:ascii="Arial" w:cs="Arial" w:eastAsia="Arial" w:hAnsi="Arial"/>
          <w:sz w:val="18"/>
          <w:szCs w:val="18"/>
          <w:color w:val="auto"/>
        </w:rPr>
      </w:pPr>
    </w:p>
    <w:p>
      <w:pPr>
        <w:ind w:left="328" w:right="240" w:hanging="328"/>
        <w:spacing w:after="0" w:line="286" w:lineRule="auto"/>
        <w:tabs>
          <w:tab w:leader="none" w:pos="318"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the debt securities will be issued in whole or in part in the form of a book-entry security, the depository or its nominee with respect to the debt securities and the circumstances under which the book-entry security may be registered for transfer or exchange or authenticated and delivered in the name of a person other than the depository or its nominee;</w:t>
      </w:r>
    </w:p>
    <w:p>
      <w:pPr>
        <w:spacing w:after="0" w:line="165" w:lineRule="exact"/>
        <w:rPr>
          <w:rFonts w:ascii="Arial" w:cs="Arial" w:eastAsia="Arial" w:hAnsi="Arial"/>
          <w:sz w:val="17"/>
          <w:szCs w:val="17"/>
          <w:color w:val="auto"/>
        </w:rPr>
      </w:pPr>
    </w:p>
    <w:p>
      <w:pPr>
        <w:ind w:left="328" w:right="40" w:hanging="328"/>
        <w:spacing w:after="0" w:line="277" w:lineRule="auto"/>
        <w:tabs>
          <w:tab w:leader="none" w:pos="3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170" w:lineRule="exact"/>
        <w:rPr>
          <w:rFonts w:ascii="Arial" w:cs="Arial" w:eastAsia="Arial" w:hAnsi="Arial"/>
          <w:sz w:val="18"/>
          <w:szCs w:val="18"/>
          <w:color w:val="auto"/>
        </w:rPr>
      </w:pPr>
    </w:p>
    <w:p>
      <w:pPr>
        <w:ind w:left="328" w:right="320" w:hanging="328"/>
        <w:spacing w:after="0" w:line="277" w:lineRule="auto"/>
        <w:tabs>
          <w:tab w:leader="none" w:pos="3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terms upon which beneficial interests in a temporary global security may be exchanged in whole or in part for beneficial interests in a definitive global security or for individual definitive securities;</w:t>
      </w:r>
    </w:p>
    <w:p>
      <w:pPr>
        <w:spacing w:after="0" w:line="170" w:lineRule="exact"/>
        <w:rPr>
          <w:rFonts w:ascii="Arial" w:cs="Arial" w:eastAsia="Arial" w:hAnsi="Arial"/>
          <w:sz w:val="18"/>
          <w:szCs w:val="18"/>
          <w:color w:val="auto"/>
        </w:rPr>
      </w:pPr>
    </w:p>
    <w:p>
      <w:pPr>
        <w:ind w:left="328" w:right="80" w:hanging="328"/>
        <w:spacing w:after="0" w:line="277" w:lineRule="auto"/>
        <w:tabs>
          <w:tab w:leader="none" w:pos="3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guarantors, if any, of the debt securities, and the extent of the guarantees and any additions or changes to permit or facilitate guarantees of such debt securities;</w:t>
      </w:r>
    </w:p>
    <w:p>
      <w:pPr>
        <w:spacing w:after="0" w:line="170" w:lineRule="exact"/>
        <w:rPr>
          <w:rFonts w:ascii="Arial" w:cs="Arial" w:eastAsia="Arial" w:hAnsi="Arial"/>
          <w:sz w:val="18"/>
          <w:szCs w:val="18"/>
          <w:color w:val="auto"/>
        </w:rPr>
      </w:pPr>
    </w:p>
    <w:p>
      <w:pPr>
        <w:ind w:left="308" w:hanging="308"/>
        <w:spacing w:after="0"/>
        <w:tabs>
          <w:tab w:leader="none" w:pos="3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225" w:lineRule="exact"/>
        <w:rPr>
          <w:rFonts w:ascii="Arial" w:cs="Arial" w:eastAsia="Arial" w:hAnsi="Arial"/>
          <w:sz w:val="18"/>
          <w:szCs w:val="18"/>
          <w:color w:val="auto"/>
        </w:rPr>
      </w:pPr>
    </w:p>
    <w:p>
      <w:pPr>
        <w:ind w:left="308" w:hanging="308"/>
        <w:spacing w:after="0"/>
        <w:tabs>
          <w:tab w:leader="none" w:pos="308"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defaults and events of default applicable to the debt securities, including the remedies available in connection therewith;</w:t>
      </w:r>
    </w:p>
    <w:p>
      <w:pPr>
        <w:spacing w:after="0" w:line="248" w:lineRule="exact"/>
        <w:rPr>
          <w:rFonts w:ascii="Arial" w:cs="Arial" w:eastAsia="Arial" w:hAnsi="Arial"/>
          <w:sz w:val="16"/>
          <w:szCs w:val="16"/>
          <w:color w:val="auto"/>
        </w:rPr>
      </w:pPr>
    </w:p>
    <w:p>
      <w:pPr>
        <w:ind w:left="328" w:right="320" w:hanging="328"/>
        <w:spacing w:after="0" w:line="277" w:lineRule="auto"/>
        <w:tabs>
          <w:tab w:leader="none" w:pos="3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currency, currencies or currency units in which the purchase price for, the principal of and any premium and any interest on, such debt securities will be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357505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68"/>
          </w:cols>
          <w:pgMar w:left="1312" w:top="881" w:right="1019" w:bottom="1440" w:gutter="0" w:footer="0" w:header="0"/>
        </w:sectPr>
      </w:pPr>
    </w:p>
    <w:bookmarkStart w:id="128" w:name="page129"/>
    <w:bookmarkEnd w:id="128"/>
    <w:p>
      <w:pPr>
        <w:ind w:left="660" w:right="220" w:hanging="328"/>
        <w:spacing w:after="0" w:line="277" w:lineRule="auto"/>
        <w:tabs>
          <w:tab w:leader="none" w:pos="65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time period within which, the manner in which and the terms and conditions upon which the Company or the purchaser of the debt securities can select the payment currency;</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securities exchange(s) on which the debt securities will be listed, if any;</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whether any underwriter(s) will act as market maker(s) for the debt securities;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extent to which a secondary market for the debt securities is expected to develop;</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provisions relating to defeasance;</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provisions relating to satisfaction and discharge of the indenture;</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restrictions or conditions on the transferability of the debt securities;</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51"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addition or change in the provisions related to compensation and reimbursement of the trustee;</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provisions, if any, granting special rights to holders upon the occurrence of specified events;</w:t>
      </w:r>
    </w:p>
    <w:p>
      <w:pPr>
        <w:spacing w:after="0" w:line="225" w:lineRule="exact"/>
        <w:rPr>
          <w:rFonts w:ascii="Arial" w:cs="Arial" w:eastAsia="Arial" w:hAnsi="Arial"/>
          <w:sz w:val="18"/>
          <w:szCs w:val="18"/>
          <w:color w:val="auto"/>
        </w:rPr>
      </w:pPr>
    </w:p>
    <w:p>
      <w:pPr>
        <w:ind w:left="660" w:right="580" w:hanging="328"/>
        <w:spacing w:after="0" w:line="277" w:lineRule="auto"/>
        <w:tabs>
          <w:tab w:leader="none" w:pos="651"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whether the debt securities will be secured or unsecured, and, if secured, the terms upon which the debt securities will be secured and any other additions or changes relating to such security; and</w:t>
      </w:r>
    </w:p>
    <w:p>
      <w:pPr>
        <w:spacing w:after="0" w:line="170" w:lineRule="exact"/>
        <w:rPr>
          <w:rFonts w:ascii="Arial" w:cs="Arial" w:eastAsia="Arial" w:hAnsi="Arial"/>
          <w:sz w:val="18"/>
          <w:szCs w:val="18"/>
          <w:color w:val="auto"/>
        </w:rPr>
      </w:pPr>
    </w:p>
    <w:p>
      <w:pPr>
        <w:ind w:left="660" w:right="220" w:hanging="328"/>
        <w:spacing w:after="0" w:line="308" w:lineRule="auto"/>
        <w:tabs>
          <w:tab w:leader="none" w:pos="651"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other terms of the debt securities that are not inconsistent with the provisions of the Trust Indenture Act (but may modify, amend, supplement or delete any of the terms of the indenture with respect to such series of debt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One or more series of debt securities may be sold as “original issue discount” securities. These debt securities would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the applicable prospectus supplement.</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Debt securities may be issued where the amount of principal and/or interest payable is determined by reference to one or more currency exchange rates, commodity prices, equity indices or other factors. Holders of such debt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w:t>
      </w:r>
    </w:p>
    <w:p>
      <w:pPr>
        <w:spacing w:after="0" w:line="19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term “debt securities” includes debt securities denominated in U.S. dollars or, if specified in the applicable prospectus supplement, in any other freely transferable currency or units based on or relating to foreign currencies.</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expect most debt securities to be issued in fully registered form without coupons and in denominations of $2,000 and any integral multiples thereof. Subject to the limitations provided in the indenture and in the prospectus supplement, debt securities that are issued in registered form may be transferred or exchanged at the principal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129" w:name="page130"/>
    <w:bookmarkEnd w:id="129"/>
    <w:p>
      <w:pPr>
        <w:jc w:val="both"/>
        <w:spacing w:after="0" w:line="277" w:lineRule="auto"/>
        <w:rPr>
          <w:sz w:val="20"/>
          <w:szCs w:val="20"/>
          <w:color w:val="auto"/>
        </w:rPr>
      </w:pPr>
      <w:r>
        <w:rPr>
          <w:rFonts w:ascii="Arial" w:cs="Arial" w:eastAsia="Arial" w:hAnsi="Arial"/>
          <w:sz w:val="18"/>
          <w:szCs w:val="18"/>
          <w:color w:val="auto"/>
        </w:rPr>
        <w:t>corporate trust office of the trustee, without the payment of any service charge, other than any tax or other governmental charge payable in connection therewith.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indenture and the debt securities shall be construed in accordance with and governed by the laws of the State of New York.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may issue, in one more series, units comprised of shares of our common stock or preferred stock, warrants to purchase common stock or preferred stock, debt securities or any combination of those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7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may evidence units by unit certificates that we issue under a separate agreement. We may issue the units under a unit agreement between us and one or more unit agents. If we elect to enter into a unit agreement with a unit agent, the unit agent will act solely as our agent in connection with the units and will not assume any obligation or relationship of agency or trust for or with any registered holders of units or beneficial owners of units. We will indicate the name and address and other information regarding the unit agent in the applicable prospectus supplement relating to a particular series of units if we elect to use a unit agent.</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77" w:lineRule="auto"/>
        <w:tabs>
          <w:tab w:leader="none" w:pos="89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herein;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provisions for the issuance, payment, settlement, transfer or exchange of the units or of the securities comprising the units.</w:t>
      </w:r>
    </w:p>
    <w:p>
      <w:pPr>
        <w:spacing w:after="0" w:line="248"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 other provisions regarding our common stock, preferred stock, warrants and debt securities as described in this section will apply to each unit to the extent such unit consists of shares of our common stock, preferred stock, warrants and/or debt securities.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7" w:right="9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of TG Therapeutics, Inc.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Ariston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TG Biologics,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AUS Pty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1" w:name="page132"/>
    <w:bookmarkEnd w:id="131"/>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consent to the incorporation by reference in registration statement Nos. 333-181439, 333-210227 and 333-225868 on Form S-8 and registration statement Nos. 333-233636 and 333-226097 on Form S-3 of TG Therapeutics, Inc. of our report dated March 1, 2021 on our audits of the consolidated financial statements of TG Therapeutics, Inc. and Subsidiaries as of December 31, 2020 and 2019, and for each of the three years in the period ended December 31, 2020, and our report on our audit of internal control over financial reporting of TG Therapeutics, Inc. and Subsidiaries as of December 31, 2020, dated March 1, 2021, included in this Annual Report on Form 10-K of TG Therapeutics, Inc. and Subsidiaries for the year ended December 31, 2020.</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2" w:name="page133"/>
    <w:bookmarkEnd w:id="132"/>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80" w:hanging="330"/>
        <w:spacing w:after="0"/>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March 1,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Executive Chairman, Chief Executive Officer and President</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33" w:name="page134"/>
    <w:bookmarkEnd w:id="133"/>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80" w:hanging="330"/>
        <w:spacing w:after="0"/>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March 1,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7"/>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34" w:name="page135"/>
    <w:bookmarkEnd w:id="134"/>
    <w:p>
      <w:pPr>
        <w:ind w:left="80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In connection with the annual report of TG Therapeutics, Inc. (the “Company”) on Form 10-K for the year ended December 31, 2020 as filed with the Securities and Exchange Commission (the “Report”), I, Michael S. Weiss, Executive Chairman, Chief Executive Officer and President of the Company, certify, pursuant to 18 U.S.C. §1350, as adopted pursuant to §906 of the Sarbanes-Oxley Act of 2002, that, based on my knowledge:</w:t>
      </w:r>
    </w:p>
    <w:p>
      <w:pPr>
        <w:spacing w:after="0" w:line="171" w:lineRule="exact"/>
        <w:rPr>
          <w:sz w:val="20"/>
          <w:szCs w:val="20"/>
          <w:color w:val="auto"/>
        </w:rPr>
      </w:pPr>
    </w:p>
    <w:p>
      <w:pPr>
        <w:ind w:left="700" w:right="519" w:hanging="326"/>
        <w:spacing w:after="0" w:line="277" w:lineRule="auto"/>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March 1,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Executive Chairman, Chief Executive Officer and President</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35" w:name="page136"/>
    <w:bookmarkEnd w:id="135"/>
    <w:p>
      <w:pPr>
        <w:ind w:left="80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In connection with the annual report of TG Therapeutics, Inc. (the “Company”) on Form 10-K for the year ended December 31, 2020 as filed with the Securities and Exchange Commission (the “Report”), I, Sean A. Power, Chief Financial Officer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March 1,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lvl w:ilvl="1">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lvl w:ilvl="1">
      <w:lvlJc w:val="left"/>
      <w:lvlText w:val="o"/>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o"/>
      <w:numFmt w:val="bullet"/>
      <w:start w:val="1"/>
    </w:lvl>
  </w:abstractNum>
  <w:abstractNum w:abstractNumId="19">
    <w:nsid w:val="579478FE"/>
    <w:multiLevelType w:val="hybridMultilevel"/>
    <w:lvl w:ilvl="0">
      <w:lvlJc w:val="left"/>
      <w:lvlText w:val=" "/>
      <w:numFmt w:val="bullet"/>
      <w:start w:val="1"/>
    </w:lvl>
  </w:abstractNum>
  <w:abstractNum w:abstractNumId="20">
    <w:nsid w:val="749ABB43"/>
    <w:multiLevelType w:val="hybridMultilevel"/>
    <w:lvl w:ilvl="0">
      <w:lvlJc w:val="left"/>
      <w:lvlText w:val="o"/>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1)"/>
      <w:numFmt w:val="lowerRoman"/>
      <w:start w:val="2"/>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1."/>
      <w:numFmt w:val="decimal"/>
      <w:start w:val="3"/>
    </w:lvl>
  </w:abstractNum>
  <w:abstractNum w:abstractNumId="60">
    <w:nsid w:val="5F5E7FD0"/>
    <w:multiLevelType w:val="hybridMultilevel"/>
    <w:lvl w:ilvl="0">
      <w:lvlJc w:val="left"/>
      <w:lvlText w:val="%1"/>
      <w:numFmt w:val="decimal"/>
      <w:start w:val="10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7" Type="http://schemas.openxmlformats.org/officeDocument/2006/relationships/image" Target="media/image103.png"/><Relationship Id="rId133"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10" Type="http://schemas.openxmlformats.org/officeDocument/2006/relationships/hyperlink" Target="http://www.sec.gov/Archives/edgar/data/1001316/000114420412044111/v320662_ex3-1.htm" TargetMode="External"/><Relationship Id="rId111" Type="http://schemas.openxmlformats.org/officeDocument/2006/relationships/hyperlink" Target="http://www.sec.gov/Archives/edgar/data/1001316/000114420414044721/v383699_ex3-2.htm" TargetMode="External"/><Relationship Id="rId112" Type="http://schemas.openxmlformats.org/officeDocument/2006/relationships/hyperlink" Target="http://www.sec.gov/Archives/edgar/data/1001316/000114420414043936/v384259_ex3-1.htm" TargetMode="External"/><Relationship Id="rId113" Type="http://schemas.openxmlformats.org/officeDocument/2006/relationships/hyperlink" Target="http://www.sec.gov/Archives/edgar/data/1001316/000114420412014947/v305275_ex4-1.htm" TargetMode="External"/><Relationship Id="rId114" Type="http://schemas.openxmlformats.org/officeDocument/2006/relationships/hyperlink" Target="http://www.sec.gov/Archives/edgar/data/1001316/000114420414043960/v384258_ex4-1.htm" TargetMode="External"/><Relationship Id="rId115" Type="http://schemas.openxmlformats.org/officeDocument/2006/relationships/hyperlink" Target="https://www.sec.gov/Archives/edgar/data/1001316/000114420412014947/v305275_ex10-30.htm" TargetMode="External"/><Relationship Id="rId116" Type="http://schemas.openxmlformats.org/officeDocument/2006/relationships/hyperlink" Target="https://www.sec.gov/Archives/edgar/data/1001316/000114420412014947/v305275_ex10-31.htm" TargetMode="External"/><Relationship Id="rId118" Type="http://schemas.openxmlformats.org/officeDocument/2006/relationships/hyperlink" Target="https://www.sec.gov/Archives/edgar/data/1001316/000114420413039748/v350136_ex10-1.htm" TargetMode="External"/><Relationship Id="rId119" Type="http://schemas.openxmlformats.org/officeDocument/2006/relationships/hyperlink" Target="http://www.sec.gov/Archives/edgar/data/1001316/000114420413039748/v350136_ex10-1.htm" TargetMode="External"/><Relationship Id="rId120" Type="http://schemas.openxmlformats.org/officeDocument/2006/relationships/hyperlink" Target="https://www.sec.gov/Archives/edgar/data/1001316/000114420412014947/v305275_ex10-32.htm" TargetMode="External"/><Relationship Id="rId121" Type="http://schemas.openxmlformats.org/officeDocument/2006/relationships/hyperlink" Target="http://www.sec.gov/Archives/edgar/data/1001316/000114420412014947/v305275_ex10-33.htm" TargetMode="External"/><Relationship Id="rId122" Type="http://schemas.openxmlformats.org/officeDocument/2006/relationships/hyperlink" Target="http://www.sec.gov/Archives/edgar/data/1001316/000114420413039748/v350136_ex10-2.htm" TargetMode="External"/><Relationship Id="rId123" Type="http://schemas.openxmlformats.org/officeDocument/2006/relationships/hyperlink" Target="http://www.sec.gov/Archives/edgar/data/1001316/000114420415001128/v398294_ex10-2.htm" TargetMode="External"/><Relationship Id="rId124" Type="http://schemas.openxmlformats.org/officeDocument/2006/relationships/hyperlink" Target="http://www.sec.gov/Archives/edgar/data/1001316/000114420412014947/v305275_ex10-35.htm" TargetMode="External"/><Relationship Id="rId125" Type="http://schemas.openxmlformats.org/officeDocument/2006/relationships/hyperlink" Target="http://www.sec.gov/Archives/edgar/data/1001316/000114420412029703/v313328_ex10-1.htm" TargetMode="External"/><Relationship Id="rId126" Type="http://schemas.openxmlformats.org/officeDocument/2006/relationships/hyperlink" Target="http://www.sec.gov/Archives/edgar/data/1001316/000114420415024949/v408055_def14a.htm" TargetMode="External"/><Relationship Id="rId127" Type="http://schemas.openxmlformats.org/officeDocument/2006/relationships/hyperlink" Target="https://www.sec.gov/Archives/edgar/data/1001316/000155837020007744/tgtx-20200618xex10d1.htm" TargetMode="External"/><Relationship Id="rId128" Type="http://schemas.openxmlformats.org/officeDocument/2006/relationships/hyperlink" Target="http://www.sec.gov/Archives/edgar/data/1001316/000114420413016691/v335518_ex10-37.htm" TargetMode="External"/><Relationship Id="rId129" Type="http://schemas.openxmlformats.org/officeDocument/2006/relationships/hyperlink" Target="http://www.sec.gov/Archives/edgar/data/1001316/000114420414044721/v383699_ex10-1.htm" TargetMode="External"/><Relationship Id="rId130" Type="http://schemas.openxmlformats.org/officeDocument/2006/relationships/hyperlink" Target="http://www.sec.gov/Archives/edgar/data/1001316/000114420415002790/v399000_ex10-1.htm" TargetMode="External"/><Relationship Id="rId131" Type="http://schemas.openxmlformats.org/officeDocument/2006/relationships/hyperlink" Target="http://www.sec.gov/Archives/edgar/data/1001316/000114420415029311/v408312_ex10-1.htm" TargetMode="External"/><Relationship Id="rId132" Type="http://schemas.openxmlformats.org/officeDocument/2006/relationships/hyperlink" Target="http://www.sec.gov/Archives/edgar/data/1001316/000165495416001302/Exhibit10-1_Sublicense.htm" TargetMode="External"/><Relationship Id="rId134" Type="http://schemas.openxmlformats.org/officeDocument/2006/relationships/hyperlink" Target="http://www.sec.gov/Archives/edgar/data/1001316/000165495417002229/v032117_EX1018.htm" TargetMode="External"/><Relationship Id="rId135" Type="http://schemas.openxmlformats.org/officeDocument/2006/relationships/hyperlink" Target="http://www.sec.gov/Archives/edgar/data/1001316/000165495417002229/v032117_EX1019.htm" TargetMode="External"/><Relationship Id="rId136" Type="http://schemas.openxmlformats.org/officeDocument/2006/relationships/hyperlink" Target="http://www.sec.gov/Archives/edgar/data/1001316/000165495418002638/tgtx_ex1020.htm" TargetMode="External"/><Relationship Id="rId137" Type="http://schemas.openxmlformats.org/officeDocument/2006/relationships/hyperlink" Target="http://www.sec.gov/Archives/edgar/data/1001316/000165495418008750/exhibit10-20.htm" TargetMode="External"/><Relationship Id="rId138" Type="http://schemas.openxmlformats.org/officeDocument/2006/relationships/hyperlink" Target="http://www.sec.gov/Archives/edgar/data/1001316/000165495419009176/tgtx_ex102.htm" TargetMode="External"/><Relationship Id="rId139" Type="http://schemas.openxmlformats.org/officeDocument/2006/relationships/hyperlink" Target="http://www.sec.gov/Archives/edgar/data/1001316/000165495419002276/v030519_ex102.htm" TargetMode="External"/><Relationship Id="rId140" Type="http://schemas.openxmlformats.org/officeDocument/2006/relationships/hyperlink" Target="http://www.sec.gov/Archives/edgar/data/1001316/000165495419002276/v030519_ex103.htm" TargetMode="External"/><Relationship Id="rId141" Type="http://schemas.openxmlformats.org/officeDocument/2006/relationships/hyperlink" Target="http://www.sec.gov/Archives/edgar/data/1001316/000165495419002276/v030519_ex104.htm" TargetMode="External"/><Relationship Id="rId142" Type="http://schemas.openxmlformats.org/officeDocument/2006/relationships/hyperlink" Target="http://www.sec.gov/Archives/edgar/data/1001316/000165495419009176/tgtx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2021-03-01T15:08:02Z</dcterms:created>
  <dcterms:modified xsi:type="dcterms:W3CDTF">2021-03-01T15:08:02Z</dcterms:modified>
</cp:coreProperties>
</file>