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8" w:lineRule="exact"/>
        <w:rPr>
          <w:sz w:val="24"/>
          <w:szCs w:val="24"/>
          <w:color w:val="auto"/>
        </w:rPr>
      </w:pPr>
    </w:p>
    <w:p>
      <w:pPr>
        <w:ind w:left="4140" w:right="2920" w:hanging="1222"/>
        <w:spacing w:after="0" w:line="301" w:lineRule="auto"/>
        <w:tabs>
          <w:tab w:leader="none" w:pos="310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4140" w:right="2900" w:hanging="1226"/>
        <w:spacing w:after="0" w:line="301" w:lineRule="auto"/>
        <w:tabs>
          <w:tab w:leader="none" w:pos="310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TG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36-3898269</w:t>
      </w:r>
    </w:p>
    <w:p>
      <w:pPr>
        <w:spacing w:after="0" w:line="28"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9" w:lineRule="exact"/>
        <w:rPr>
          <w:sz w:val="24"/>
          <w:szCs w:val="24"/>
          <w:color w:val="auto"/>
        </w:rPr>
      </w:pPr>
    </w:p>
    <w:p>
      <w:pPr>
        <w:sectPr>
          <w:pgSz w:w="11900" w:h="16838" w:orient="portrait"/>
          <w:cols w:equalWidth="0" w:num="2">
            <w:col w:w="6540" w:space="720"/>
            <w:col w:w="3980"/>
          </w:cols>
          <w:pgMar w:left="320" w:top="47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3020 Carrington Mill Blvd, Suite 475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Morrisville, North Carolina 27560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of principal executive offices)</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(877) 575-8489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6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5"/>
        </w:trPr>
        <w:tc>
          <w:tcPr>
            <w:tcW w:w="39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196"/>
        </w:trPr>
        <w:tc>
          <w:tcPr>
            <w:tcW w:w="39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Title of Class</w:t>
            </w:r>
          </w:p>
        </w:tc>
        <w:tc>
          <w:tcPr>
            <w:tcW w:w="33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9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Exchange Name</w:t>
            </w:r>
          </w:p>
        </w:tc>
      </w:tr>
      <w:tr>
        <w:trPr>
          <w:trHeight w:val="179"/>
        </w:trPr>
        <w:tc>
          <w:tcPr>
            <w:tcW w:w="396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 par value $0.001</w:t>
            </w:r>
          </w:p>
        </w:tc>
        <w:tc>
          <w:tcPr>
            <w:tcW w:w="33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TGTX</w:t>
            </w:r>
          </w:p>
        </w:tc>
        <w:tc>
          <w:tcPr>
            <w:tcW w:w="39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Nasdaq Capital Market</w:t>
            </w:r>
          </w:p>
        </w:tc>
      </w:tr>
    </w:tbl>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13"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2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type w:val="continuous"/>
        </w:sectPr>
      </w:pPr>
    </w:p>
    <w:p>
      <w:pPr>
        <w:spacing w:after="0" w:line="12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240" w:space="720"/>
            <w:col w:w="1280"/>
          </w:cols>
          <w:pgMar w:left="320" w:top="472" w:right="339" w:bottom="1440" w:gutter="0" w:footer="0" w:header="0"/>
          <w:type w:val="continuous"/>
        </w:sectPr>
      </w:pP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60" w:space="720"/>
            <w:col w:w="1960"/>
          </w:cols>
          <w:pgMar w:left="320" w:top="472" w:right="339" w:bottom="1440" w:gutter="0" w:footer="0" w:header="0"/>
          <w:type w:val="continuous"/>
        </w:sectPr>
      </w:pPr>
    </w:p>
    <w:p>
      <w:pPr>
        <w:spacing w:after="0" w:line="21" w:lineRule="exact"/>
        <w:rPr>
          <w:sz w:val="24"/>
          <w:szCs w:val="24"/>
          <w:color w:val="auto"/>
        </w:rPr>
      </w:pPr>
    </w:p>
    <w:p>
      <w:pPr>
        <w:ind w:left="92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72" w:right="339" w:bottom="1440" w:gutter="0" w:footer="0" w:header="0"/>
          <w:type w:val="continuous"/>
        </w:sectPr>
      </w:pPr>
    </w:p>
    <w:p>
      <w:pPr>
        <w:spacing w:after="0" w:line="8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153,083,580 shares of the registrant’s common stock, $0.001 par value, outstanding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4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gridSpan w:val="10"/>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580" w:type="dxa"/>
            <w:vAlign w:val="bottom"/>
            <w:gridSpan w:val="3"/>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20" w:type="dxa"/>
            <w:vAlign w:val="bottom"/>
            <w:gridSpan w:val="10"/>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40" w:type="dxa"/>
            <w:vAlign w:val="bottom"/>
            <w:gridSpan w:val="9"/>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40" w:type="dxa"/>
            <w:vAlign w:val="bottom"/>
            <w:gridSpan w:val="6"/>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080" w:type="dxa"/>
            <w:vAlign w:val="bottom"/>
            <w:gridSpan w:val="2"/>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20" w:type="dxa"/>
            <w:vAlign w:val="bottom"/>
            <w:gridSpan w:val="7"/>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00" w:type="dxa"/>
            <w:vAlign w:val="bottom"/>
            <w:gridSpan w:val="12"/>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40" w:type="dxa"/>
            <w:vAlign w:val="bottom"/>
            <w:gridSpan w:val="8"/>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00" w:type="dxa"/>
            <w:vAlign w:val="bottom"/>
            <w:gridSpan w:val="13"/>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60" w:type="dxa"/>
            <w:vAlign w:val="bottom"/>
            <w:gridSpan w:val="16"/>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89</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90</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Certain matters discussed in this Quarterly Report on Form 10-Q contain forward-looking statements. All statements other than statements of historical facts may constitute forward-looking statements. We intend such forward-looking statements to be subject to the safe harbor provisions of the Private Securities Litigation Reform Act of 1995, including Section 27A of the Securities Act of 1933, as amended (Securities Act) and Section 21E of the Securities Exchange Act of 1934, as amended (Exchange Act). Forward-looking statements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All written or oral forward-looking statements attributable to us are expressly qualified in their entirety by these cautionary statements. Such forward-looking statements include, but are not limited to, statements about:</w:t>
      </w:r>
    </w:p>
    <w:p>
      <w:pPr>
        <w:spacing w:after="0" w:line="151" w:lineRule="exact"/>
        <w:rPr>
          <w:sz w:val="20"/>
          <w:szCs w:val="20"/>
          <w:color w:val="auto"/>
        </w:rPr>
      </w:pPr>
    </w:p>
    <w:p>
      <w:pPr>
        <w:jc w:val="both"/>
        <w:ind w:left="460" w:hanging="452"/>
        <w:spacing w:after="0" w:line="267"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approvals for our product candidates and our ability to maintain regulatory approval of BRIUMVI® (ublituximab-xiiy) 150 mg/6 mL Injection for intravenous therapy for the treatment of relapsing forms of multiple sclerosis (RMS) or any other future indication in the United States (U.S.) or any other jurisdiction outside of the U.S.;</w:t>
      </w:r>
    </w:p>
    <w:p>
      <w:pPr>
        <w:spacing w:after="0" w:line="1" w:lineRule="exact"/>
        <w:rPr>
          <w:rFonts w:ascii="Times New Roman" w:cs="Times New Roman" w:eastAsia="Times New Roman" w:hAnsi="Times New Roman"/>
          <w:sz w:val="16"/>
          <w:szCs w:val="16"/>
          <w:color w:val="auto"/>
        </w:rPr>
      </w:pPr>
    </w:p>
    <w:p>
      <w:pPr>
        <w:ind w:left="46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adapt and expand our commercial infrastructure to successfully, or in the timeframe projected, market and sell BRIUMVI and our other product candidates;</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 reliable supply of our products that meets market demand;</w:t>
      </w:r>
    </w:p>
    <w:p>
      <w:pPr>
        <w:spacing w:after="0" w:line="18" w:lineRule="exact"/>
        <w:rPr>
          <w:rFonts w:ascii="Times New Roman" w:cs="Times New Roman" w:eastAsia="Times New Roman" w:hAnsi="Times New Roman"/>
          <w:sz w:val="16"/>
          <w:szCs w:val="16"/>
          <w:color w:val="auto"/>
        </w:rPr>
      </w:pPr>
    </w:p>
    <w:p>
      <w:pPr>
        <w:ind w:left="46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of the ongoing commercialization and availability of BRIUMVI or any future products or combinations of products, including the anticipated rate and degree of market acceptance and pricing and reimbursement;</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timing, progress and results of our preclinical studies and clinical trials;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advance drug candidates into, and successfully complete, clinical trials;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formulate, manufacture and commercialize our product candidates;</w:t>
      </w:r>
    </w:p>
    <w:p>
      <w:pPr>
        <w:spacing w:after="0" w:line="18" w:lineRule="exact"/>
        <w:rPr>
          <w:rFonts w:ascii="Times New Roman" w:cs="Times New Roman" w:eastAsia="Times New Roman" w:hAnsi="Times New Roman"/>
          <w:sz w:val="16"/>
          <w:szCs w:val="16"/>
          <w:color w:val="auto"/>
        </w:rPr>
      </w:pPr>
    </w:p>
    <w:p>
      <w:pPr>
        <w:ind w:left="460" w:right="2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of our business model and strategic plans for our business and drug candidates;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protection we are able to establish and maintain for intellectual property rights covering our product and product candidates;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estimates of our expenses, future revenues, capital requirements and our needs for additional financing;</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establish collaborations and enter into strategic arrangements, if desired;</w:t>
      </w:r>
    </w:p>
    <w:p>
      <w:pPr>
        <w:spacing w:after="0" w:line="18" w:lineRule="exact"/>
        <w:rPr>
          <w:rFonts w:ascii="Times New Roman" w:cs="Times New Roman" w:eastAsia="Times New Roman" w:hAnsi="Times New Roman"/>
          <w:sz w:val="16"/>
          <w:szCs w:val="16"/>
          <w:color w:val="auto"/>
        </w:rPr>
      </w:pPr>
    </w:p>
    <w:p>
      <w:pPr>
        <w:ind w:left="460" w:right="20" w:hanging="452"/>
        <w:spacing w:after="0" w:line="264"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meet any of our financial projections or guidance, including without limitation short and long-term revenue and operating expense projections or guidance and changes to the assumptions underlying those projections or guidance;</w:t>
      </w: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sufficient capital to fund our planned operations;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cash burn management;</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or obtain adequate product liability and other insurance coverage;</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w:t>
      </w:r>
    </w:p>
    <w:p>
      <w:pPr>
        <w:spacing w:after="0" w:line="18" w:lineRule="exact"/>
        <w:rPr>
          <w:rFonts w:ascii="Times New Roman" w:cs="Times New Roman" w:eastAsia="Times New Roman" w:hAnsi="Times New Roman"/>
          <w:sz w:val="16"/>
          <w:szCs w:val="16"/>
          <w:color w:val="auto"/>
        </w:rPr>
      </w:pPr>
    </w:p>
    <w:p>
      <w:pPr>
        <w:ind w:left="460" w:right="20" w:hanging="452"/>
        <w:spacing w:after="0" w:line="183" w:lineRule="auto"/>
        <w:tabs>
          <w:tab w:leader="none" w:pos="460" w:val="left"/>
        </w:tabs>
        <w:numPr>
          <w:ilvl w:val="0"/>
          <w:numId w:val="4"/>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the effects on our company of future regulatory developments or legislative actions, including changes in healthcare, environmental and other laws and regulations to which we are subject, including tariffs that may apply to products that we purchase or sell;</w:t>
      </w:r>
    </w:p>
    <w:p>
      <w:pPr>
        <w:spacing w:after="0" w:line="1" w:lineRule="exact"/>
        <w:rPr>
          <w:rFonts w:ascii="Times New Roman" w:cs="Times New Roman" w:eastAsia="Times New Roman" w:hAnsi="Times New Roman"/>
          <w:sz w:val="30"/>
          <w:szCs w:val="30"/>
          <w:color w:val="auto"/>
          <w:vertAlign w:val="subscript"/>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prevailing economic, market and business conditions;</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attract and hire key personnel;</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position;</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trading price of our common stock;</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cash and other resources; and</w:t>
      </w:r>
    </w:p>
    <w:p>
      <w:pPr>
        <w:spacing w:after="0" w:line="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strategy.</w:t>
      </w:r>
    </w:p>
    <w:p>
      <w:pPr>
        <w:spacing w:after="0" w:line="2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color w:val="auto"/>
        </w:rPr>
        <w:t>Forward-looking statements are not guarantees of performance. They involve risks, uncertainties and assumptions. You should refer to the “Risk Factors” section in this Quarterly Report on Form 10-Q for a discussion of important factors that may cause our actual results to differ materially from those expressed or implied by our forward-looking statements. Although we make such statements based on assumptions that we believe to be reasonable, there can be no assurance that actual results will not differ materially from our expectations. We caution you not to rely unduly on any forward-looking statements.</w:t>
      </w:r>
    </w:p>
    <w:p>
      <w:pPr>
        <w:spacing w:after="0" w:line="16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6"/>
          <w:szCs w:val="16"/>
          <w:color w:val="auto"/>
        </w:rPr>
        <w:t>These forward-looking statements speak only as of the date of this Quarterly Report on Form 10-Q. We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views as of any date subsequent to the date of this Quarterly Report on Form 10-Q.</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discussed in the section entitled “Risk Factors” in Part I, Item 1A of our Annual Report on Form 10-K for the fiscal year ended December 31, 2025, and any other risks described in the other reports and documents that we have filed with the Securities and Exchange Commission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Commercialization</w:t>
      </w:r>
    </w:p>
    <w:p>
      <w:pPr>
        <w:spacing w:after="0" w:line="28" w:lineRule="exact"/>
        <w:rPr>
          <w:sz w:val="20"/>
          <w:szCs w:val="20"/>
          <w:color w:val="auto"/>
        </w:rPr>
      </w:pPr>
    </w:p>
    <w:p>
      <w:pPr>
        <w:jc w:val="both"/>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w:t>
      </w:r>
    </w:p>
    <w:p>
      <w:pPr>
        <w:ind w:left="340" w:right="2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p>
      <w:pPr>
        <w:ind w:left="340" w:right="2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BRIUMVI, and any of our product candidates for which we in the future obtain marketing approval, may, after approval, be found to cause undesirable side effects that could result in significant negative consequences following commercialization.</w:t>
      </w:r>
    </w:p>
    <w:p>
      <w:pPr>
        <w:jc w:val="both"/>
        <w:ind w:left="340" w:right="2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commercializing drugs before or more successfully than we do, resulting in the reduction or elimination of our commercial opportunity.</w:t>
      </w:r>
    </w:p>
    <w:p>
      <w:pPr>
        <w:ind w:left="340" w:right="20" w:hanging="332"/>
        <w:spacing w:after="0" w:line="183" w:lineRule="auto"/>
        <w:tabs>
          <w:tab w:leader="none" w:pos="340" w:val="left"/>
        </w:tabs>
        <w:numPr>
          <w:ilvl w:val="0"/>
          <w:numId w:val="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 w:lineRule="exact"/>
        <w:rPr>
          <w:rFonts w:ascii="Times New Roman" w:cs="Times New Roman" w:eastAsia="Times New Roman" w:hAnsi="Times New Roman"/>
          <w:sz w:val="30"/>
          <w:szCs w:val="30"/>
          <w:color w:val="auto"/>
          <w:vertAlign w:val="subscript"/>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lawsuits against us could cause us to incur substantial liabilities and could limit commercialization of any drug candidates that we may develop.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2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substantial operating losses since our inception, and we may incur losses in the future.</w:t>
      </w:r>
    </w:p>
    <w:p>
      <w:pPr>
        <w:spacing w:after="0" w:line="18" w:lineRule="exact"/>
        <w:rPr>
          <w:rFonts w:ascii="Times New Roman" w:cs="Times New Roman" w:eastAsia="Times New Roman" w:hAnsi="Times New Roman"/>
          <w:sz w:val="16"/>
          <w:szCs w:val="16"/>
          <w:color w:val="auto"/>
        </w:rPr>
      </w:pPr>
    </w:p>
    <w:p>
      <w:pPr>
        <w:ind w:left="340" w:right="20" w:hanging="332"/>
        <w:spacing w:after="0" w:line="26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 of indebtedness and debt service obligations could adversely affect our financial condition and may make it more difficult for us to fund our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Drug Development and Regulatory Approval</w:t>
      </w:r>
    </w:p>
    <w:p>
      <w:pPr>
        <w:spacing w:after="0" w:line="28" w:lineRule="exact"/>
        <w:rPr>
          <w:sz w:val="20"/>
          <w:szCs w:val="20"/>
          <w:color w:val="auto"/>
        </w:rPr>
      </w:pPr>
    </w:p>
    <w:p>
      <w:pPr>
        <w:ind w:left="340" w:right="2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maintain or obtain regulatory approval for our product or product candidates and ultimately cannot successfully commercialize our product or product candidates, or experience significant delays in doing so, our business will be materially harmed.</w:t>
      </w:r>
    </w:p>
    <w:p>
      <w:pPr>
        <w:jc w:val="both"/>
        <w:ind w:left="34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Biologics carry unique risks and uncertainties, which could have a negative impact on our business.</w:t>
      </w:r>
    </w:p>
    <w:p>
      <w:pPr>
        <w:spacing w:after="0" w:line="18"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or product candidates may cause undesirable side effects that could delay or prevent their regulatory approval or impact their availability and commercial potential after approval.</w:t>
      </w:r>
    </w:p>
    <w:p>
      <w:pPr>
        <w:ind w:left="340" w:hanging="332"/>
        <w:spacing w:after="0" w:line="28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Governmental Regulation of the Pharmaceutical Industry and Legal Compliance Matters</w:t>
      </w:r>
    </w:p>
    <w:p>
      <w:pPr>
        <w:spacing w:after="0" w:line="28" w:lineRule="exact"/>
        <w:rPr>
          <w:sz w:val="20"/>
          <w:szCs w:val="20"/>
          <w:color w:val="auto"/>
        </w:rPr>
      </w:pPr>
    </w:p>
    <w:p>
      <w:pPr>
        <w:ind w:left="340" w:hanging="332"/>
        <w:spacing w:after="0" w:line="264"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new legislation, regulatory proposals and third-party payor initiatives that may increase our costs of compliance and adversely affect our ability to market our products, obtain collaborators and raise capital.</w:t>
      </w:r>
    </w:p>
    <w:p>
      <w:pPr>
        <w:jc w:val="both"/>
        <w:ind w:left="340" w:hanging="332"/>
        <w:spacing w:after="0" w:line="276"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adequately understand and comply with the local laws and customs as we expand into new international markets, these operations may incur losses or otherwise adversely affect our business and results of operations.</w:t>
      </w:r>
    </w:p>
    <w:p>
      <w:pPr>
        <w:ind w:left="340" w:right="20" w:hanging="332"/>
        <w:spacing w:after="0" w:line="28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contract with third parties for the manufacture and testing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ind w:left="34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ind w:left="340" w:right="20" w:hanging="332"/>
        <w:spacing w:after="0" w:line="264"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jc w:val="both"/>
        <w:ind w:left="340" w:hanging="332"/>
        <w:spacing w:after="0" w:line="272"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28" w:lineRule="exact"/>
        <w:rPr>
          <w:sz w:val="20"/>
          <w:szCs w:val="20"/>
          <w:color w:val="auto"/>
        </w:rPr>
      </w:pPr>
    </w:p>
    <w:p>
      <w:pPr>
        <w:jc w:val="both"/>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enforce our intellectual property rights throughout the world.</w:t>
      </w:r>
    </w:p>
    <w:p>
      <w:pPr>
        <w:spacing w:after="0" w:line="18"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partners are sued for infringing intellectual property rights of third parties, it will be costly and time consuming, and an unfavorable outcome in that litigation would have a material adverse effect on our business.</w:t>
      </w:r>
    </w:p>
    <w:p>
      <w:pPr>
        <w:ind w:left="340" w:right="20" w:hanging="332"/>
        <w:spacing w:after="0" w:line="264"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to license certain intellectual property from third parties, and such licenses may not be available or may not be available on commercially reasonable terms.</w:t>
      </w:r>
    </w:p>
    <w:p>
      <w:pPr>
        <w:spacing w:after="0" w:line="20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protect the confidentiality of our trade secrets, our business and competitive position may be harmed.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Organization and Governance, Strategy, Employees and Growth Management</w:t>
      </w:r>
    </w:p>
    <w:p>
      <w:pPr>
        <w:spacing w:after="0" w:line="28" w:lineRule="exact"/>
        <w:rPr>
          <w:sz w:val="20"/>
          <w:szCs w:val="20"/>
          <w:color w:val="auto"/>
        </w:rPr>
      </w:pPr>
    </w:p>
    <w:p>
      <w:pPr>
        <w:ind w:left="340" w:hanging="332"/>
        <w:spacing w:after="0" w:line="264"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attract and keep key management, commercial, and clinical development personnel, we may be unable to successfully develop or commercialize our product and product candidates.</w:t>
      </w: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develop and expand our business, and we may encounter difficulties in managing this development and expansion, which could disrupt our operations.</w:t>
      </w:r>
    </w:p>
    <w:p>
      <w:pPr>
        <w:spacing w:after="0" w:line="18" w:lineRule="exact"/>
        <w:rPr>
          <w:rFonts w:ascii="Times New Roman" w:cs="Times New Roman" w:eastAsia="Times New Roman" w:hAnsi="Times New Roman"/>
          <w:sz w:val="16"/>
          <w:szCs w:val="16"/>
          <w:color w:val="auto"/>
        </w:rPr>
      </w:pPr>
    </w:p>
    <w:p>
      <w:pPr>
        <w:ind w:left="340" w:hanging="332"/>
        <w:spacing w:after="0" w:line="264"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executive officers, directors, principal stockholders and their affiliates maintain the ability to exercise significant influence over our company and all matters submitted to stockholders for approval.</w:t>
      </w:r>
    </w:p>
    <w:p>
      <w:pPr>
        <w:jc w:val="both"/>
        <w:ind w:left="340" w:hanging="332"/>
        <w:spacing w:after="0" w:line="288"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6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global economic conditions and changes in government regulations could adversely affect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 and Being a Publicly Traded Company</w:t>
      </w:r>
    </w:p>
    <w:p>
      <w:pPr>
        <w:spacing w:after="0" w:line="2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is, and we expect it to remain, volatile, which could limit investors’ ability to sell our stock at a profit.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incur significant increased costs as a result of operating as a public company, and our management is required to devote substantial time to compliance initiatives.</w:t>
      </w:r>
    </w:p>
    <w:p>
      <w:pPr>
        <w:spacing w:after="0" w:line="21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foregoing is only a summary of some of our risks. These and other risks are discussed more fully in the section entitled “Risk Factors” in Part II, Item 1A and elsewhere in this Quarterly Report on Form 10-Q (our Risk Factors).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442,209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62,822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392,046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305,628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1,086,969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630,764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inventories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1,528,837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1,063,253</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245,645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945,706</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415,233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and 190,000,000 shares authorized, 159,965,425</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158,849,596 shares issued, 153,093,879 and 155,305,953 shares outstanding at March 31, 2026 and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1,845,435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1,830,110</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6,871,546 and 3,543,643 shares at March 31, 2026 and December 31, 2025,</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(1,062,238)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(1,082,015)</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583,131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1,528,837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1,063,253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201,308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119,655</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43,031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38,691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170,123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112,234</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20,363</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144,439,370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146,677,783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160,062,326</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162,769,202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98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300" w:type="dxa"/>
            <w:vAlign w:val="bottom"/>
            <w:gridSpan w:val="12"/>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6"/>
          </w:tcPr>
          <w:p>
            <w:pPr>
              <w:jc w:val="center"/>
              <w:ind w:right="98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9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980" w:type="dxa"/>
            <w:vAlign w:val="bottom"/>
            <w:gridSpan w:val="6"/>
            <w:vMerge w:val="continue"/>
          </w:tcPr>
          <w:p>
            <w:pPr>
              <w:spacing w:after="0"/>
              <w:rPr>
                <w:sz w:val="19"/>
                <w:szCs w:val="19"/>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156,204,159</w:t>
            </w:r>
          </w:p>
        </w:tc>
        <w:tc>
          <w:tcPr>
            <w:tcW w:w="4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$ 1,760,396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367,903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(8,994)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(1,529,194)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222,364</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46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2,547,179</w:t>
            </w:r>
          </w:p>
        </w:tc>
        <w:tc>
          <w:tcPr>
            <w:tcW w:w="4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(20,052)</w:t>
            </w:r>
          </w:p>
        </w:tc>
        <w:tc>
          <w:tcPr>
            <w:tcW w:w="4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 stock granted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employees, directors and consultants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15,967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gridSpan w:val="2"/>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158,736,286</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$ 1,776,381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567,598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(15,117)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(1,524,134)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237,289</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Additional</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98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980" w:type="dxa"/>
            <w:vAlign w:val="bottom"/>
            <w:gridSpan w:val="6"/>
            <w:vMerge w:val="continue"/>
          </w:tcPr>
          <w:p>
            <w:pPr>
              <w:spacing w:after="0"/>
              <w:rPr>
                <w:sz w:val="19"/>
                <w:szCs w:val="19"/>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158,849,596</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$ 1,830,110</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3,543,643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(100,234)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(1,082,015)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648,020</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1,047,977</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(63,148)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(99,992)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(99,992)</w:t>
            </w:r>
          </w:p>
        </w:tc>
        <w:tc>
          <w:tcPr>
            <w:tcW w:w="0" w:type="dxa"/>
            <w:vAlign w:val="bottom"/>
          </w:tcPr>
          <w:p>
            <w:pPr>
              <w:spacing w:after="0"/>
              <w:rPr>
                <w:sz w:val="1"/>
                <w:szCs w:val="1"/>
                <w:color w:val="auto"/>
              </w:rPr>
            </w:pPr>
          </w:p>
        </w:tc>
      </w:tr>
      <w:tr>
        <w:trPr>
          <w:trHeight w:val="198"/>
        </w:trPr>
        <w:tc>
          <w:tcPr>
            <w:tcW w:w="3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 stock granted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employees, directors and consultants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159,965,425</w:t>
            </w:r>
          </w:p>
        </w:tc>
        <w:tc>
          <w:tcPr>
            <w:tcW w:w="160" w:type="dxa"/>
            <w:vAlign w:val="bottom"/>
          </w:tcPr>
          <w:p>
            <w:pPr>
              <w:spacing w:after="0"/>
              <w:rPr>
                <w:sz w:val="18"/>
                <w:szCs w:val="18"/>
                <w:color w:val="auto"/>
              </w:rPr>
            </w:pP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$ 1,845,435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6,871,546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(200,226)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(1,062,238)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583,131</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shd w:val="clear" w:color="auto" w:fill="CCEEFF"/>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19,777</w:t>
            </w:r>
          </w:p>
        </w:tc>
        <w:tc>
          <w:tcPr>
            <w:tcW w:w="4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5,060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14,972</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premium (discount) on investment securities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(1,336)</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304</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leasehold interest</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3,864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change in lease liability and right of use asset</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453</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equity investments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notes payable</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213</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Increase in inventory</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(13,275)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(46,305)</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Decrease (increase) in other current assets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10,661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(4,627)</w:t>
            </w:r>
          </w:p>
        </w:tc>
      </w:tr>
      <w:tr>
        <w:trPr>
          <w:trHeight w:val="149"/>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Increase in accounts receivable</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(86,418)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(60,936)</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(Decrease) increase in income taxes payable</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(6,718)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408</w:t>
            </w: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Increase in accounts payable and accrued expenses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34,016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65,177</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Decrease in lease liabilities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(543)</w:t>
            </w: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Decrease in other current liabilities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(1,855)</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(Decrease) increase in deferred revenue</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(5,988)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(17,894)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(28,715)</w:t>
            </w:r>
          </w:p>
        </w:tc>
      </w:tr>
      <w:tr>
        <w:trPr>
          <w:trHeight w:val="142"/>
        </w:trPr>
        <w:tc>
          <w:tcPr>
            <w:tcW w:w="80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maturity of held-to-maturity securities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80,400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held-to-maturity securities</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(21,063)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(92,059)</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equity investments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(9,864)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(12,934)</w:t>
            </w:r>
          </w:p>
        </w:tc>
      </w:tr>
      <w:tr>
        <w:trPr>
          <w:trHeight w:val="142"/>
        </w:trPr>
        <w:tc>
          <w:tcPr>
            <w:tcW w:w="80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loan payable</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(255,000)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options</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debt financings, net of debt discount costs</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747,656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costs paid</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(2,598)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(99,992)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(6,123)</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390,829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(6,102)</w:t>
            </w:r>
          </w:p>
        </w:tc>
      </w:tr>
      <w:tr>
        <w:trPr>
          <w:trHeight w:val="142"/>
        </w:trPr>
        <w:tc>
          <w:tcPr>
            <w:tcW w:w="80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363,071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(47,751)</w:t>
            </w:r>
          </w:p>
        </w:tc>
      </w:tr>
      <w:tr>
        <w:trPr>
          <w:trHeight w:val="148"/>
        </w:trPr>
        <w:tc>
          <w:tcPr>
            <w:tcW w:w="8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80,490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181,192</w:t>
            </w:r>
          </w:p>
        </w:tc>
      </w:tr>
      <w:tr>
        <w:trPr>
          <w:trHeight w:val="142"/>
        </w:trPr>
        <w:tc>
          <w:tcPr>
            <w:tcW w:w="80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8"/>
        </w:trPr>
        <w:tc>
          <w:tcPr>
            <w:tcW w:w="8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20" w:type="dxa"/>
            <w:vAlign w:val="bottom"/>
            <w:tcBorders>
              <w:bottom w:val="single" w:sz="8" w:color="auto"/>
            </w:tcBorders>
            <w:shd w:val="clear" w:color="auto" w:fill="CCEEFF"/>
          </w:tcPr>
          <w:p>
            <w:pPr>
              <w:jc w:val="right"/>
              <w:ind w:right="7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443,561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133,441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29"/>
        </w:trPr>
        <w:tc>
          <w:tcPr>
            <w:tcW w:w="8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Reconciliation to amounts on condensed consolidated balance sheets:</w:t>
            </w: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442,209</w:t>
            </w:r>
          </w:p>
        </w:tc>
        <w:tc>
          <w:tcPr>
            <w:tcW w:w="4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132,139</w:t>
            </w:r>
          </w:p>
        </w:tc>
      </w:tr>
      <w:tr>
        <w:trPr>
          <w:trHeight w:val="149"/>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1,302</w:t>
            </w:r>
          </w:p>
        </w:tc>
      </w:tr>
      <w:tr>
        <w:trPr>
          <w:trHeight w:val="142"/>
        </w:trPr>
        <w:tc>
          <w:tcPr>
            <w:tcW w:w="8000" w:type="dxa"/>
            <w:vAlign w:val="bottom"/>
            <w:tcBorders>
              <w:top w:val="single" w:sz="8" w:color="CCEEFF"/>
              <w:bottom w:val="single" w:sz="8" w:color="CCEEFF"/>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920" w:type="dxa"/>
            <w:vAlign w:val="bottom"/>
            <w:tcBorders>
              <w:top w:val="single" w:sz="8" w:color="auto"/>
              <w:bottom w:val="single" w:sz="8" w:color="auto"/>
            </w:tcBorders>
          </w:tcPr>
          <w:p>
            <w:pPr>
              <w:jc w:val="right"/>
              <w:ind w:right="7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443,561</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133,441</w:t>
            </w:r>
          </w:p>
        </w:tc>
        <w:tc>
          <w:tcPr>
            <w:tcW w:w="100" w:type="dxa"/>
            <w:vAlign w:val="bottom"/>
            <w:tcBorders>
              <w:top w:val="single" w:sz="8" w:color="CCEEFF"/>
              <w:bottom w:val="single" w:sz="8" w:color="CCEEFF"/>
            </w:tcBorders>
          </w:tcPr>
          <w:p>
            <w:pPr>
              <w:spacing w:after="0"/>
              <w:rPr>
                <w:sz w:val="12"/>
                <w:szCs w:val="12"/>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0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920" w:type="dxa"/>
            <w:vAlign w:val="bottom"/>
            <w:shd w:val="clear" w:color="auto" w:fill="CCEEFF"/>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2,385</w:t>
            </w:r>
          </w:p>
        </w:tc>
        <w:tc>
          <w:tcPr>
            <w:tcW w:w="4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6,143</w:t>
            </w: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920" w:type="dxa"/>
            <w:vAlign w:val="bottom"/>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3,439</w:t>
            </w:r>
          </w:p>
        </w:tc>
        <w:tc>
          <w:tcPr>
            <w:tcW w:w="4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TRANSACTIONS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Reduction of lease liability and right-of-use asset due to lease modification</w:t>
            </w:r>
          </w:p>
        </w:tc>
        <w:tc>
          <w:tcPr>
            <w:tcW w:w="920" w:type="dxa"/>
            <w:vAlign w:val="bottom"/>
            <w:shd w:val="clear" w:color="auto" w:fill="CCEEFF"/>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42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“TG,”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The Company also actively evaluates complementary products, technologies and companies for in-licensing, partnership, acquisition and/or investment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the Company’s Annual Report on Form 10-K for the year ended December 31, 2025. The accompanying condensed balance sheet as of December 31, 2025 has been derived from these statements. The results of operations for the three months ended March 31, 2026 are not necessarily indicative of the results that may be expected for the entire fiscal year or any other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has recently achieved profitability, the Company has incurred substantial operating losses since its inception and may continue to experience fluctuations in operating results. Despite the commercialization of BRIUMVI and the potential future commercialization of other product candidates, there can be no assurance that the Company will maintain profitability on an ongoing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generated revenue of $204.9 million. The Company’s operating results and cash flows have fluctuated in the past and may continue to vary significantly from period to period. The Company will need to generate substantial revenues to sustain profitability and positive cash flow over the long term. Historically, the Company’s operating losses have been driven primarily by expenses related to research and development programs and selling, general and administrative costs associated with its operations and commercialization activities to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accumulated deficit was approximately $1.1 billion, and the Company had $572.8 million in cash and cash equivalents, and investment securities, excluding equity investments. Based on its current operating plan and results, the Company anticipates that its existing cash, cash equivalents, and investment securities, together with projected future revenues, will be sufficient to fund operations and meet its liquidity needs for more than twelve months after the date of filing of this Quarterly Report on Form 10-Q.</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actual level of cash required for operations will depend on numerous factors, including, among others, the scope of commercialization activities for BRIUMVI, the timing of collection of receivables from the Company’s customers on extended payment terms, the timing and design of clinical trials for the Company’s product candidates, and the costs associated with licensing or acquiring new product candidates. The Company may seek significant additional financing in the future to support strategic initiatives and its ongoing and planned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listed on the Nasdaq Capital Market under the symbol “TGTX.”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investments and accounts receivable. The Company maintains its cash and cash equivalents and investments with high-credit quality financial institutions. At times, such amounts may exceed federally-insured limits, and the Company monitors the creditworthiness of these institutions on an ongoing basis. We are also potentially subject to concentrations of credit risk in our accounts receivable with respect to amounts owed by a limited number of entities comprising our customer base. Our exposure to credit losses is low, however, owing largely to the credit quality of our distributors.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 Organization and Summary of Significant Accounting Policies to the audited consolidated financial statements included in the Company’s Annual Report on Form 10-K for the year ended December 31, 2025, except as updated herein or as it relates to revenue recognition, accounts receivable, inventory, cost of revenue, income taxes, equity securities, and the adoption of new accounting standards during the three months ended March 31, 2026. Management does not believe that any recently issued, but not yet effective, accounting pronouncements, if currently adopted, would have a material effect on the Company’s consolidated financial statements.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The Company monitors new accounting pronouncements issued by the Financial Accounting Standards Board (FASB). Management evaluates, and continues to monitor, recently issued but not yet effective accounting pronouncements and does not expect the adoption of such standards to have a material impact on the Company’s consolidated financial statements.</w:t>
      </w:r>
    </w:p>
    <w:p>
      <w:pPr>
        <w:spacing w:after="0" w:line="176"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(ASU 2024-03). ASU 2024-03 requires entities to provide additional disaggregated disclosures of certain income statement expenses, including employee compensation, depreciation, and amortization, within the notes to the financial statements. ASU 2024-03 is effective for annual reporting periods beginning after December 15, 2026, and interim reporting periods beginning after December 15, 2027, with early adoption permitted. The guidance may be applied either prospectively or retrospectively. The Company is currently evaluating the impact that adoption of this new accounting guidance will have on its financial statements.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20" w:firstLine="648"/>
        <w:spacing w:after="0" w:line="257" w:lineRule="auto"/>
        <w:rPr>
          <w:sz w:val="20"/>
          <w:szCs w:val="20"/>
          <w:color w:val="auto"/>
        </w:rPr>
      </w:pPr>
      <w:r>
        <w:rPr>
          <w:rFonts w:ascii="Times New Roman" w:cs="Times New Roman" w:eastAsia="Times New Roman" w:hAnsi="Times New Roman"/>
          <w:sz w:val="18"/>
          <w:szCs w:val="18"/>
          <w:color w:val="auto"/>
        </w:rPr>
        <w:t>Pursuant to Topic 606, the Company recognizes revenue to depict the transfer of promised goods or services to customers in an amount that reflects the consideration the Company expects to be entitled in exchange for those goods or services. To achieve this core principle, Topic 606 includes provisions within a five-step model that includes (i) identifying the contract with a customer, (ii) identifying the performance obligations in the contract,</w:t>
      </w:r>
    </w:p>
    <w:p>
      <w:pPr>
        <w:spacing w:after="0" w:line="1" w:lineRule="exact"/>
        <w:rPr>
          <w:sz w:val="20"/>
          <w:szCs w:val="20"/>
          <w:color w:val="auto"/>
        </w:rPr>
      </w:pPr>
    </w:p>
    <w:p>
      <w:pPr>
        <w:ind w:left="20" w:right="20" w:firstLine="8"/>
        <w:spacing w:after="0" w:line="260" w:lineRule="auto"/>
        <w:tabs>
          <w:tab w:leader="none" w:pos="3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 (iv) allocating the transaction price to the performance obligations, and (v) recognizing revenue when, or as, an entity satisfies a performance obligation.</w:t>
      </w:r>
    </w:p>
    <w:p>
      <w:pPr>
        <w:spacing w:after="0" w:line="181"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and determines which promised good or service is distinct and therefore considered a performance obligation. The Company then recognizes as revenue the amount of the transaction price that is allocated to the respective performance obligation when the performance obligation is satisfied.</w:t>
      </w:r>
    </w:p>
    <w:p>
      <w:pPr>
        <w:spacing w:after="0" w:line="174"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The Company recognizes product revenues, net of variable consideration related to certain allowances and accruals,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commercial payer rebates, trade discounts and allowances, product returns, and co-payment assistance.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for variable consideration are calculated using the expected value method, which is the sum of probability-weighted amounts in a range of possible consideration amounts. These estimates reflect the Company’s current contractual requirements, customer channel mix, changes to product price, government pricing calculations, and industry data. The amount of variable consideration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Chargebacks</w:t>
      </w:r>
      <w:r>
        <w:rPr>
          <w:rFonts w:ascii="Times New Roman" w:cs="Times New Roman" w:eastAsia="Times New Roman" w:hAnsi="Times New Roman"/>
          <w:sz w:val="18"/>
          <w:szCs w:val="18"/>
          <w:color w:val="auto"/>
        </w:rPr>
        <w:t>: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government-required lower selling price to the qualified healthcare providers.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Government Rebates</w:t>
      </w:r>
      <w:r>
        <w:rPr>
          <w:rFonts w:ascii="Times New Roman" w:cs="Times New Roman" w:eastAsia="Times New Roman" w:hAnsi="Times New Roman"/>
          <w:sz w:val="18"/>
          <w:szCs w:val="18"/>
          <w:color w:val="auto"/>
        </w:rPr>
        <w:t>: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 Payer Rebates</w:t>
      </w:r>
      <w:r>
        <w:rPr>
          <w:rFonts w:ascii="Times New Roman" w:cs="Times New Roman" w:eastAsia="Times New Roman" w:hAnsi="Times New Roman"/>
          <w:sz w:val="18"/>
          <w:szCs w:val="18"/>
          <w:color w:val="auto"/>
        </w:rPr>
        <w:t>: The Company contracts with various private payer organizations, primarily insurance companies and pharmacy benefit managers, for the payment of rebates tied to utilization of its product and contracted formulary status. These rebates are estimated and recorded in the same period the related revenue is recognized, resulting in a reduction of product revenue and the establishment of a current liability.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Trade Discounts and Allowances</w:t>
      </w:r>
      <w:r>
        <w:rPr>
          <w:rFonts w:ascii="Times New Roman" w:cs="Times New Roman" w:eastAsia="Times New Roman" w:hAnsi="Times New Roman"/>
          <w:sz w:val="18"/>
          <w:szCs w:val="18"/>
          <w:color w:val="auto"/>
        </w:rPr>
        <w:t>: The Company provides its customers with discounts that are explicitly stated in the applicable contracts and are recorded in the period the related product revenue is recognized. In addition, the Company receives sales order management, inventory management, and data services from its customers in exchange for certain fees.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Product Returns</w:t>
      </w:r>
      <w:r>
        <w:rPr>
          <w:rFonts w:ascii="Times New Roman" w:cs="Times New Roman" w:eastAsia="Times New Roman" w:hAnsi="Times New Roman"/>
          <w:sz w:val="18"/>
          <w:szCs w:val="18"/>
          <w:color w:val="auto"/>
        </w:rPr>
        <w:t>: Consistent with industry practice, the Company generally offers customers a limited right of return for product that has been purchased from the Company. The Company estimates the amount of its product sales that may be returned by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commercial products sold for credit under the following circumstances:</w:t>
      </w:r>
    </w:p>
    <w:p>
      <w:pPr>
        <w:spacing w:after="0" w:line="162" w:lineRule="exact"/>
        <w:rPr>
          <w:sz w:val="20"/>
          <w:szCs w:val="20"/>
          <w:color w:val="auto"/>
        </w:rPr>
      </w:pPr>
    </w:p>
    <w:p>
      <w:pPr>
        <w:ind w:left="820" w:hanging="14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left="180" w:right="20" w:firstLine="494"/>
        <w:spacing w:after="0" w:line="282" w:lineRule="auto"/>
        <w:tabs>
          <w:tab w:leader="none" w:pos="8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820" w:hanging="14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the Company has experienced an immaterial amount of product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Co-Payment Assistance Programs</w:t>
      </w:r>
      <w:r>
        <w:rPr>
          <w:rFonts w:ascii="Times New Roman" w:cs="Times New Roman" w:eastAsia="Times New Roman" w:hAnsi="Times New Roman"/>
          <w:sz w:val="18"/>
          <w:szCs w:val="18"/>
          <w:color w:val="auto"/>
        </w:rPr>
        <w:t>: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Licenses of intellectual property</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and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adjusts the estimate of the overall transaction price. Any such adjustments are recorded on a cumulative catch-up basis, which may affect license and other revenue, as well as earnings, in the period of adjustment.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Sales-based royalties:</w:t>
      </w:r>
      <w:r>
        <w:rPr>
          <w:rFonts w:ascii="Times New Roman" w:cs="Times New Roman" w:eastAsia="Times New Roman" w:hAnsi="Times New Roman"/>
          <w:sz w:val="18"/>
          <w:szCs w:val="18"/>
          <w:color w:val="auto"/>
        </w:rPr>
        <w:t xml:space="preserve">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Optional Purchases:</w:t>
      </w:r>
      <w:r>
        <w:rPr>
          <w:rFonts w:ascii="Times New Roman" w:cs="Times New Roman" w:eastAsia="Times New Roman" w:hAnsi="Times New Roman"/>
          <w:sz w:val="18"/>
          <w:szCs w:val="18"/>
          <w:color w:val="auto"/>
        </w:rPr>
        <w:t xml:space="preserve">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and development services to customers. Service fee revenue is recognized over 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The Company’s standard payment terms for invoiced amounts typically range between 30 – 60 days, however, extended payment terms have been offered during the BRIUMVI commercial launch. The extended payment terms are meant to align with the timing of reimbursement by government and commercial payers and have not adversely affected the collectability of accounts receivable.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does not adjust accounts receivable for the effects of financing, as the expected time between transfer of the promised products and the payment of the associated consideration is less than one year. The Company analyzes accounts that are past due for collectability and regularly evaluates the creditworthiness of its customers so that it can properly assess and respond to changes in their credit profiles. As of March 31, 2026, the Company determined that an allowance for expected credit losses related to outstanding accounts receivable was not required because outstanding receivables were due from large, established, credit-worthy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consists primarily of royalties owed to the Company’s licensing partner for BRIUMVI sales, third-party manufacturing costs, distribution, and overhead. Cost of revenue may also include costs related to excess or obsolete inventory adjustment charges, abnormal costs, unabsorbed manufacturing and overhead costs, and manufacturing variances. All manufacturing costs incurred to produce BRIUMVI prior to the approval of BRIUMVI by the FDA were expensed to research and development and therefore are not reflected in the cost of revenue. Therefore, a portion of costs incurred to produce BRIUMVI that were sold through the middle of the quarter ended March 31, 2025 had previously been expensed as research and development and are not reflected in the Company’s cost of revenue. Costs related to providing regulatory support and development services to the Company’s ex-U.S. commercialization partner, Neuraxpharm, are included in the Company’s cost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The Company classifies inventory costs as non-current inventory in its consolidated balance sheets, when the Company expects to utilize the inventory beyond its normal operating cycle. Prior to regulatory approval, the Company expenses costs relating to the production of inventory as research and development expense in the period incurred. Following regulatory approval, costs to manufacture those approved products are capitalized. Inventory that can be used in either the production of clinical or commercial products is expensed as research and development costs when identified for use in clinical trials. Prior to the approval of BRIUMVI, all manufacturing and other potential costs related to the commercial launch of BRIUMVI were expensed to research and development in the period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as well as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liabilities is less than “more likely than not,” a valuation allowance is recorded.</w:t>
      </w:r>
    </w:p>
    <w:p>
      <w:pPr>
        <w:spacing w:after="0" w:line="187"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in various states. The Company has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The Company recognizes interest and penalties related to uncertain income tax positions in income tax expense. Refer to Note 10 – Income Taxes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Stock-based compensation costs related to equity awards granted to employees and non-employees are measured at the date of grant based on the fair value of the award. Equity-classified awards are measured at grant-date fair value and recognized as compensation expense over the requisite service period.</w:t>
      </w:r>
    </w:p>
    <w:p>
      <w:pPr>
        <w:spacing w:after="0" w:line="176"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Company estimates the grant-date fair value of stock options using the Black-Scholes option-pricing model. Awards with market conditions are valued using a Monte Carlo simulation or other appropriate valuation techniques, with the impact of the market condition reflected in the grant-date fair value. The fair value of restricted stock awards is based on the closing price of the Company’s common stock on the date of grant.</w:t>
      </w:r>
    </w:p>
    <w:p>
      <w:pPr>
        <w:spacing w:after="0" w:line="176"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Compensation expense for time-based awards is recognized on a straight-line basis over the requisite service period. For awards with performance conditions, compensation expense is recognized when it is probable that the performance condition will be achieved. For awards with market conditions, compensation expense is recognized over the derived service period, regardless of whether the market condition is ultimately satisfied. The Company accounts for forfeitures as they occur.</w:t>
      </w:r>
    </w:p>
    <w:p>
      <w:pPr>
        <w:spacing w:after="0" w:line="180"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Company also grants stock tracking units (STUs), which are liability-classified awards that are economically similar to phantom stock. STUs are remeasured at fair value at each reporting date, with changes in fair value recognized as compensation expense in the consolidated statements of operations. Compensation expense for STUs is recognized over the requisite service period, and the related liability is recorded within accrued compensation on the consolidated balance sheet until settlement.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All compensation expense related to these awards is recorded within stock-based compensation expense in the consolidated statements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The Company’s equity securities consist of the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 Fair Value Measures for further details.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share of the Company’s common stock is calculated by dividing net income applicable to the common stock by the weighted-average number of shares of the Company’s common stock outstanding for the period. Diluted net income per share of common stock reflects the effect of potential common shares from the assumed exercise or conversion of securities such as warrants, stock options, and restricted stock, to the extent they are dilutive. For all periods presented, the Company reported net income in the condensed consolidated statements of operations and, accordingly, present the dilutive effect of potential common shares in the computation of diluted earnings per share, as shown in the table below.</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the Company’s potentially dilutive securities at March 31, 2026 and 2025:</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11,360,541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11,439,016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4,073,816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4,465,216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165,214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21,973</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15,622,956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16,091,419</w:t>
            </w:r>
          </w:p>
        </w:tc>
      </w:tr>
      <w:tr>
        <w:trPr>
          <w:trHeight w:val="413"/>
        </w:trPr>
        <w:tc>
          <w:tcPr>
            <w:tcW w:w="800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3"/>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144,439,370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146,677,783</w:t>
            </w:r>
          </w:p>
        </w:tc>
      </w:tr>
      <w:tr>
        <w:trPr>
          <w:trHeight w:val="23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15,622,956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16,091,419</w:t>
            </w:r>
          </w:p>
        </w:tc>
        <w:tc>
          <w:tcPr>
            <w:tcW w:w="100" w:type="dxa"/>
            <w:vAlign w:val="bottom"/>
            <w:shd w:val="clear" w:color="auto" w:fill="CCEEFF"/>
          </w:tcPr>
          <w:p>
            <w:pPr>
              <w:spacing w:after="0"/>
              <w:rPr>
                <w:sz w:val="19"/>
                <w:szCs w:val="19"/>
                <w:color w:val="auto"/>
              </w:rPr>
            </w:pPr>
          </w:p>
        </w:tc>
      </w:tr>
      <w:tr>
        <w:trPr>
          <w:trHeight w:val="263"/>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160,062,326</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162,769,202</w:t>
            </w:r>
          </w:p>
        </w:tc>
        <w:tc>
          <w:tcPr>
            <w:tcW w:w="100" w:type="dxa"/>
            <w:vAlign w:val="bottom"/>
            <w:tcBorders>
              <w:bottom w:val="single" w:sz="8" w:color="CCEEFF"/>
            </w:tcBorders>
          </w:tcPr>
          <w:p>
            <w:pPr>
              <w:spacing w:after="0"/>
              <w:rPr>
                <w:sz w:val="22"/>
                <w:szCs w:val="22"/>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0.03</w:t>
            </w: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20"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discrete financial information is available and is evaluated regularly by the chief operating decision maker (CODM) to allocate resources and assess performance.</w:t>
      </w:r>
    </w:p>
    <w:p>
      <w:pPr>
        <w:spacing w:after="0" w:line="176"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The Company operates as a single reportable segment, focused on B-cell mediated disease therapy, which includes all activities related to the development and commercialization of novel treatments, including BRIUMVI, to address unmet medical needs and improve the lives of patients. The determination of a single reportable segment is consistent with the consolidated financial information regularly provided to the Company’s CODM, which is its chief executive officer, who evaluates financial results and operating metrics, specifically consolidated net income, for purposes of assessing performance, making operating decisions, allocating resources and planning and forecasting for future periods. The measure of segment assets reported to the CODM corresponds to the total assets presented on the Company’s condensed consolidated balance sheet as total assets.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Note 1 - Organization and Summary of Significant Accounting Policies, revenues are recognized under guidance within ASC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revenue for the periods presented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119,655</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3,610</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product revenue consists of U.S. sales of BRIUMVI, of $194.8 million. Also included in product revenue for the three months ended March 31, 2026 are sales of BRIUMVI to the Company’s ex-U.S. licensing partner, Neuraxpharm, of $6.5 million.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gross-to-net accruals of approximately $27.2 million and $59.0 million are included on the condensed consolidated balance sheets within accounts receivable, net, and accounts payable and accrued expenses, respectively. As of March 31, 2025, gross-to-net accruals of approximately $13.4 million and $28.1 million are included on the condensed consolidated balance sheets within accounts receivable, net, and accounts payable and accrued expenses, respectively.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sells BRIUMVI through specialty distributors. The following table summarizes the customers that represent 10% or more of gross product revenue for the three months ended March 31, 2026 and 2025:</w:t>
      </w:r>
    </w:p>
    <w:p>
      <w:pPr>
        <w:spacing w:after="0" w:line="17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customers with amounts due that represent 10% or more of the accounts receivable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product sales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9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Customer 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Customer 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Milestone, Royalty and Other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License, milestone, royalty and other revenue consist primarily of recognition of consideration received under the ex-U.S. commercialization agreement (the Commercialization Agreement) with Neuraxpharm. Refer to Note 9 - License Agreements for a description of the Commercialization Agreement and for further information of the accounting in accordance with ASC 606.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investment securities as of March 31, 2026 and December 31, 2025 primarily consist of government debt securities that are classified as held-to-maturity. Held-to-maturity securities are recorded at amortized cost.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48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held-to-maturity securities at March 31, 2026 and December 31, 2025: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780" w:type="dxa"/>
            <w:vAlign w:val="bottom"/>
          </w:tcPr>
          <w:p>
            <w:pPr>
              <w:jc w:val="center"/>
              <w:ind w:left="2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178"/>
        </w:trPr>
        <w:tc>
          <w:tcPr>
            <w:tcW w:w="59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Short-term obligations of domestic governmental agencies (maturing between</w:t>
            </w: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2026 and March 2027) (held-to-maturity)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72,273</w:t>
            </w: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Long-term obligations of domestic governmental agencies (maturing between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w w:val="92"/>
              </w:rPr>
              <w:t>(131)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2027 and March 2028) (held-to-maturity)</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58,405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58,306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obligations of domestic governmental agencies (maturing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2026 and December 2026) (held-to-maturity)</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Long-term obligations of domestic governmental agencies (maturing between January 2027 and November 2027)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held-to-maturity investment securities</w:t>
      </w:r>
    </w:p>
    <w:p>
      <w:pPr>
        <w:spacing w:after="0" w:line="20" w:lineRule="exact"/>
        <w:rPr>
          <w:sz w:val="20"/>
          <w:szCs w:val="20"/>
          <w:color w:val="auto"/>
        </w:rPr>
      </w:pPr>
      <w:r>
        <w:rPr>
          <w:sz w:val="20"/>
          <w:szCs w:val="20"/>
          <w:color w:val="auto"/>
        </w:rPr>
        <w:br w:type="column"/>
      </w:r>
    </w:p>
    <w:p>
      <w:pPr>
        <w:ind w:left="18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r>
      <w:tr>
        <w:trPr>
          <w:trHeight w:val="42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62,952</w:t>
            </w:r>
          </w:p>
        </w:tc>
      </w:tr>
      <w:tr>
        <w:trPr>
          <w:trHeight w:val="418"/>
        </w:trPr>
        <w:tc>
          <w:tcPr>
            <w:tcW w:w="12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57,541</w:t>
            </w:r>
          </w:p>
        </w:tc>
        <w:tc>
          <w:tcPr>
            <w:tcW w:w="1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4"/>
                <w:szCs w:val="24"/>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57,742</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120,363</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120,694</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20" w:space="360"/>
            <w:col w:w="5260"/>
          </w:cols>
          <w:pgMar w:left="320" w:top="108"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long-term investments on the condensed consolidated balance sheet, are equity securities held in connection with the Precision License Agreement. See Note 5 – Fair Value Measurements for a description of the Precision License Agreement and for further information on the Company’s equity investments.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inventory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112,397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Inventory, gross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155,375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141,275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Reported As: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129,029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in the period in which it is consumed.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31, 2026, the Company’s inventory was solely related to BRIUMVI. The work in process materials consist primarily of bulk drug substance, which has a multi-year shelf life. When the bulk drug substance is manufactured into BRIUMVI finished goods, those finished goods have a shelf life of three years from the date of manufacture. The Company expects to sell finished goods at least twelve months prior to expiration. A portion of inventory will be utilized beyond our normal operating cycle. Therefore, at March 31, 2026, $26.3 million of inventory comprised predominantly of raw materials and work in process drug substance is classified as Non-current Inventory.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its inventory levels for excess quantities and obsolescence (expiration) by considering factors such as historical and anticipated future sales relative to quantities on hand and the remaining shelf-life. On March 31, 2026, the Company determined that a reserve related to BRIUMVI inventory for excess quantities and obsolescence was not required. In addition, since FDA approval of BRIUMVI, the Company has not recognized any inventory write downs.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inventory reserve on March 31, 2026 and December 31, 2025 was $6.2 million. This reserve relates to a potential manufacturing deviation affecting one batch of bulk drug substance identified by the Company. During the quarter ended December 31, 2025, the Company recorded the inventory reserve related to this matter in accordance with ASC 450-20 as management had determined that a loss was both probable and could be reasonably estimated.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United States and other countries have recently imposed, and may continue to impose, new tariffs. Tariffs are an inventoriable cost, and the Company’s sole supplier of bulk drug substance is located outside of the U.S. While the tariffs imposed to date have not had a material effect on the Company’s business or results of operations, the Company continues to evaluate their potential impact on its business and results of operations going forward.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in its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which market data are not available.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and Forward Contract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the Company and its wholly-owned subsidiary, TG Cell Therapy, Inc. (TG Cell), entered into a License Agreement (the Precision License Agreement) with Precision. Under the Precision License Agreement, Precision granted the Company certain exclusive and non-exclusive license rights to develop, manufacture, and commercialize Precision’s allogeneic CAR T therapy, azer-cel, for the treatment of autoimmune and other non-oncology diseases and conditions.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execution of the Precision License Agreement, the Company made an upfront payment to Precision of $7.5 million, comprised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implemented a 30-to-1 reverse stock split in February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7, 2025, the Company made a one-time payment to Precision equal to $2.5 million (the Deferred Precision Stock Payment), as an equity investment, for the purchase of 220,712 shares of Precision common stock calculated by dividing the Deferred Precision Stock Payment by 200% of the weighted average share price of the Precision common stock for the thirty (30) trading days preceding the payment date. The Deferred Precision Stock Payment, which had previously been classified as a forward contract liability in Other Current Liabilities as of December 31, 2024, was then reclassed to equity investments at its fair market value of $1.4 million on the date the payment was made to Precision.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23, 2026, the Company achieved Milestone Event 1 (as defined in the Precision License Agreement) and made a one-time payment to Precision equal to $7.5 million comprised of (i) $5.25 million in cash and (ii) $2.25 million (the Milestone 1 Stock Payment), as an equity investment, for the purchase of 201,504 shares of Precision’s common stock calculated by dividing the Deferred Precision Stock Payment by 200% of the weighted average share price of the Precision common stock for the thirty (30) trading days preceding the payment date. The Milestone 1 Stock Payment, which was classified as a forward contract liability in Other Current Liabilities as of December 31, 2025, was reclassed to equity investments at its fair market value of $0.8 million on the date the payment was made to Precision. The shares purchased with the Milestone 1 Stock Payment, the Upfront Precision Stock Payment and the Deferred Precision Stock Payment and are collectively known as the Precision Shares. All Precision Shares are recognized at fair market value as of March 31, 2026, and are classified as an equity investment and included within long-term investments on the condensed consolidated balance sheet as of March 31, 2026.</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$15.5 million aggregate principal amount of 5% convertible notes outstanding, which are convertible at the option of the holder into common stock at a conversion price of $1,125 per share. The Company does not have a cash repayment obligation associated with these notes. The notes are classified within other current liabilities on the Company’s consolidated balance sheet as of March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March 31, 2026 and December 31, 2025, the fair values of cash and cash equivalents, restricted cash, accounts receivable, and loan and interest payable approximate their carrying value. The carrying value of the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equity investments classified as Level 1 were valued using their respective closing stock prices on the Nasdaq Stock Market, which represent unadjusted quoted prices in active markets for identical instruments. The Company did not experience any transfers of financial instruments between the fair value hierarchy levels during the three months ended March 31, 2026.</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forward contract liabilities classified as Level 2 were valued using Precision’s closing stock price on the Nasdaq Stock Market as of March 31, 2026.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Level 3 instrument amounts represent the fair value of the convertible notes and related accrued interest, as certain inputs to determine fair value were unobservable.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March 31, 2026</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2,858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3"/>
              </w:rPr>
              <w:t>2,858</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11"/>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1,323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3"/>
              </w:rPr>
              <w:t>1,323</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recognized in other (income) expense in the accompanying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10,000,000 shares of preferred stock, $0.001 par value, with rights senior to those of the Company’s common stock, issuable in one or more series. Upon issuance, the Company may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amended and restated certificate of incorporation authorizes the issuance of up to 190,000,000 shares of $0.001 par value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8, 2025, the Company filed an automatic “shelf registration” statement on Form S-3 (the 2025 WKSI Shelf) as a “well-known" issuer” (WKSI) as defined in Rule 405 under the Securities Act of 1933, as amended. The 2025 WKSI Shelf was declared effective upon filing and registers an unlimited amount of debt securities, equity securities, or other securities that the Company may issue and sell from time to time. Accordingly, the 2022 ATM with Cantor Fitzgerald &amp; Co. and B. Riley Securities, Inc. has expired. The Company may offer and sell securities registered under the 2025 WKSI Shelf in one or more offerings, from time to time, depending on market conditions and its capital needs. The Company may also file additional registration statements in the future to maintain financing flexibility in support of its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 and Treasury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Company’s Board of Directors (the Board) authorized a share repurchase program (the Prior Share Repurchase Program) pursuant to which the Company could repurchase up to $100 million of its outstanding common stock. In September 2025, the Company announced the completion of the Prior Share Repurchase Program. Under the Prior Share Repurchase Program, the Company repurchased an aggregate of 3,502,334 shares of common stock at an average price of $28.55 per share.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Board authorized and approved a new share repurchase program (the 2025 Share Repurchase Program) for up to $100 million of the currently outstanding shares of the Company’s common stock. Under the 2025 Share Repurchase Program, the Company intends to repurchase shares through open market purchases, privately-negotiated transactions, or other methods in accordance with applicable federal securities laws, including Rule 10b-18 of the Exchange Act. The 2025 Share Repurchase Program does not have a fixed expiration date, may be suspended or discontinued at any time, and does not obligate the Company to acquire any particular amount of its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the Board authorized and approved an increase to the 2025 Share Repurchase Program from $100 million to $300 million. As of March 31, 2026, the Company had repurchased approximately $100.0 million of common stock under the 2025 Share Repurchase Program at an average price of $30.44 per share.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6,871,546 shares of common stock are being held in Treasury, at a cost of approximately $200.2 million, representing the fair market value on the date the shares were surrendered to the Company, mainly as part of the Prior Share Repurchase Program and the 2025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March 31, 2026, 2,976,163 shares of restricted stock and 1,867,316 options were outstanding, and no additional shares were available to be issued under the 2012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and was amended to increase the shares available to be issued from 17,000,000 to 22,000,000 in June 2025 (the 2022 Incentive Plan Amendment). As of March 31, 2026, 8,348,409 shares of restricted stock and 2,206,500 options were outstanding, and up to an additional 5,665,320 shares were available to be issued under the 2022 Incentive Plan. The 2022 Incentive Plan is currently the Company’s only active incentive plan. The Company’s equity incentive plan includes both equity and liability-classified awards granted to employees and directors.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the activity for restricted stock for the three months ended March 31, 2026 and 2025:</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Restricted Stock</w:t>
            </w:r>
          </w:p>
        </w:tc>
      </w:tr>
      <w:tr>
        <w:trPr>
          <w:trHeight w:val="201"/>
        </w:trPr>
        <w:tc>
          <w:tcPr>
            <w:tcW w:w="8000" w:type="dxa"/>
            <w:vAlign w:val="bottom"/>
          </w:tcPr>
          <w:p>
            <w:pPr>
              <w:spacing w:after="0"/>
              <w:rPr>
                <w:sz w:val="17"/>
                <w:szCs w:val="17"/>
                <w:color w:val="auto"/>
              </w:rPr>
            </w:pPr>
          </w:p>
        </w:tc>
        <w:tc>
          <w:tcPr>
            <w:tcW w:w="168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7"/>
                <w:szCs w:val="17"/>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12,011,881</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11,843,586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1,047,977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2,547,179</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(1,636,138)</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(1,431,666)</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(63,148)</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(20,052)</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11,360,572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12,939,047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firstLine="66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restricted stock grants was $13.8 million and $14.6 million for the three months ended March 31, 2026 and 2025, respectively, net of $0.6 million and $1.0 million of expense capitalized into inventory during the respective periods.</w:t>
      </w:r>
    </w:p>
    <w:p>
      <w:pPr>
        <w:spacing w:after="0" w:line="162" w:lineRule="exact"/>
        <w:rPr>
          <w:sz w:val="20"/>
          <w:szCs w:val="20"/>
          <w:color w:val="auto"/>
        </w:rPr>
      </w:pPr>
    </w:p>
    <w:p>
      <w:pPr>
        <w:jc w:val="both"/>
        <w:ind w:left="20" w:firstLine="666"/>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approximately $42.0 million of total unrecognized compensation expense related to unvested time-based restricted stock, expected to be recognized over a weighted-average period of 2.7 years.</w:t>
      </w:r>
    </w:p>
    <w:p>
      <w:pPr>
        <w:spacing w:after="0" w:line="162" w:lineRule="exact"/>
        <w:rPr>
          <w:sz w:val="20"/>
          <w:szCs w:val="20"/>
          <w:color w:val="auto"/>
        </w:rPr>
      </w:pPr>
    </w:p>
    <w:p>
      <w:pPr>
        <w:jc w:val="both"/>
        <w:ind w:left="20" w:firstLine="66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$21.2 million of total unrecognized compensation expense related to unvested milestone-based restricted stock, expected to be recognized over a weighted-average period of 0.2 years and approximately $52.3 million related to restricted stock with market conditions, expected to be recognized over a weighted-average period of 2.9 years.</w:t>
      </w:r>
    </w:p>
    <w:p>
      <w:pPr>
        <w:spacing w:after="0" w:line="176" w:lineRule="exact"/>
        <w:rPr>
          <w:sz w:val="20"/>
          <w:szCs w:val="20"/>
          <w:color w:val="auto"/>
        </w:rPr>
      </w:pPr>
    </w:p>
    <w:p>
      <w:pPr>
        <w:jc w:val="both"/>
        <w:ind w:left="20" w:firstLine="666"/>
        <w:spacing w:after="0" w:line="261" w:lineRule="auto"/>
        <w:rPr>
          <w:sz w:val="20"/>
          <w:szCs w:val="20"/>
          <w:color w:val="auto"/>
        </w:rPr>
      </w:pPr>
      <w:r>
        <w:rPr>
          <w:rFonts w:ascii="Times New Roman" w:cs="Times New Roman" w:eastAsia="Times New Roman" w:hAnsi="Times New Roman"/>
          <w:sz w:val="18"/>
          <w:szCs w:val="18"/>
          <w:color w:val="auto"/>
        </w:rPr>
        <w:t>Milestone-based noncash compensation expense will be recognized if and when achievement of the related milestone becomes probable. Awards with market conditions are valued using advanced option-pricing models, such as a Monte Carlo simulation, with the effect of the market condition reflected in the grant-date fair value. Compensation expense for awards with market conditions is recognized over the requisite service period determined by the grant-date valuation, regardless of whether the market condition is ultimately satisfied.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Tracking Units (STUs)</w:t>
      </w:r>
    </w:p>
    <w:p>
      <w:pPr>
        <w:spacing w:after="0" w:line="225" w:lineRule="exact"/>
        <w:rPr>
          <w:sz w:val="20"/>
          <w:szCs w:val="20"/>
          <w:color w:val="auto"/>
        </w:rPr>
      </w:pPr>
    </w:p>
    <w:p>
      <w:pPr>
        <w:jc w:val="both"/>
        <w:ind w:left="20" w:firstLine="666"/>
        <w:spacing w:after="0" w:line="266" w:lineRule="auto"/>
        <w:rPr>
          <w:sz w:val="20"/>
          <w:szCs w:val="20"/>
          <w:color w:val="auto"/>
        </w:rPr>
      </w:pPr>
      <w:r>
        <w:rPr>
          <w:rFonts w:ascii="Times New Roman" w:cs="Times New Roman" w:eastAsia="Times New Roman" w:hAnsi="Times New Roman"/>
          <w:sz w:val="18"/>
          <w:szCs w:val="18"/>
          <w:color w:val="auto"/>
        </w:rPr>
        <w:t>The Company grants stock tracking units (STUs), which are equity-linked compensation awards granted under the TG Therapeutics, Inc. 2022 Incentive Plan. Each STU represents the right to receive the value of one share of the Company’s common stock, either in cash or, for certain awards, in shares of stock. STUs may be either time-based awards or performance-based awards.</w:t>
      </w:r>
    </w:p>
    <w:p>
      <w:pPr>
        <w:spacing w:after="0" w:line="176" w:lineRule="exact"/>
        <w:rPr>
          <w:sz w:val="20"/>
          <w:szCs w:val="20"/>
          <w:color w:val="auto"/>
        </w:rPr>
      </w:pPr>
    </w:p>
    <w:p>
      <w:pPr>
        <w:jc w:val="both"/>
        <w:ind w:left="20" w:firstLine="666"/>
        <w:spacing w:after="0" w:line="266" w:lineRule="auto"/>
        <w:rPr>
          <w:sz w:val="20"/>
          <w:szCs w:val="20"/>
          <w:color w:val="auto"/>
        </w:rPr>
      </w:pPr>
      <w:r>
        <w:rPr>
          <w:rFonts w:ascii="Times New Roman" w:cs="Times New Roman" w:eastAsia="Times New Roman" w:hAnsi="Times New Roman"/>
          <w:sz w:val="18"/>
          <w:szCs w:val="18"/>
          <w:color w:val="auto"/>
        </w:rPr>
        <w:t>STUs are accounted for as liability awards and are remeasured at fair value at each reporting date, with changes in fair value recognized as stock-based compensation expense in the condensed consolidated statements of operations. The fair value of STUs is based on the closing price of the Company’s common stock at each reporting date.</w:t>
      </w:r>
    </w:p>
    <w:p>
      <w:pPr>
        <w:spacing w:after="0" w:line="176" w:lineRule="exact"/>
        <w:rPr>
          <w:sz w:val="20"/>
          <w:szCs w:val="20"/>
          <w:color w:val="auto"/>
        </w:rPr>
      </w:pPr>
    </w:p>
    <w:p>
      <w:pPr>
        <w:jc w:val="both"/>
        <w:ind w:left="20" w:right="20" w:firstLine="666"/>
        <w:spacing w:after="0" w:line="266" w:lineRule="auto"/>
        <w:rPr>
          <w:sz w:val="20"/>
          <w:szCs w:val="20"/>
          <w:color w:val="auto"/>
        </w:rPr>
      </w:pPr>
      <w:r>
        <w:rPr>
          <w:rFonts w:ascii="Times New Roman" w:cs="Times New Roman" w:eastAsia="Times New Roman" w:hAnsi="Times New Roman"/>
          <w:sz w:val="18"/>
          <w:szCs w:val="18"/>
          <w:color w:val="auto"/>
        </w:rPr>
        <w:t>Compensation expense for STUs is recognized over the requisite service period. For STUs with performance conditions, expense is recognized when it is probable that the performance condition will be achieved. The related liability is recorded within accrued compensation and is adjusted each reporting period until settlement.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1,787,910 STUs outstanding. Stock-based compensation expense related to STUs was $6.2 million for the three months ended March 31, 2026. As of March 31, 2026, the Company had approximately $53.2 million of unrecognized compensation expense related to unvested STUs, expected to be recognized over a weighted-average period of 4.0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for the three months ended March 31, 2026 and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gridSpan w:val="5"/>
            <w:vMerge w:val="restart"/>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1"/>
        </w:trPr>
        <w:tc>
          <w:tcPr>
            <w:tcW w:w="8000" w:type="dxa"/>
            <w:vAlign w:val="bottom"/>
          </w:tcPr>
          <w:p>
            <w:pPr>
              <w:spacing w:after="0"/>
              <w:rPr>
                <w:sz w:val="18"/>
                <w:szCs w:val="18"/>
                <w:color w:val="auto"/>
              </w:rPr>
            </w:pPr>
          </w:p>
        </w:tc>
        <w:tc>
          <w:tcPr>
            <w:tcW w:w="32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168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4,204,816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(131,000)</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4,073,816</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4,465,216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stock-based compensation expense associated with stock options was approximately $0.2 million and $0.4 million during the three months ended March 31, 2026 and 2025, respectively. As of March 31, 2026, there was approximately $0.2 million of total unrecognized compensation cost related to unvested time-based stock options, which is expected to be recognized over a weighted-average period of 0.3 years. As of March 31, 2026, stock options outstanding include options granted to both employees and non-employees which are both time-based and milestone-based. Stock-based compensation for milestone-based options will be recorded if and when a milestone becomes probable.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outstanding warrants issued to Hercules Capital, Inc. (Hercules) to purchase 115,042 and 50,172 shares of its common stock with exercise prices of $17.95 and $14.70, respectively. The warrants were issued in connection with the Company’s prior loan agreement with Hercules, which has been repaid and terminated. These Warrants shall be exercisable for seven years from their date of issuance, and will expire on December 30, 2028 and March 31, 2030,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LOAN PAYABLE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 2024 (the Closing Date), the Company entered into a term loan facility of $250 million (the Initial Term Loan) with Blue Owl Capital Corporation, as administrative agent (the Administrative Agent), HealthCare Royalty (HCR) and Blue Owl Capital under the Financing Agreement (as defined below) to repay all outstanding principal and accrued interest and fees under our prior loan agreement with Hercules.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(the Financing Agreement), which provides for (i) a single draw of the Initial Term Loan, which was funded on August 2, 2024,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 base rate determined by reference to the highest of (1) the prime rate published by the Wall Street Journal, (2) the federal funds effective rate plus 0.50% and (3) Term SOFR (as defined in the Financing Agreement), plus 1.00%.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18, 2026 (the 2026 Closing Date), the Company entered into a First Amendment to the Financing Agreement (the First Amendment) to repay in full the Initial Term Loan and enter into a new term loan facility of $750 million (the 2026 Term Loan) with Blue Owl Capital. The 2026 Term Loan will mature on March 18, 2031 (the Term Loan Maturity Date). The 2026 Term Loan accrues interest at a per annum rate equal to an applicable margin plus (a) a base rate determined by reference to the highest of (1) the prime rate published by The Wall Street Journal, (2) the federal funds effective rate plus 0.50%, (3) Term SOFR plus 1.00% and (4) 2.00% or (b) Term SOFR, which shall be no less than 1.00%. The applicable margin is determined on a quarterly basis by reference to a pricing grid based on the Total Net Leverage Ratio (as defined in the First Amendment) for the most recently completed four consecutive fiscal quarters. The pricing grid commences at 4.75% for SOFR borrowings and 3.75% for base rate borrowings and is subject to a 25 basis point step-down upon achievement of a specified leverage threshold.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Term Loan requires scheduled quarterly amortization payments commencing with the fiscal quarter ending March 31, 2030, in an amount equal to $37.5 million, with the balance due and payable on the Term Loan Maturity Date; provided that such amortization payments may be deferred upon the achievement of a Total Net Leverage Ratio that is less than or equal to an agreed threshold.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2026 Term Loan is secured by a lien on substantially all of the assets of the Company and certain subsidiaries of the Company as guarantors and contains customary covenants and representations. As of March 31, 2026, the Company was in compliance with all financial covenants.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events of default under the Financing Agreement are customary for financings of this type. If an event of default occurs, Blue Owl Capital is entitled to take enforcement action, including acceleration of amounts due under the Financing Agreement. In connection with the 2026 Term Loan, the Company incurred additional third-party fees, which were capitalized as debt issuance costs and are being amortized over the term of the loan.</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evaluated the refinancing of the Initial Term Loan in connection with the First Amendment under ASC 470-50,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The Company determined that the First Amendment represents a refinancing transaction resulting in extinguishment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Initial Term Loan held by Blue Owl Capital and HCR, which was repaid in full, including applicable prepayment premiums and accrued interest. As a result, the Company recorded a loss on extinguishment of debt of approximately $9.2 million in the Company’s statement of operations for the three months ended March 31, 2026, representing the write-off of a portion of unamortized debt issuance costs, unamortized debt discount costs, and the prepayment premiums associated with the extinguished portion.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total financing and upfront costs of $4.9 million related to the 2026 Term Loan, which are recorded as debt issuance costs and debt discount costs and as an offset to loan payable on the Company’s consolidated balance sheet. The debt issuance and debt discount costs are being amortized over the term of the debt using the straight-line method, and will be included in interest expense in the Company’s condensed consolidated statements of operations. Amortization of debt issuance and debt discount costs was $0.3 million for the three months ended March 31, 2026, and $0.3 million for the three months ended March 31, 2025. At March 31, 2026, the remaining unamortized balance of debt issuance and discount costs was approximately $4.9 million.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loan payable balance of the Initial Term Loan as of March 31, 2026, and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The Initial Term Loan</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w:t>
            </w: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payments</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payable</w:t>
            </w:r>
          </w:p>
        </w:tc>
        <w:tc>
          <w:tcPr>
            <w:tcW w:w="3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non-current</w:t>
            </w: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loan payable balance of the 2026 Term Loan as of</w:t>
            </w:r>
          </w:p>
        </w:tc>
        <w:tc>
          <w:tcPr>
            <w:tcW w:w="5180" w:type="dxa"/>
            <w:vAlign w:val="bottom"/>
            <w:gridSpan w:val="2"/>
          </w:tcPr>
          <w:p>
            <w:pPr>
              <w:jc w:val="right"/>
              <w:ind w:right="2850"/>
              <w:spacing w:after="0"/>
              <w:rPr>
                <w:sz w:val="20"/>
                <w:szCs w:val="20"/>
                <w:color w:val="auto"/>
              </w:rPr>
            </w:pPr>
            <w:r>
              <w:rPr>
                <w:rFonts w:ascii="Times New Roman" w:cs="Times New Roman" w:eastAsia="Times New Roman" w:hAnsi="Times New Roman"/>
                <w:sz w:val="18"/>
                <w:szCs w:val="18"/>
                <w:color w:val="auto"/>
              </w:rPr>
              <w:t>March 31, 2026, is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2026 Term Loan</w:t>
            </w:r>
          </w:p>
        </w:tc>
      </w:tr>
      <w:tr>
        <w:trPr>
          <w:trHeight w:val="201"/>
        </w:trPr>
        <w:tc>
          <w:tcPr>
            <w:tcW w:w="12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7"/>
                <w:szCs w:val="17"/>
                <w:color w:val="auto"/>
              </w:rPr>
            </w:pPr>
          </w:p>
        </w:tc>
      </w:tr>
      <w:tr>
        <w:trPr>
          <w:trHeight w:val="238"/>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0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r>
      <w:tr>
        <w:trPr>
          <w:trHeight w:val="20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(4,860)</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principal payments</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payable</w:t>
            </w:r>
          </w:p>
        </w:tc>
        <w:tc>
          <w:tcPr>
            <w:tcW w:w="5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non-current</w:t>
            </w:r>
          </w:p>
        </w:tc>
        <w:tc>
          <w:tcPr>
            <w:tcW w:w="5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2014, the Company entered into an agreement (the Office Agreement) with Fortress Biotech, Inc. (FBIO) to occupy a portion of the approximately 24,000 square feet of office space in New York City leased by FBIO. The Office Agreement requires the Company to pay its proportionate share of rent and other costs associated with the underlying lease. In connection with the Office Agreement, the Company pledged $1.3 million to secure a line of credit as a security deposit, which is recorded as restricted cash in the accompanying condensed consolidated balance sheets. The Office Agreement is being treated as a related party transaction.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2026, FBIO entered into a sublease agreement with a third party for substantially all of the office space subject to the Office Agreement. Concurrently, the Company and FBIO amended the Office Agreement to reduce the Company’s share of rent and other costs for the remaining lease term. The Company evaluated the amendment and determined that it represents a lease modification under ASC 842, Leases. As a result of the modification, the Company remeasured its operating lease liability with a corresponding adjustment to the related right-of-use asset. The remeasurement resulted in a reduction of both the operating lease liability and right-of-use asset of approximately $1.1 million as of March 31,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remains obligated under the Office Agreement for its proportionate share of rent and related costs through the expiration of the lease term and may be required to fund its share of any shortfall between the head lease obligations and sublease income. The modification is expected to reduce the Company’s lease expense prospectively.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the Company finalized an approximately five-year lease for office space in New York City (the Gansevoort Lease). The Company estimates an average annual rental obligation of approximately $0.4 million under the Gansevoort Lease. The Company took possession of this space in March 2026, with rental payments beginning in July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2021, the Company finalized a five-year lease for office space in North Carolina (the NC Lease). The Company estimates an average annual rental obligation of $0.2 million under the NC Lease. The Company took possession of this space in February 2022, with rental payments beginning in April 2022. The Company incurred rental expense of less than $0.1 million for the three months ended March 31,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present values of the Company’s lease liability and corresponding Right-of-Use (ROU) asset are $8.4 million and $6.5 million, respectively, as of March 31, 2026. The Company’s leases have remaining lease terms of one to six years. One lease has a renewal option to extend the lease for an additional term of five years. The following components of lease expense are included in the condensed consolidated statements of operations for the three months ended March 31,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720" w:type="dxa"/>
            <w:vAlign w:val="bottom"/>
            <w:gridSpan w:val="5"/>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weighted-average remaining operating lease term was 5 years and the weighted-average discount rate for operating leases was 8.36%. Cash paid for amounts included in the measurement of operating lease liabilities during the three months ended March 31, 2026 was $0.4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As of March 31, 2026, the maturities of lease liabilities were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After 2031</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Company’s leases do not provide an implicit rate, the Company uses its incremental borrowing rate based on the information available at commencement date and considering the term of the lease to determine the present value of lease payments. The Company used the incremental borrowing rate of 10.25% on February 28, 2019, for operating leases that commenced prior to that date through December 31, 2021. The Company used an incremental borrowing rate of 5.65% for the NC lease. The Company used an incremental borrowing rate of 8.4% for the modified Office Agreement operating lease.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2012, the Company entered into an exclusive license agreement with LFB Biotechnologies, GTC Biotherapeutics and LFB/GTC LLC, all wholly-owned subsidiaries of LFB Group, relating to the development of ublituximab (the LFB License Agreement). Under the terms of the LFB License Agreement, the Company acquired the exclusive worldwide rights (exclusive of France/Belgium) for the development and commercialization of ublituximab. From the inception of the LFB License Agreement, the Company incurred expenses of approximately $31.0 million related to the achievement of certain milestones under the LFB License Agreement. These expenses are included in other research and development expenses in the accompanying condensed consolidated statements of operations. No further milestone payments remain payable under the LFB License Agreement.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three months ended March 31, 2026, the Company recorded $20.6 million related to the worldwide royalty due under the LFB License Agreement in cost of revenue. As of March 31, 2026, $20.6 million in royalties payable under the LFB License Agreement remains outstanding in accounts payable and accrued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Neuraxpharm Commercialization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certain territories outside the United States, Canada, and Mexico, the commercialization rights for which had been previously retained by the Company, thus, and excluding certain Asian countries subject to previously existing partnerships. Under the terms of the Commercialization Agreement, the Company received a one-time, non-refundable payment of $140.0 million upon contract execution and a $12.5 million milestone payment upon the first key market commercial launch in the EU. The Company is eligible to receive up to an additional $492.5 million in milestone-based payments upon achievement of certain launch and commercial milestones. In addition, the Company will receive tiered double-digit royalties on net product sales up to 30%. During the three months ended March 31, 2026, royalty revenue of $2.7 million was recognized.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(the Development and Regulatory Activities).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approximates a market-based price for BRIUMVI by Neuraxpharm in the Territory. The consideration received for optional purchases is generally received in advance of shipment and is recognized by the Company as deferred revenue until the related performance obligation is met. The performance obligation is met when control of the product passes to Neuraxpharm, at which time the optional purchases are recognized as a component of product revenue, net.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$24.1 million of deferred revenue related to optional purchases for which the performance obligation had not been met. This includes $0.8 million recorded in accounts receivable, net for consideration the Company has an unconditional right to receive from Neuraxpharm under the Commercialization Agreement. The Company reevaluates the consideration received, and performance obligations satisfied, at the end of each reporting period. Such reevaluations may result in a change to the amount of product revenue, net, recognized and deferred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Azer-cel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In January 2025, the Company made a deferred payment of $2.5 million to Precision consisting of an equity investment in Precision’s common stock at a 100% premium to the 30-day volume-weighted average price (the 30-day VWAP) prior to purchase. In February 2026, the Company achieved the Milestone Event 1 (as defined in the Precision License Agreement) and made a one-time payment to Precision equal to $7.5 million comprised of (i) $5.25 million in cash and (ii) $2.25 million (the Milestone 1 Stock Payment), as an equity investment, for the purchase of 201,504 shares of Precision’s common stock calculated by dividing the Deferred Precision Stock Payment by 200% of the weighted average share price of the Precision common stock for the thirty (30) trading days preceding the payment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Precision will be eligible to receive up to $286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As of March 31, 2026, none of the remaining near-term clinical milestones have been achieved.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MaxCyte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10, 2025, the Company entered into the Strategic Platform License Agreement with MaxCyte, Inc (MaxCyte). which granted a non-exclusive, non-transferable license for the Company to use MaxCyte’s cell loading technology (licensed technology) to develop and commercialize products for the treatment of autoimmune and other non-oncology diseases and conditions, including azer-cel, licensed by the Company from Precision in January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MaxCyte is eligible to receive royalty payments on net sales of approved products developed with the licensed technology at a royalty rate in the low-single digits. Upon the achievement of the first dosing of a human subject in a pivotal trial for a product developed with the licensed technology the Company will make a $1.0 million payment to MaxCyte. MaxCyte is also eligible to receive up to $13.0 million in additional milestone payments based on the achievement of certain regulatory marketing approvals. The Company is required to pay an annual licensing fee of approximately $0.2 million for access to the licensed technology.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Strategic Platform License Agreement expires on the ten-year anniversary unless the Company achieves at least one of the milestone events prior to that date. The Company has the option, at its sole discretion, to extend the term of the Strategic Platform License Agreement beyond the initial ten years for successive renewal terms of five years each, as long as all applicable licensing fees and milestone payments are paid timely and the Company provides MaxCyte at least ninety days written notice prior to the expiration of the then-current term.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income tax expense of $0.6 million and income tax expense of $0.4 million, respectively. The effective tax rates for the three months ended March 31, 2026 and 2025, were 2.9% and 7.5%, respectively. For the three months ended March 31, 2026, the effective tax rate differs from the federal statutory rate primarily due to state income taxes, research and development tax credit, and stock based compensation. For the three months ended March 31, 2025, the effective tax rate differs from the federal statutory rate primarily due to state income taxes, research and development tax credit, and change in valuation allowance.</w:t>
      </w:r>
    </w:p>
    <w:p>
      <w:pPr>
        <w:spacing w:after="0" w:line="1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state jurisdictions. Significant judgment is required in determining the Company's provision for income taxes, deferred tax assets and liabilities and any valuation allowance recorded against its net deferred tax assets. The Company monitors the realizability of its deferred tax assets at each reporting period. In completing the Company's assessment of realizability of its deferred tax assets, the Company considers, among other things: its history of income (loss) measured at pre-tax income (loss) adjusted for permanent book-tax differences on a jurisdictional basis; volatility in actual earnings; and the impacts of the timing of reversals of existing temporary differences. The Company also relies on its assessment of the Company’s projected future results of business operations, including uncertainty in future operating results, variable macroeconomic conditions, and changes in business that may affect the existence and magnitude of future taxable income. The Company's valuation allowance assessment is based on its best estimate of future results considering all available information.</w:t>
      </w:r>
    </w:p>
    <w:p>
      <w:pPr>
        <w:spacing w:after="0" w:line="1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based on the relevant weight of positive and negative evidence, including improved and sustained profitability trends as well as consideration of the Company's expected future taxable earnings, the Company concluded that it is more likely than not that its U.S. federal and certain state deferred tax assets are realizable. As such, the Company released $371.7 million of its valuation allowance associated with the U.S. federal and state deferred tax assets, except for those related to certain state net operating loss carryforwards. The Company continues to maintain a full or partial valuation allowance against certain state attributes as of March 31, 2026, because the Company concluded it is not more likely than not to be realized, as the Company expects certain state attribute generation in future years to exceed its ability to use these deferred tax assets.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provision for income taxes for interim periods is determined using an estimate of its annual effective tax rate, adjusted for discrete items, if any, that are taken into account in the relevant period. Each quarter, the Company updates its estimate of the annual effective tax rate, and if the Company's estimated tax rate changes, it makes a cumulative adjustment.</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The Company has completed a study to assess whether an “ownership change” has occurred through December 31, 2023 as defined in Section 382. Based on the analysis, the Company experienced an ownership change in November 2012. The Company estimates the base Section 382 annual limitation regarding the Company’s November 2012 ownership change to be immaterial. Future changes in the Company's stock ownership, which may be outside of its control, may trigger an additional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us.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contracts with various third parties to conduct certain activities including clinical operations and contract manufacturing, and for the clinical and commercial supply of BRIUMVI. Certain contracts contain non-cancellable features or require the Company to make binding forecasts for future purchases. As of March 31, 2026, the Company had aggregate non-cancelable purchase commitments of $304.1 million, of which $102.3 million, $109.1 million, and $92.7 million are expected to be incurred in the years 2026, 2027 and 2028, respectively. These amounts do not represent the Company’s entire anticipated purchase requirements, as the amounts of such obligations will ultimately be dependent on the timing of future orders and the terms of the existing and future agreements, which cannot be reasonably estimated at this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Payable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7 – Loan Payable for a detailed description of the Company’s loan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8 – Leases for a detailed description of the Company’s lease arrangements in New York and North Carolina.</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3"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2025.</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We also actively evaluate complementary products, technologies and companies for in-licensing, partnership, acquisition and/or investment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Subcutaneous BRIUMVI</w:t>
      </w:r>
    </w:p>
    <w:p>
      <w:pPr>
        <w:spacing w:after="0" w:line="229"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In April 2026, we announced the Phase 3 trial evaluating subcutaneous BRIUMVI completed enrollment and topline data is expected around year-end 2026 or first quarter 2027.</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Update</w:t>
      </w:r>
    </w:p>
    <w:p>
      <w:pPr>
        <w:spacing w:after="0" w:line="229"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In March 2026, we entered into a new five-year, $750 million senior secured credit facility with funds managed by Blue Owl Capital. As part of the transaction, we repaid our outstanding $250 million senior secured credit facility, resulting in a net raise of $500 million in non-dilutive capital. The new facility also provides for up to an additional $250 million of incremental capital, for a total facility size of up to $1 billion, available at the mutual discretion of TG and Blue Owl Capital. In connection with the new facility, our Board of Directors authorized an increase to our share repurchase program from $100 million to $300 million. Since the inception of the first share repurchase program in 2024, and as of April 30, 2026, we have repurchased a total of $200 million of common stock at an average price of $29.28 per share, of which $100 million was completed during the first quarter of 2026.</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March 2026.</w:t>
      </w:r>
    </w:p>
    <w:p>
      <w:pPr>
        <w:spacing w:after="0" w:line="157"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Stage/Status of Development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38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IV (anti-CD20 mAb)</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Ublituximab IV Simplified Dosing Schedule</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completed enrollment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Ublituximab Subcutaneous (anti-CD20 mAb)</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completed enrollment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Azer-cel</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Progressive Forms of Multiple Sclerosis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enrolling</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color w:val="auto"/>
              </w:rPr>
              <w:t>29</w:t>
            </w:r>
          </w:p>
        </w:tc>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2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BRIUMVI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BRIUMVI is an anti-CD20 monoclonal antibody that can be administered to adults with RMS in a one-hour infusion every 24 weeks, following the starting dose. BRIUMVI received approval from the FDA primarily based on results from the ULTIMATE I and ULTIMATE II Phase 3 trials. Each trial was an independent global, randomized, multi-center, double-blinded, double-dummy, active-controlled study comparing the efficacy and safety/tolerability of BRIUMVI (450mg dose administered by one-hour intravenous infusion every 6 months, following a day 1 infusion of 150mg over four hours and a day 15 infusion of 450mg over one hour) versus teriflunomide (14mg oral tablets taken once daily) in subjects with RMS.</w:t>
      </w:r>
    </w:p>
    <w:p>
      <w:pPr>
        <w:spacing w:after="0" w:line="183" w:lineRule="exact"/>
        <w:rPr>
          <w:sz w:val="20"/>
          <w:szCs w:val="20"/>
          <w:color w:val="auto"/>
        </w:rPr>
      </w:pPr>
    </w:p>
    <w:p>
      <w:pPr>
        <w:jc w:val="both"/>
        <w:ind w:left="940" w:hanging="325"/>
        <w:spacing w:after="0" w:line="255"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ind w:left="940" w:hanging="32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we announced the issuance of three additional patents by the United States Patent and Trademark Office (USPTO) for BRIUMVI, which extended patent protection through 2042.</w:t>
      </w:r>
    </w:p>
    <w:p>
      <w:pPr>
        <w:jc w:val="both"/>
        <w:ind w:left="940" w:hanging="325"/>
        <w:spacing w:after="0" w:line="25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we announced patient enrollment commenced into a randomized Phase 3 pivotal cohort to evaluate a consolidated Day 1 and Day 15 dosing regimen for IV BRIUMVI in the ongoing ENHANCE Phase 3b trial, and in October 2025 we announced the trial completed enrollment.</w:t>
      </w:r>
    </w:p>
    <w:p>
      <w:pPr>
        <w:spacing w:after="0" w:line="1" w:lineRule="exact"/>
        <w:rPr>
          <w:rFonts w:ascii="Times New Roman" w:cs="Times New Roman" w:eastAsia="Times New Roman" w:hAnsi="Times New Roman"/>
          <w:sz w:val="18"/>
          <w:szCs w:val="18"/>
          <w:color w:val="auto"/>
        </w:rPr>
      </w:pPr>
    </w:p>
    <w:p>
      <w:pPr>
        <w:ind w:left="940" w:hanging="325"/>
        <w:spacing w:after="0" w:line="26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five-year data from the ongoing open label extension (OLE) of the Phase 3 ULTIMATE I and II studies published in JAMA Neurology.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 and Market Dynamics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BRIUMVI (ublituximab-xiiy), an anti-CD20 monoclonal antibody indicated for the treatment of adults with relapsing forms of multiple sclerosis (RMS), to include clinically isolated syndrome, relapsing-remitting disease, and active secondary progressive disease, was approved by the U.S. Food and Drug Administration (FDA) in December 2022 and commercially launched in the United States in January 2023. BRIUMVI is administered as a one-hour, twice per year infusion following the starting dose. Since launch, our commercialization efforts have focused on expanding prescriber awareness, increasing penetration across infusion centers and neurology practices, securing payer coverage, and supporting patient access within a competitive RMS treatment landscape.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BRIUMVI’s clinical profile, including its one-hour infusion time and twice-annual dosing schedule, together with demonstrated efficacy and safety in pivotal trials and accumulating real-world experience, supports its positioning within the anti-CD20 therapeutic class. The anti-CD20 class represents a significant segment of the RMS market, reflecting physician familiarity with the mechanism of action and long-term treatment considerations. Our ability to expand adoption is dependent on continued execution across access and site-of-care pathways; however, uptake may be influenced by factors including established prescribing practices, patient switching dynamics, payer coverage and utilization management requirements, competitive contracting, site-of-care logistics, and evolving treatment guidelines.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RMS market is highly competitive and includes numerous approved disease-modifying therapies with varying mechanisms of action, routes of administration, safety profiles, and dosing schedules. Competitive dynamics may be influenced by pricing and contracting strategies, payer utilization management practices, the introduction of new branded products or biosimilars, and broader healthcare system and macroeconomic conditions. Our ability to continue to grow BRIUMVI revenues will depend on sustained physician adoption, patient persistence and adherence, competitive differentiation within the anti-CD20 class, and continued access across commercial and government payers.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product revenue is subject to gross-to-net adjustments, including mandatory government discounts and rebates, contractual rebates and chargebacks, trade discounts and allowances (including cash discounts), product returns, distribution fees, and patient support programs. These adjustments are influenced by payer and site of care mix, coverage determinations, contracting dynamics, and patient assistance utilization, and may fluctuate from period to period. As our commercial footprint expands and payer contracting strategies evolve, the magnitude and variability of these adjustments may 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we announced that the EC granted approval of BRIUMVI to treat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in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we previously partnered.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we announced the commercial launch of BRIUMVI in the EU by Neuraxpharm, with BRIUMVI made available for commercial sale in Germany.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BRIUMVI is now approved in the European Union, the United Kingdom, Switzerland, Australia, Kuwait, the United Arab Emirates, Israel, and Saudi Arabia.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Subcutaneous Ublituximab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2024, we announced the initiation of a Phase 1 clinical trial evaluating subcutaneous ublituximab (the active ingredient in BRIUMVI), and sometimes otherwise referred to as “subcutaneous BRIUMVI" in patients with RMS.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2025, we announced the first patients with myasthenia gravis (MG) have been enrolled in a clinical trial evaluating ublituximab.</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2025 we announced enrollment commenced in the Phase 3 pivotal program evaluating subcutaneous ublituximab. The Phase 3 pivotal program is a randomized, open label, parallel-group, multicenter study designed to evaluate the pharmacokinetics, pharmacodynamics, safety, radiological and clinical effects of subcutaneous ublituximab compared to IV BRIUMVI in adult participants with RMS. Participants will be randomized into one of three arms: 8-week regimen of subcutaneous ublituximab, 12-week regimen of subcutaneous ublituximab or the currently approved IV BRIUMVI dosing schedule. The primary endpoint of the trial is non inferior exposure of subcutaneous ublituximab compared to IV BRIUMVI with respect to area under the curve (AUC) at week 24. In April 2026, we announced the trial completed enrollment and topline data is expected around year-end 2026 or first quarter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Azercabtagene Zapreleucel (azer-cel)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Azer-cel is an allogeneic (off-the-shelf) CD19-directed CAR T cell therapy under development by us for autoimmune diseases. Made from donor-derived T cells modified using a proprietary ARCUS genome editing technology, azer-cel recognizes the well characterized B-cell surface protein CD19, an important and validated target in several B-cell cancers and autoimmune diseases. Azer-cel is designed to minimize graft-versus-host disease (GvHD), a significant complication associated with other donor-derived, cell-based therapies. In August 2024, we announced FDA clearance of the IND for azer-cel for the treatment of progressive forms of MS. In August 2025, we announced the first patient with progressive multiple sclerosis has been dosed with azer-cel in a Phase 1 trial.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AND LIFECYCLE MANAGEMENT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ongoing commercialization of BRIUMVI, we continue to invest in our commercial organization, infrastructure, and internal capabilities to support lifecycle management and potential expansion of the product’s clinical and commercial profile. A key area of focus is the development of a subcutaneous formulation of ublituximab, which is being evaluated as a potential alternative route of administration that may offer increased convenience and flexibility for patients and healthcare providers. We are also exploring the use of BRIUMVI in autoimmune indications outside of MS and are advancing early-stage development activities for azer-cel in autoimmune diseases. These programs reflect our broader strategy to enhance the durability of our portfolio and expand future therapeutic opportunities.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Beyond BRIUMVI, we continue to evaluate potential in-licensing and acquisition opportunities. These opportunities may include earlier-stage programs, complementary products, proprietary technologies, or other therapeutic approaches that could enhance our pipeline and support long-term growth. The scope, timing, and level of any such investments will depend on a range of factors, including scientific and clinical data, manufacturing feasibility, regulatory considerations, commercial readiness, available resources, and overall strategic and financial priorities.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 and Key Components of our Operating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have recently achieved profitability, we have historically incurred substantial operating losses since our inception and may continue to experience fluctuations in operating results. Despite the commercialization of BRIUMVI and the potential future commercialization of other product candidates, there can be no assurance that we will maintain profitability on an ongoing basis.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 of $204.9 million. Historically, our operating losses have been driven primarily by expenses related to research and development programs and selling, general and administrative costs associated with our operations and commercialization activities to date. Our operating results and cash flows have fluctuated in the past and may continue to vary significantly from period to period. We will need to generate substantial revenues to sustain profitability and positive cash flow over the long term.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our accumulated deficit was approximately $1.1 billion, and we had $572.8 million in cash and cash equivalents, and investment securities, excluding equity investments. Based on our current operating plan and results, we anticipate that our existing cash, cash equivalents, and investment securities, together with projected future revenues, will be sufficient to fund operations and meet our liquidity needs for more than twelve months after the date of filing of this Quarterly Report on Form 10-Q.</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actual level of cash required for operations will depend on numerous factors, including, among others, the scope of commercialization activities for BRIUMVI, the timing of collection of receivables from our customers on extended payment terms, the timing and design of clinical trials for our product candidates, and the costs associated with licensing or acquiring new product candidates. We may seek significant additional financing in the future to support strategic initiatives and our ongoing and planned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as we continue to grow and expand our clinical programs and pursue the potential commercialization of additional product candidates. We anticipate incurring significant research and development expenses related to these activities for the foreseeable future. The actual amount of cash needed to support these strategic initiatives will depend on many factors, including:</w:t>
      </w:r>
    </w:p>
    <w:p>
      <w:pPr>
        <w:spacing w:after="0" w:line="17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ongoing commercialization of BRIUMVI and any other products for which we receive regulatory approval;</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9" w:lineRule="exact"/>
        <w:rPr>
          <w:rFonts w:ascii="Times New Roman" w:cs="Times New Roman" w:eastAsia="Times New Roman" w:hAnsi="Times New Roman"/>
          <w:sz w:val="18"/>
          <w:szCs w:val="18"/>
          <w:color w:val="auto"/>
        </w:rPr>
      </w:pPr>
    </w:p>
    <w:p>
      <w:pPr>
        <w:ind w:left="240" w:right="820" w:hanging="232"/>
        <w:spacing w:after="0" w:line="180" w:lineRule="auto"/>
        <w:tabs>
          <w:tab w:leader="none" w:pos="240" w:val="left"/>
        </w:tabs>
        <w:numPr>
          <w:ilvl w:val="0"/>
          <w:numId w:val="1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progress of our clinical trials, including expenses to support the trials and milestone payments that may become payable under our license agreements;</w:t>
      </w: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royalties owed to our licensing partner for BRIUMVI sales, materials and third-party manufacturing costs, freight, distribution and logistics expenses, and overhead costs associated with our supply chain. Cost of revenue may also include excess or obsolete inventory adjustments, abnormal manufacturing costs, unabsorbed overhead, and manufacturing variances.</w:t>
      </w:r>
    </w:p>
    <w:p>
      <w:pPr>
        <w:spacing w:after="0" w:line="176"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policy to expense costs associated with the manufacture of our products prior to regulatory approval, a portion of the manufacturing costs incurred to produce BRIUMVI before its FDA approval in December 2022 were expensed to research and development. As a result, a portion of the BRIUMVI units recognized as revenue three months ended March 31, 2025 are not included in the cost of product revenue during those periods.​</w:t>
      </w:r>
    </w:p>
    <w:p>
      <w:pPr>
        <w:spacing w:after="0" w:line="180"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As commercialization continues and pre-approval inventory has been fully depleted, we expect cost of revenue and gross margin to normalize to levels that reflect current commercial manufacturing costs, royalty payments, and supply chain expenses. Period-over-period fluctuations in cost of revenue may continue to occur based on the nature of our ordinary course of business operations, including production scheduling, manufacturing, inventory management, and the timing of overhead allocation.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 (Other)</w:t>
      </w:r>
    </w:p>
    <w:p>
      <w:pPr>
        <w:spacing w:after="0" w:line="22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Our other research and development expenses consist primarily of external clinical and manufacturing costs, personnel-related expenses, milestone and licensing payments, and overhead costs supporting development activities. We recognize R&amp;D costs as incurred. These expenses include: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External development costs</w:t>
      </w:r>
      <w:r>
        <w:rPr>
          <w:rFonts w:ascii="Times New Roman" w:cs="Times New Roman" w:eastAsia="Times New Roman" w:hAnsi="Times New Roman"/>
          <w:sz w:val="18"/>
          <w:szCs w:val="18"/>
          <w:color w:val="auto"/>
        </w:rPr>
        <w:t>, including amounts paid to contract research organizations (CROs), contract manufacturing organizations (CMOs), central</w:t>
      </w:r>
    </w:p>
    <w:p>
      <w:pPr>
        <w:spacing w:after="0" w:line="29" w:lineRule="exact"/>
        <w:rPr>
          <w:sz w:val="20"/>
          <w:szCs w:val="20"/>
          <w:color w:val="auto"/>
        </w:rPr>
      </w:pPr>
    </w:p>
    <w:p>
      <w:pPr>
        <w:ind w:left="260" w:hanging="232"/>
        <w:spacing w:after="0" w:line="250"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laboratories, clinical trial sites, and other third-party service providers supporting our preclinical studies, clinical trials, process development and analytical testing;</w:t>
      </w: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Manufacturing and scale-up costs</w:t>
      </w:r>
      <w:r>
        <w:rPr>
          <w:rFonts w:ascii="Times New Roman" w:cs="Times New Roman" w:eastAsia="Times New Roman" w:hAnsi="Times New Roman"/>
          <w:sz w:val="18"/>
          <w:szCs w:val="18"/>
          <w:color w:val="auto"/>
        </w:rPr>
        <w:t>, including costs associated with producing preclinical and clinical supply and performing process development and</w:t>
      </w:r>
    </w:p>
    <w:p>
      <w:pPr>
        <w:spacing w:after="0" w:line="9" w:lineRule="exact"/>
        <w:rPr>
          <w:rFonts w:ascii="Times New Roman" w:cs="Times New Roman" w:eastAsia="Times New Roman" w:hAnsi="Times New Roman"/>
          <w:sz w:val="18"/>
          <w:szCs w:val="18"/>
          <w:color w:val="auto"/>
        </w:rPr>
      </w:pPr>
    </w:p>
    <w:p>
      <w:pPr>
        <w:ind w:left="260" w:hanging="232"/>
        <w:spacing w:after="0" w:line="250"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activities. Prior to FDA approval of BRIUMVI, all manufacturing costs for ublituximab were expensed to R&amp;D as incurred. Following approval, manufacturing costs related to commercial supply are capitalized as inventory;</w:t>
      </w:r>
    </w:p>
    <w:p>
      <w:pPr>
        <w:ind w:left="260" w:hanging="232"/>
        <w:spacing w:after="0" w:line="180" w:lineRule="auto"/>
        <w:tabs>
          <w:tab w:leader="none" w:pos="260" w:val="left"/>
        </w:tabs>
        <w:numPr>
          <w:ilvl w:val="0"/>
          <w:numId w:val="1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i w:val="1"/>
          <w:iCs w:val="1"/>
          <w:color w:val="auto"/>
        </w:rPr>
        <w:t>Personnel and employee-related expenses</w:t>
      </w:r>
      <w:r>
        <w:rPr>
          <w:rFonts w:ascii="Times New Roman" w:cs="Times New Roman" w:eastAsia="Times New Roman" w:hAnsi="Times New Roman"/>
          <w:sz w:val="17"/>
          <w:szCs w:val="17"/>
          <w:color w:val="auto"/>
        </w:rPr>
        <w:t>, including salaries, benefits, travel and share-based compensation for employees engaged in research, clinical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medical, regulatory and manufacturing-support functions;</w:t>
      </w:r>
    </w:p>
    <w:p>
      <w:pPr>
        <w:ind w:left="260" w:hanging="232"/>
        <w:spacing w:after="0" w:line="180" w:lineRule="auto"/>
        <w:tabs>
          <w:tab w:leader="none" w:pos="260" w:val="left"/>
        </w:tabs>
        <w:numPr>
          <w:ilvl w:val="0"/>
          <w:numId w:val="1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i w:val="1"/>
          <w:iCs w:val="1"/>
          <w:color w:val="auto"/>
        </w:rPr>
        <w:t>Milestone, licensing and collaboration expenses</w:t>
      </w:r>
      <w:r>
        <w:rPr>
          <w:rFonts w:ascii="Times New Roman" w:cs="Times New Roman" w:eastAsia="Times New Roman" w:hAnsi="Times New Roman"/>
          <w:sz w:val="17"/>
          <w:szCs w:val="17"/>
          <w:color w:val="auto"/>
        </w:rPr>
        <w:t>, including upfront payments and milestone obligations incurred under in-license and collaboration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and</w:t>
      </w:r>
    </w:p>
    <w:p>
      <w:pPr>
        <w:ind w:left="260" w:hanging="23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other overhead costs that support research and development activities.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i w:val="1"/>
          <w:iCs w:val="1"/>
          <w:color w:val="auto"/>
        </w:rPr>
        <w:t>elling, General, and Administrative (SG&amp;A) Expenses (Other)</w:t>
      </w:r>
    </w:p>
    <w:p>
      <w:pPr>
        <w:spacing w:after="0" w:line="229"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Our other selling, general and administrative expenses consist primarily of expenses related to the commercialization of our approved products and the expenses required to maintain and support a growing commercial organization. These expenses include: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Commercial operations costs</w:t>
      </w:r>
      <w:r>
        <w:rPr>
          <w:rFonts w:ascii="Times New Roman" w:cs="Times New Roman" w:eastAsia="Times New Roman" w:hAnsi="Times New Roman"/>
          <w:sz w:val="18"/>
          <w:szCs w:val="18"/>
          <w:color w:val="auto"/>
        </w:rPr>
        <w:t>, including salaries and related expenses, benefits, incentives, share-based compensation and travel for sales, marketing,</w:t>
      </w:r>
    </w:p>
    <w:p>
      <w:pPr>
        <w:spacing w:after="0" w:line="29" w:lineRule="exact"/>
        <w:rPr>
          <w:sz w:val="20"/>
          <w:szCs w:val="20"/>
          <w:color w:val="auto"/>
        </w:rPr>
      </w:pPr>
    </w:p>
    <w:p>
      <w:pPr>
        <w:ind w:left="260" w:hanging="232"/>
        <w:spacing w:after="0" w:line="250"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commercial development team, as well as promotional programs, marketing initiatives, medical affairs, and reimbursement support services related to BRIUMVI;</w:t>
      </w:r>
    </w:p>
    <w:p>
      <w:pPr>
        <w:ind w:left="260" w:right="20" w:hanging="232"/>
        <w:spacing w:after="0" w:line="180" w:lineRule="auto"/>
        <w:tabs>
          <w:tab w:leader="none" w:pos="260" w:val="left"/>
        </w:tabs>
        <w:numPr>
          <w:ilvl w:val="0"/>
          <w:numId w:val="2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i w:val="1"/>
          <w:iCs w:val="1"/>
          <w:color w:val="auto"/>
        </w:rPr>
        <w:t>Corporate and administrative personnel costs</w:t>
      </w:r>
      <w:r>
        <w:rPr>
          <w:rFonts w:ascii="Times New Roman" w:cs="Times New Roman" w:eastAsia="Times New Roman" w:hAnsi="Times New Roman"/>
          <w:sz w:val="17"/>
          <w:szCs w:val="17"/>
          <w:color w:val="auto"/>
        </w:rPr>
        <w:t>, including salaries, benefits, travel and share-based compensation for executive, finance,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 development, legal, human resources, and other administrative functions;</w:t>
      </w:r>
    </w:p>
    <w:p>
      <w:pPr>
        <w:ind w:left="260" w:right="20" w:hanging="232"/>
        <w:spacing w:after="0" w:line="180" w:lineRule="auto"/>
        <w:tabs>
          <w:tab w:leader="none" w:pos="260" w:val="left"/>
        </w:tabs>
        <w:numPr>
          <w:ilvl w:val="0"/>
          <w:numId w:val="2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i w:val="1"/>
          <w:iCs w:val="1"/>
          <w:color w:val="auto"/>
        </w:rPr>
        <w:t>Professional fees</w:t>
      </w:r>
      <w:r>
        <w:rPr>
          <w:rFonts w:ascii="Times New Roman" w:cs="Times New Roman" w:eastAsia="Times New Roman" w:hAnsi="Times New Roman"/>
          <w:sz w:val="17"/>
          <w:szCs w:val="17"/>
          <w:color w:val="auto"/>
        </w:rPr>
        <w:t>, including legal services, patent-related costs associated with the protection and maintenance of our intellectual property and propriety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accounting and audit services, consulting services, external legal advisors, and other external advisors supporting our operations;</w:t>
      </w:r>
    </w:p>
    <w:p>
      <w:pPr>
        <w:ind w:left="260" w:hanging="232"/>
        <w:spacing w:after="0" w:line="180" w:lineRule="auto"/>
        <w:tabs>
          <w:tab w:leader="none" w:pos="260" w:val="left"/>
        </w:tabs>
        <w:numPr>
          <w:ilvl w:val="0"/>
          <w:numId w:val="2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i w:val="1"/>
          <w:iCs w:val="1"/>
          <w:color w:val="auto"/>
        </w:rPr>
        <w:t>Corporate infrastructure and facilities costs</w:t>
      </w:r>
      <w:r>
        <w:rPr>
          <w:rFonts w:ascii="Times New Roman" w:cs="Times New Roman" w:eastAsia="Times New Roman" w:hAnsi="Times New Roman"/>
          <w:sz w:val="17"/>
          <w:szCs w:val="17"/>
          <w:color w:val="auto"/>
        </w:rPr>
        <w:t>, including rent, utilities, insurance, information technology systems, and other overhead necessary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 to day operations and to support our commercial and administrative activities;</w:t>
      </w:r>
    </w:p>
    <w:p>
      <w:pPr>
        <w:ind w:left="260" w:hanging="23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SG&amp;A support functions</w:t>
      </w:r>
      <w:r>
        <w:rPr>
          <w:rFonts w:ascii="Times New Roman" w:cs="Times New Roman" w:eastAsia="Times New Roman" w:hAnsi="Times New Roman"/>
          <w:sz w:val="18"/>
          <w:szCs w:val="18"/>
          <w:color w:val="auto"/>
        </w:rPr>
        <w:t>, such as medical affairs, legal activities, market access, reimbursement operations, and compliance.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204,918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120,856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84,062</w:t>
            </w: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r>
      <w:tr>
        <w:trPr>
          <w:trHeight w:val="210"/>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3,435</w:t>
            </w: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34,451</w:t>
            </w:r>
          </w:p>
        </w:tc>
        <w:tc>
          <w:tcPr>
            <w:tcW w:w="100" w:type="dxa"/>
            <w:vAlign w:val="bottom"/>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37,886</w:t>
            </w:r>
          </w:p>
        </w:tc>
      </w:tr>
      <w:tr>
        <w:trPr>
          <w:trHeight w:val="209"/>
        </w:trPr>
        <w:tc>
          <w:tcPr>
            <w:tcW w:w="6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57,889</w:t>
            </w:r>
          </w:p>
        </w:tc>
      </w:tr>
      <w:tr>
        <w:trPr>
          <w:trHeight w:val="210"/>
        </w:trPr>
        <w:tc>
          <w:tcPr>
            <w:tcW w:w="63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9,153</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Borders>
              <w:top w:val="single" w:sz="8" w:color="CCEEFF"/>
            </w:tcBorders>
          </w:tcPr>
          <w:p>
            <w:pPr>
              <w:spacing w:after="0"/>
              <w:rPr>
                <w:sz w:val="18"/>
                <w:szCs w:val="18"/>
                <w:color w:val="auto"/>
              </w:rPr>
            </w:pPr>
          </w:p>
        </w:tc>
      </w:tr>
      <w:tr>
        <w:trPr>
          <w:trHeight w:val="210"/>
        </w:trPr>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$201.3 million for the three months ended March 31, 2026,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$119.7 million for the three months ended March 31, 2025. Product revenue, net for both the three months ended March 31, 2026 and March 31, 2025 consisted of net product sales of BRIUMVI in the United States of $194.8 million and $119.7 million, respectively. Also included in product revenue, net for the three months ended March 31, 2026 is sales of BRIUMVI to our ex-U.S. licensing partner, Neuraxpharm, of $6.5 million. The increase in product revenue, net is a result of greater market penetration of BRIUMVI in the United States and from commercial product sales supplied to Neuraxpharm under the Commercialization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$3.6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and $1.2 million for the three months ended March 31, 2025. License, milestone, royalty and other revenue for the three months ended March 31, 2026 is comprised of $2.7 million of royalty revenue recognized under the Commercialization Agreement with Neuraxpharm and $0.9 million of consideration received for development and regulatory activities performed on behalf of Neuraxpharm in accordance with the Commercialization Agreement (see Note 2 – Revenue for more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March 31, 2026 was $33.5 million compared to approximately $15.5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Cost of revenue for both the three months ended March 31, 2026 and March 31, 2025 consists primarily of royalties owed to our licensing partner for BRIUMVI sales, third-party manufacturing, distribution and overhead costs. A portion of the manufacturing costs of BRIUMVI sold during the quarter ending March 31, 2025 was expensed as research and development prior to the FDA approval of BRIUMVI and therefore it is not reflected in the cost of revenue. We depleted these inventories during the quarter ending March 31, 2025.</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(Research and Development)</w:t>
      </w:r>
      <w:r>
        <w:rPr>
          <w:rFonts w:ascii="Times New Roman" w:cs="Times New Roman" w:eastAsia="Times New Roman" w:hAnsi="Times New Roman"/>
          <w:sz w:val="18"/>
          <w:szCs w:val="18"/>
          <w:color w:val="auto"/>
        </w:rPr>
        <w:t>. Stock-based compensation expense (research and development)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incentive grants and liability-classified awards totaled $4.9 million for the three months ended March 31, 2026, as compared to $3.3 million during the comparable period ended March 31, 2025. The modest increase in stock-based compensation expense was primarily due to an increase in headcount and higher grant-date stock price at which awards were granted during the three months ended March 31, 2026, as compared to the three months ended March 31, 2025.</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was $43.5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as compared to $43.0 million during the three months ended March 31, 2025. The increase in research and development expense during the three months ended March 31, 2026 was primarily attributable to license and milestone expense in connection with the Precision License Agreement, as well as increased clinical trial related expenses pertaining to our clinical pipeline, and increased personnel costs during the period ended March 31, 2026. These increases were partially offset by lower manufacturing and development costs, in connection with our subcutaneous ublituximab development work incurred during the period ended March 31, 2026.</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 (Selling, General and Administrative)</w:t>
      </w:r>
      <w:r>
        <w:rPr>
          <w:rFonts w:ascii="Times New Roman" w:cs="Times New Roman" w:eastAsia="Times New Roman" w:hAnsi="Times New Roman"/>
          <w:sz w:val="18"/>
          <w:szCs w:val="18"/>
          <w:color w:val="auto"/>
        </w:rPr>
        <w:t>. Stock-based compensation expense (selling, general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related to equity incentive grants and liability-classified awards totaled $15.1 million for the three months ended March 31, 2026, as compared to $11.7 million during the comparable period ended March 31, 2025. The increase in stock-based compensation expense was due to greater recognition of stock-based compensation expense for performance and market-based awards, an increase in headcount, and higher stock prices associated with awards granted during the three months ended March 31, 2026.</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$73.1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 as compared to $38.7 million during the comparable period ended March 31, 2025. The increase was primarily due to marketing and media spend, and personnel-related costs associated with the commercialization of BRIUMVI during the three months ended March 31, 2026.</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totaled $7.7 million for the three months ended March 31, 2026, as compared to $6.8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2025. The increase is mainly due to increased interest expense pertaining to the First Amendment to the Financing Agreement with Blue Owl Capital during the three months ended March 31, 2026 (see Note 7 – Loan Payable for more information).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r>
        <w:rPr>
          <w:rFonts w:ascii="Times New Roman" w:cs="Times New Roman" w:eastAsia="Times New Roman" w:hAnsi="Times New Roman"/>
          <w:sz w:val="18"/>
          <w:szCs w:val="18"/>
          <w:color w:val="auto"/>
        </w:rPr>
        <w:t>. Loss on extinguishment of debt totaled $9.2 million for the three months ended March 31, 2026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write-off of unamortized deferred financing and debt discount costs, as well as prepayment fees associated with the Initial Term Loan with Blue Owl Capital, as compared to zero for the three months ended March 31, 2025 (see Note 7 – Loan Payable for more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totaled $2.4 million for the three months ended March 31, 2026, as compared to $3.6 million during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March 31, 2025. The decrease is mainly due to less income earned from investments during the three months ended March 31, 2026.</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totaled $0.6 million for the three months ended March 31, 2026, as compared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($0.4) million during the comparable period ended March 31, 2025. The increase in income tax benefit is driven by the release of our deferred tax asset valuation allowance during the quarter ended September 30, 2025 and higher pre-tax income for the three months ended March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and Contractual Obligations</w:t>
      </w:r>
    </w:p>
    <w:p>
      <w:pPr>
        <w:spacing w:after="0" w:line="229"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Our material cash requirements primarily relate to the continued commercialization of BRIUMVI, including commercial operations, manufacturing and supply commitments, medical affairs activities, post-marketing requirements, and ongoing clinical development programs, as well as general and administrative expenses supporting our commercial-stage operations. Certain of these requirements arise from contractual commitments, while others are driven by our operating plan and the ordinary course of business.</w:t>
      </w:r>
    </w:p>
    <w:p>
      <w:pPr>
        <w:spacing w:after="0" w:line="180"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We expect to fund these expenditures through existing cash, cash equivalents and investment securities, cash flows from BRIUMVI product sales, and, if needed, access to additional capital under the uncommitted portion of our term loan facility with Blue Owl Capital or other financing sources.</w:t>
      </w:r>
    </w:p>
    <w:p>
      <w:pPr>
        <w:spacing w:after="0" w:line="162"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our contractual obligations consist primarily of purchase and supply commitments supporting the commercial and clinical manufacture of BRIUMVI. Certain of these agreements include non-cancelable provisions, minimum purchase requirements, or binding forecast commitments. We also maintain lease obligations for our office facilities in New York and North Carolina, which are expected to be funded through operating cash flows.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our Financing Agreement with Blue Owl Capital, we are obligated to make interest and future principal payments.</w:t>
      </w:r>
    </w:p>
    <w:p>
      <w:pPr>
        <w:spacing w:after="0" w:line="225"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We also enter into collaboration and license agreements that may require future milestone and royalty payments. Because these payments are contingent upon the achievement of specified events, they are not included in our contractual commitments but could become material in future periods.</w:t>
      </w:r>
    </w:p>
    <w:p>
      <w:pPr>
        <w:spacing w:after="0" w:line="162"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financial resources, and projected results, we believe we have sufficient liquidity to fund operations and meet our material cash requirements for at least the next twelve months from the date of filing of this Quarterly Report on Form 10-Q. However, future capital requirements will depend on a number of factors, and additional financing may be required.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(17,894)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390,829</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(6,102)</w:t>
            </w:r>
          </w:p>
        </w:tc>
      </w:tr>
    </w:tbl>
    <w:p>
      <w:pPr>
        <w:spacing w:after="0" w:line="198"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$17.9 million as compared to cash used in operating activities of $28.7 million for the three months ended March 31, 2025, representing $10.8 million improvement year over year.</w:t>
      </w:r>
    </w:p>
    <w:p>
      <w:pPr>
        <w:spacing w:after="0" w:line="162"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improvement was driven by higher net income for the three months ended March 31, 2026, $19.8 million compared to $5.1 million for the three months ended March 31, 2025. Operating cash flow benefited from favorable working capital changes, including a decrease in inventory purchases, a $33.0 million year-over-year improvement. These favorable impacts were partially offset by an increase in accounts receivable and other current assets in three months ended March 31, 2026 and 2025, which reduced operating cash flow year over year, and a decrease in accounts payable and accrued expenses, a $31.2 million reduction.</w:t>
      </w:r>
    </w:p>
    <w:p>
      <w:pPr>
        <w:spacing w:after="0" w:line="183"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$9.9 million as compared to $12.9 million used in investing activities for the three months ended March 31, 2025. The improvement in net cash used in investing activities was primarily due to decreased investments in held-to-maturity securities during the three months ended March 31, 2026, as compared to the three months ended March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approximately $390.8 million as compared to net cash used in financing activities of $6.1 million for the three months ended March 31, 2025. Net cash provided by financing activities during the three months ended March 31, 2026 was mainly due to the proceeds from the 2026 Term Loan, net of financing costs paid, partially offset by the repurchase of stock under our share repurchase program. Net cash used in financing activities during the three months ended March 31, 2025 was mainly due to the repurchase of stock under our share repurchase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2025, and refer to Note 1 - Organization and Summary of Significant Accounting Policies in this Quarterly Report on Form 10-Q for significant accounting policies due to commercialization for revenue recognition, gross-to-net sales adjustments, accounts receivable, inventory, deferred tax asset valuation allowance, and cost of revenue. Of these policies, the following are considered critical to an understanding of our condensed consolidated financial statements as they require the application of the most difficult, subjective and complex judgments: revenue recognition and stock-based compensation expenses. Refer to Note 2 – Revenue and Note 6 – Stockholders’ Equity respectively, in this Quarterly Report on Form 10-Q for more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2026, our disclosure controls and procedures were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on Form 10-Q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Quarterly Report on Form 10-Q, including our financial statements and related notes, and our other filings from time to time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marketing approval from the U.S. Food and Drug Administration (FDA) or any comparable regulatory authority outside of the U.S.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in December 2022, for the treatment of relapsing forms of multiple sclerosis (RMS), to include clinically isolated syndrome, relapsing-remitting disease, and active secondary progressive disease, in adults, as well as approval by several regulatory authorities outside of the U.S. for BRIUMVI to treat adult patients with RMS who have active disease defined by clinical or imaging features.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and operating expenses projections or guidance and may not become profitable. The degree of market acceptance of BRIUMVI, as well as any future product candidates for which we may receive marketing approval, will depend on a number of factors, including:</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or commitments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There are currently ongoing clinical studies evaluating BRIUMVI in patients with RMS, but the ultimate outcome of these and other studies remains uncertain.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regulatory authority outside the U.S.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marketing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or adverse events caused by BRIUMVI or other products or product candidates within the RMS space following introduction into the market, a number of potentially significant negative consequences could result, including:</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and/ or other products or could substantially increase the costs and expenses of commercializing the affected product and/or other products, which in turn could significantly impact our ability to successfully commercialize our drug candidates and generate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other product candidates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 areas that we are, including within the neurological and immunological fields, some in direct competition with us. We may also compete with these organizations to recruit commercial and other key personnel, as well as study subjects for clinical trials.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direct-to-consumer advertising and non-promotional communications (certain educational and scientific exchange), and with regard to potential competitor actions under federal law (such as the Lanham Act) and congruous state law, which protect businesses against the unfair competition of misleading advertising or labeling.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 See “Risk Factors – Risks Related to Governmental Regulation of the Pharmaceutical Industry and Legal Compliance Matters – We are subject to new legislation, regulatory proposals and third-party payor initiatives that may increase our costs of compliance and adversely affect our ability to market our products, obtain collaborators and raise capital.”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recent legislative and regulatory proposals in the United States have included “most favored nation” (“MFN”) or international reference pricing models that would tie reimbursement or net prices for certain drugs to the lowest price available in other countries. Adoption or expansion of MFN or similar reference pricing policies could result in downward pressure on U.S. pricing if BRIUMVI or any of our future products are sold at lower net prices in ex-U.S. markets. Because we have partnered the rights to commercialize BRIUMVI in territories outside of the U.S. and do not control pricing, reimbursement negotiations or commercial strategy in those territories, we may have limited ability to influence ex-U.S. pricing decisions that could be used as reference points under MFN or similar frameworks. As a result, pricing determinations made by our collaboration partner in Europe, including in response to local market access dynamics or governmental requirements, could adversely affect the reimbursement or net price realized for BRIUMVI in the U.S. or other markets, which could have a material adverse effect on our revenues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have developed and expanded our processes and systems to support the ongoing commercialization of BRIUMVI following its commercial launch in the U.S. in January 2023. There are risks involved with developing and expanding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support the ongoing commercialization of BRIUMVI and our other product candidates on our own, or through partnership, and generate product revenues include:</w:t>
      </w:r>
    </w:p>
    <w:p>
      <w:pPr>
        <w:spacing w:after="0" w:line="162"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require rebates or discounts, or delay coverage decisions regarding BRIUMVI or following approval of any product candidates;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for the sale of BRIUMVI in certain territories outside the U.S., Canada and Mexico, the commercialization rights for which had been previously retained by the Company, which excludes certain countries in Asia subject to previously existing partnerships. We may enter into additional agreements in the future to facilitate commercialization of BRIUMVI and/or future products that receive approval in markets outside the U.S. through partnerships. In February 2024, BRIUMVI was first made available in the European market by Neuraxpharm in Germany and is now commercially available in several other jurisdictions outside of the U.S.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decide to build and maintain a commercial infrastructure on our own in markets outside of the U.S., we expect to incur significant expenses, which could have a negative impact on our cash resources.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a risk of product liability exposure related to the testing of our product candidates in human clinical trials and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the current U.S. political environment, there is significant uncertainty with respect to legislation, regulation and policy throughout the government with particular implications for companies that rely on government contracts. For a discussion on tariffs and changes to government regulations, including the BIOSECURE Act and related risks, see “Risk Factors – Risks Related to Our Business Organization and Governance, Strategy, Employees and Growth Management – Unfavorable global economic conditions and changes in government regulations could adversely affect our business, financial condition or results of operations.” Policy changes, shifts in international and trade relations, tariffs, budget uncertainty, shifting funding priorities, U.S. government shutdowns or the need to operate under continuing resolutions, the failure of the U.S. government to manage debt, the failure of the U.S. government to approve budgets, and/or other disruptions to federal government operations could result in contract terminations, delays in contract awards, reduction in contract scope, the failure to exercise contract options, the cancellation of planned procurements and fewer new business opportunities, all of which could have a material and adverse effect on our business, financial condition, and results of operations.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substantial operating losses since our inception, and we may incur losses in the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and launching and commercializing BRIUMVI.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and more recently the product revenues generated from BRIUMVI.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profitability. We may not be able to sustain or increase our profitability on a quarterly or annual basis. Our ability to maintain profitability depends upon our ability to generate substantial revenue. Our prior losses have had and will continue to have an adverse effect on our stockholders’ deficit and working capital should we be unable to maintain profitability in future periods.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and operating expenses projections or guidance with respect to BRIUMVI or our product candidates, if approved. To obtain significant and sustained revenues and meet our revenue and operating expenses projections or guidance, we must succeed, either alone or with others, in (i) obtaining and maintaining regulatory approval for our products and product candidates; and (ii) manufacturing, marketing and selling our product and product candidates. Our ability to generate sustained revenue depends on a number of factors, including, but not limited to, our ability to:</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non-U.S. marketing approval for our product and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comparable regulatory authorities outside of the U.S. to market and sell our product and product candidates, and maintain FDA and other global approvals of BRIUMVI for RMS;</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develop, maintain, protect, and defend our intellectual property portfolio; and</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continuing to generate additional clinical data for BRIUMVI to support and potentially expand commercial adoption, including our Open-Label Extension of the Phase 3 ULTIMATE I and II trials, Phase 3 trial to evaluate subcutaneous ublituximab, Phase 3b ENHANCE trial, the Phase 4 ENABLE real-world observational study and additional Phase 4 clinical studies necessary to satisfy post-approval commitments for regulatory authorities. Moreover, we expect to continue to incur significant research and development expenses, as well as significant commercialization and outsourced manufacturing expenses as we continue to commercialize BRIUMVI and continue to advance our clinical trials to evaluate subcutaneous ublituximab, optimize intravenous BRIUMVI for patients with RMS, and evaluate BRIUMVI in other autoimmune diseases and azer-cel for the treatment of primary progressive 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ongoing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regulatory authority outside of the U.S. for sale. For the foreseeable future, we will fund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experience the need to finance our cash needs through a combination of public and private equity offerings, debt financings, collaborations, strategic alliances, licensing agreements or other arrangements. We do not have any committed external source of funds, other than funds already borrowed under our term loan facility of $750 million (the 2026 Term Loan) and an uncommitted additional facility in an aggregate principal amount up to $250 million pursuant to the financing agreement, dated August 2, 2024, as amended on March 18, 2026, that we entered into with Blue Owl Capital Corporation, as administrative agent, and Blue Owl Capital (the Financing Agreement) (see Note 7 – Loan Payable to our consolidated financial statements for more information). In recent periods, there have been certain high-profile defaults and bankruptcies as well as increased risks, regulatory scrutiny and negative publicity in the private credit industry and related investments in credit funds. Such investments are subject to potential deterioration as adverse changes in macroeconomic conditions and changes in investment strategies may adversely impact the investment. If a significant global market correction or downturn results in a material adverse effect on our lenders or if our lenders are involved in defaults or bankruptcies, it may impair our ability to refinance our Initial Term Loan or raise additional capital.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focusing the majority of our resources and efforts on maintaining approval, improving and commercializing BRIUMVI and developing subcutaneous ublituximab and azer-cel for particular indications.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or target markets for BRIUMVI and our other product candidates,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 Further, we may focus our efforts and resources on potential product candidates or other potential programs that ultimately prove to be unsuccessful for which it would have been more advantageous to enter into a partnering arrangement.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2, 2024, we entered into a term loan facility of $250 million with Blue Owl Capital Corporation, as administrative agent, HealthCare Royalty and Blue Owl Capital (the Initial Term Loan). The Initial Term Loan is governed by the Financing Agreement, which provides for (i) a single draw of the Initial Term Loan on the Closing Date and (ii) an uncommitted additional facility in an aggregate principal amount of $100 million. On March 18, 2026 (the 2026 Closing Date) we entered into a first amendment to the Financing Agreement to repay in full the Initial Term Loan and enter into a new term loan facility of $750 million (the 2026 Term Loan) with Blue Owl Capital. The 2026 Term Loan will mature on March 18, 2031 (see Note 7 – Loan Payable to our consolidated financial statements for more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obligations under the Financing Agreement are secured by a lien on substantially all of assets of our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 including in the ways described below:</w:t>
      </w:r>
    </w:p>
    <w:p>
      <w:pPr>
        <w:spacing w:after="0" w:line="225"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8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its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Financing Agreement imposes operating and other restrictions on us. Such restrictions will affect, and in many respects limit or prohibit, our ability and the ability of any future subsidiary to, among other things (subject to the exceptions provided for in the Financing Agreement):</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joint ventures or consolidations;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FDIC insurance limit. Any failure of such depository institution to return any of our deposits upon a liquidation of such institution, or any other adverse conditions in the financial or credit markets affecting depository institutions, could impact access to our invested cash or cash equivalents and could adversely impact our operating liquidity and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obtain regulatory approval for our product or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(INDs) and clinical trial applications (CTAs), being cleared/issued/approved such that our product candidates can commence clinical trials;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may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 is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earlier stages of clinical testing. Companies frequently experience significant setbacks in advanced clinical trials, even after earlier clinical trials have shown promising results. There is a high rate of failure of pharmaceutical candidates proceeding through clinical trials.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assessment of the validity of the study results by applicable regulatory agencies. ​</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may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scope of disclosure we have made or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early-stage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 or that even with such replication marketing approval will be granted.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or similar applications for marketing approval to comparable regulatory authorities outside of the U.S.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if so,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Data Safety Monitoring Boards (DSMBs) or ethics committees (ECs) may not authorize us or our investigators to commence or continue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DSMBs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shifts in the regulatory focus of government agencies;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in Russia and Ukraine, Iran, the Middle East, and South America, economic instability, or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DSMBs or ECs to suspend or terminate the trials, or reports may arise from preclinical or clinical testing of other therapies in the same or a similar class that raise safety or efficacy concerns about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refusal for or limitation on additional subjects to participate,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or adverse events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side effects or adverse events caused by BRIUMVI or any of our product candidates that we take into clinical trials could cause DSMBs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regulatory authorities outside of the U.S.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research, nonclinical and clinical development, manufacturing, labeling, packaging, storage, record-keeping, advertising, promotion, import, export, marketing and distribution, compliant handling,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regulatory authorities outside of the U.S.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regulatory authorities outside of the U.S.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(including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at any time prior to making its final decision, even after previous contrary determinations by the FDA.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us to withdraw a regulatory application.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regulatory authorities outside of the U.S. that a product candidate is tolerable and effective for an indication;</w:t>
      </w:r>
    </w:p>
    <w:p>
      <w:pPr>
        <w:ind w:left="660" w:right="2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regulatory authorities outside of the U.S. for approval;</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660" w:right="20" w:hanging="328"/>
        <w:spacing w:after="0" w:line="184" w:lineRule="auto"/>
        <w:tabs>
          <w:tab w:leader="none" w:pos="660" w:val="left"/>
        </w:tabs>
        <w:numPr>
          <w:ilvl w:val="0"/>
          <w:numId w:val="3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We may submit additional information to the FDA which the FDA determines constitutes a major amendment to the application and thereby extends the goal date for determination of approvability of the application;</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outside of the U.S. may disagree with our interpretation of data from preclinical studies and/or clinical trials;</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outside of the U.S. may identify issues related to the manufacturing processes or facilities of third-party manufacturers with which we or our collaborators currently contract for clinical supplies and plan to contract for commercial supplies; during the course of review, the FDA or regulatory authorities outside of the U.S.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regulatory authorities outside of the U.S.;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regulatory authorities outside of the U.S. may significantly change in a manner rendering our clinical data insufficient for approval; or</w:t>
      </w:r>
    </w:p>
    <w:p>
      <w:pPr>
        <w:jc w:val="both"/>
        <w:ind w:left="660" w:hanging="328"/>
        <w:spacing w:after="0" w:line="25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regulatory authorities outside of the U.S. as a result of global health crises, inadequate government funding, political conditions or economic crises, international conflict, or natural disasters may negatively impact review, inspection, and approval timelines.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other comparable regulatory authorities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may evaluate and pursue orphan drug designation for indications that could be eligible, we may never receive such designation.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including in Russia and Ukraine, in Iran and the Middle East, and in South America. The conflict in Russia and Ukraine and its impact on neighboring countries may adversely affect clinical trial sites for our programs. While no clinical trials are currently enrolling patients in Russia, we do have actively enrolling clinical trials in Ukraine, and there are a number of trial subjects in long-term treatment and follow-up in both countries.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other countries have imposed sanctions against Russia and other restrictions from doing business with certain Russian companies and financial institutions. Our ability to conduct clinical trials in Russia, Ukraine and elsewhere in the region may also become restricted under applicable sanctions laws. Geopolitical conflicts and related government responses have resulted in global economic instability, which could affect our supply chain and commercialization efforts. While we currently do not believe such conflicts will have a material impact on product development or our overall business, given the evolving situation and the related geopolitical and economic uncertainties, the full impact of the conflict remains uncertain.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comparable regulatory authorities outside of the U.S. may not accept data from trials conducted in locations outside of their respective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conducting, and may continue to conduct, clinical trials globally. The acceptance of study data by the FDA or other comparable regulatory authorities outside of the U.S.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U.S. or regulatory authority outside of the U.S. would accept data from trials conducted outside of its applicable jurisdiction. If the FDA or any applicable regulatory authority outside of the U.S.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jurisdictions outside of the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jurisdictions outside of the U.S.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jurisdiction outside of the U.S. on a timely basis, if at all. Failure to receive approval in certain markets outside of the U.S. could significantly impact the full market potential of our product and product candidates and may negatively impact the regulatory process in other countries. Furthermore, if we obtain regulatory approval for a product or product candidate in a jurisdiction outside of the U.S., we will be subject to the burden of complying with complex regulatory, legal, and other requirements that could be costly and could subject us to additional risks and uncertainties.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have any manufacturing capabilities of our own and we rely on third-party contract manufacturers for the clinical and commercial supply of our products. We have established a contract manufacturing relationship with Samsung Biologics for our primary clinical and commercial supply of BRIUMVI, and a secondary contract manufacturing relationship with FUJIFILM Diosynth Biotechnologies.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manufacturing and testing services for our commercial products. However, due to the long lead times and costs associated with establishing and qualifying additional commercial manufacturing sites, we expect to rely on a limited number of contract manufacturers to produce our commercial products under current Good Manufacturing Practice, or cGMP, regulations for the foreseeable future. Our third-party manufacturing partners operate a limited number of facilities in which our product can be produced and will have limited experience in manufacturing our product candidates in quantities sufficient for commercialization. Additionally, our third-party manufacturers will have other clients and may have other priorities that could affect their ability to perform the work satisfactorily and/or on a timely basis. All of these occurrences would be beyond our control.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or add manufacturers either before or after commercialization, the FDA and comparable regulatory authorities outside of the U.S.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obtain regulatory approval for, or commercialize a subcutaneous formulation of our approved intravenous product, which could limit our ability to expand our market opportunity and patient reach.</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conducting a Phase 3 trial evaluating a subcutaneous (SubQ) formulation of ublituximab, which is approved in its intravenous (IV) form for the treatment of RMS. While IV BRIUMVI has demonstrated clinical benefit and gained commercial traction, development and commercialization of a SubQ version of ublituximab presents unique scientific, formulation, clinical, pharmacologic, manufacturing, regulatory, and operational challenges.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rely on the benefit and risk profile established for IV BRIUMVI in previously conducted pivotal clinical trials, the SubQ form of ublituximab requires optimization of pharmacokinetics to attain equivalent exposure to ensure that efficacy and safety are maintained at levels comparable to the approved IV formulation. Pharmacokinetic (PK) and pharmacodynamic (PD) effects may be reduced or altered when administered SubQ, which could create significant challenges in the development of a SubQ formulation of ublituximab. There is also a risk that systemic exposure, tissue distribution or tissue reactions differ in ways that lead to unforeseen efficacy issues, such as reduced clinical benefit or safety or tolerability issues, including injection site reactions or immunogenicity. Clinical development of a new formulation often takes place alongside process and formulation development, such that the form of the product evaluated in early-stage testing may not be the final form of the product evaluated in late-stage testing or intended to be commercialized, as is the case for SubQ ublituximab development. Furthermore, while early phase clinical trials can provide a general understanding of the bioavailability and tolerability of a SubQ product, they are limited in patient number and duration of follow-up, with the pivotal regimen determined through PK/PD modeling and projections. Such differences in safety, efficacy or PK/PD may not be observed until later stage clinical studies with the final formulation of SubQ ublituximab.</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the development of a SubQ formulation, including SubQ ublituximab, typically requires additional clinical studies, including bridging studies and the use of delivery devices (e.g., auto-injectors or prefilled syringes), which may introduce new technical, supply chain, or regulatory challenges. Regulatory agencies may not consider bioequivalence sufficient for approval or may require additional data to demonstrate comparable effectiveness or safety, especially if the SubQ formulations have analytical differences. While the primary outcome of the pivotal clinical trial is to establish equivalent exposure, differences in other clinical properties including but not limited to PD effect, safety, tolerability, and immunogenicity may occur. In such cases, while the primary outcome of the clinical study may be met, regulatory agencies may still consider such a product not pharmaceutically equivalent.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SubQ formulation may involve higher concentration of the existing IV product, as in the case of SubQ ublituximab, which presents technical and analytical challenges. Concentrated products will have increased viscosity, which will result in decreased yield in the manufacturing process and may increase the cost of goods compared to that of IV BRIUMVI. The high concentration formulations currently under evaluation may not prove to be as stable as the IV BRIUMVI product. If the SubQ formulation is determined to have a shorter shelf life, we may require more inventory or reassess the commercial feasibility for distribution. and if a shorter shelf life is determined that may require either more inventory or even worse, may not be commercially feasible for distribution. Additionally, new supply chains have been and will continue to need to be developed, which adds complexity and magnifies the concerns around reliance on third parties, including establishing new vendors, their timeliness and quality of performance and potential for future supply constraints, and other limitations. Furthermore, the altered physical properties of the subcutaneous material have resulted in certain analytical differences from IV BRIUMVI that may require the development of new analytical methods for product characterization and release, if the current analytical methods used for IV BRIUMVI prove to be inadequate to characterize SubQ ublituximab. Analytical method development is a complex task that has both technical and regulatory implications, and there can be no assurances given that such development will be successful or be completed in a timely manner.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approved, we cannot guarantee that the SubQ formulation of ublituximab will be successfully commercialized or achieve the same level of adoption as the IV formulation. Development, approval, and commercialization of the SubQ formulation of ublituximab will take considerable time and will be subject to completion with existing therapies and new therapies that may become available in the future. Failure to develop or obtain regulatory approval for a SubQ formulation, or to successfully commercialize it if approved, could materially limit our growth in markets that favor self-administration and reduce our competitive positioning relative to other self-administered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federal and state legislatures, health agencies and third-party payors continue to focus on containing the cost of healthcare and addressing public concern over access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is expected to result in less coverage in the ACA’s health insurance marketplace (Marketplace) over the next few years. The ACA premium tax credits expired at the end of 2025, which resulted in an additional loss of coverage for an estimated 24 million people that were previously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 Further, The Centers for Medicare &amp; Medicaid Services (CMS) recently proposed two mandatory payment model pilots, the Guarding U.S. Medicare Against Rising Drug Costs (GUARD) Model, focused on Part D drugs, and Global Benchmark for Efficient Drug Pricing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Inflation Reduction Act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Individual states are experiencing significant economic pressure within their respective Medicaid programs and responding to public concern over the cost of healthcare. Several states have responded to these pressures with a range of legislative enactments and policy proposals designed to control prescription drug prices by, for example, allowing importation of pharmaceutical products from jurisdictions outside the U.S., imposing Prescription Drug Affordability Boards, some with the ability to impose price controls on state drug purchases, and imposing transparency measures around prescription drug prices and marketing costs. These measures, which vary by state, could reduce the ultimate demand for our products, if approved, or put pressure on our product net pricing.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also a great degree of uncertainty regarding how the recent U.S. Supreme Court decisions, including Loper Bright Enterprises v. Raimondo and Corner Post, Inc. v. Board of Governors of the Federal Reserve System, will impact FDA’s enforcement and decision-making authority of regulatory agencies, including those of the FDA. Loper Bright explicitly overturned Chevron deference, which previously gave judicial deference to administrative action by agencies in the executive branch. Further, the Supreme Court’s decision in Corner Post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continued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discount program, recent legislative proposals, as well as judicial challenges to policies of the Department of Health and Human Services (HHS), present both opportunities and challenges for drug manufacturers participating in the program.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Recent policy changes affecting the FDA have resulted in significant changes to research, testing, regulatory approval or clearance, manufacturing and marketing of FDA-regulated products. The FDA has also adopted certain programs, including the PreCheck Program and Commissioner’s National Priority Review Voucher Program, designed to increase domestic production of FDA-regulated products and increased enforcement activities by issuing larger numbers of warning letters to pharmaceutical companies related to violation of regulator standards governing direct-to-consumer advertising. In addition, increased scrutiny by Congress of the FDA’s approval process may significantly delay or prevent marketing approval, as well as subject us to more stringent product labeling and post-marketing testing and other requirements. Changes to healthcare regulation and policies, agency priorities, enforcement initiatives and focus, and coverage and reimbursement for healthcare products and services may be sudden and unexpected, and we may experience increased costs to monitor for such changes and respond to any new requirements affection our business and operations.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government shutdowns, workforce reductions or other policy changes affecting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government funding of the FDA, SEC and other government agencies on which our operations may rely, including those that fund research and development activities, is subject to the political process, which is inherently fluid and unpredictable, and spending allocation priorities may undergo significant changes through congressional budgeting and appropriations processes. Disruptions at the FDA and other agencies may also extend the time necessary for new drugs to be reviewed and/or approved, including delays in PDUFA reviews and related activities, which would adversely affect our business. For example, over the last several years, the U.S. government shut down several times and certain regulatory agencies, such as the FDA and the SEC, had to furlough employees, experience substantial funding cuts and pause or delay critical activities. If a prolonged government shutdown occurs, it could significantly impact the ability of the FDA to review and process our regulatory submissions in a timely matter, which could have a material adverse effect on our business. Further,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approval of BRIUMVI in the U.S. and outside the U.S.,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660" w:hanging="328"/>
        <w:spacing w:after="0" w:line="25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w:t>
      </w:r>
    </w:p>
    <w:p>
      <w:pPr>
        <w:spacing w:after="0" w:line="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p>
      <w:pPr>
        <w:spacing w:after="0" w:line="5"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660" w:hanging="328"/>
        <w:spacing w:after="0" w:line="25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that require drug manufacturers to report information related to payments and other transfers of value to physicians and other healthcare providers or marketing expenditures and pricing information, state laws limiting interactions between pharmaceutical manufacturers and members of the healthcare industry, state laws that require pharmaceutical companies to comply with the industry’s voluntary compliance guidelines and the applicable guidance promulgated by the federal government or otherwise restrict payments that may be made to healthcare providers and other potential referral sources; marketing restrictions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exposed to the risk that our employees, independent contractors, principal investigators, consultants, vendors, distributors and agents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or foreign regulatory authority requirements, including those laws that require the reporting of true, complete and accurate information to the FDA or foreign regulatory authorities,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Any action against us for violation of these laws, even if we successfully defend against it, could cause us to incur significant legal expenses and divert our management’s attention from the operation of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our business and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Within the United States, HIPAA, as amended by HITECH,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and health information more generally, is considered sensitive data that merits stronger safeguards. States may also impose requirements. For example, the California Consumer Privacy Act, as amended (CCPA) imposes data privacy obligations for covered companies and provides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privacy protection agency is authorized to issue substantive regulations that could result in increased privacy and information security enforcement. Data privacy and cybersecurity are also areas of increasing state legislative focus. Among other things, new state-specific laws create additional data privacy obligations for covered companies and provide new privacy rights to state residents, including the right to opt out of certain disclosures of their information. Draft regulations implementing certain of the state statutes have been published, but many questions remain as to how all of the new statutes will be interpreted. These laws are rapidly changing, and tracking, analyzing and complying with such laws require significant time and expenses and can materially impact our business. We cannot predict where new legislation might arise, the scope of such legislation, or the potential impact on our business and operations. New federal and state laws and regulations that may be enacted in the future may require us to modify our data processing practices and policies, incur substantial compliance-related costs and expenses, and otherwise suffer adverse impacts on our business.</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 data, such as the General Data Protection Regulation and the United Kingdom equivalent thereof (collectively, GDPR).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may lead to increased scrutiny on data transfers from the EEA to the U.S. generally and increase our costs of compliance with data privacy legislation.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If we experience a reportable cybersecurity incident or data breach that is subject to any data privacy and security laws or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our reputation and our financial results. In the U.S., most state data breach notification laws consider violations to be unfair or deceptive trade practices and give the relevant state attorneys general (AGs) the authority to levy fines or bring enforcement actions. Such AG investigations—which are often time consuming, expensive, and burdensome—may lead to a resolution agreement, whereby certain obligations are performed, and reports are made to the AG for a period of time, and/or civil penalties. Class action lawsuits against companies which experience a data breach involving personal information are also common. Additionally, the SEC and many jurisdictions have enacted or may enact laws and regulations requiring companies to disclose or otherwise provide notifications regarding data security breaches.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or perceived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directly or through our third-party service providers, may adopt, use or incorporate artificial intelligence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(EU AI Act), which establishes a comprehensive, risk-based governance framework for AI in the EU market. The majority of the substantive requirements of the EU AI Act are not enforceable yet and are expected to apply from August 2, 2026.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use in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regulatory authorities outside of the U.S.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the EU, including applicable export control regulations (focusing on national security-related technologies, including biotechnology),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may also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our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outside of the U.S.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regulatory authorities outside of the U.S.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regulatory authorities outside of the U.S.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within certain timeframes. Failure to do so can result in fines, adverse publicity and civil and criminal sanctions.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and testing of BRIUMVI for clinical and commercial supply, as well as for all development activities and clinical product supply for high concentration ublituximab and azer-cel,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regulatory authority outside of the U.S. to verify compliance with applicable cGMP regulations. Additional inspections may be conducted after we submit our marketing applications to or receive marketing approval from the FDA or a comparable regulatory authority outside of the U.S.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do 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us.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global health crises, labor disputes,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may negatively affect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we entered into a Commercialization Agreement (the Commercialization Agreement) with Neuraxpharm Pharmaceuticals, S.L. (Neuraxpharm), pursuant to which Neuraxpharm has the right to commercialize BRIUMVI in certain markets outside of the U.S. In February 2024, BRIUMVI was first made available in the European market by Neuraxpharm in Germany and is now commercially available in several other countries in the European Union, outside the European Union and in the United Kingdom. In addition to the Commercialization Agreement, we may enter into collaboration arrangements with other collaboration and commercialization partners.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660" w:right="2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660" w:right="2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including failure to comply with regulatory requirements which may disrupt its performance of its obligations under the agreement with us;</w:t>
      </w:r>
    </w:p>
    <w:p>
      <w:pPr>
        <w:jc w:val="both"/>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660" w:right="2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660" w:hanging="328"/>
        <w:spacing w:after="0" w:line="253"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us in the event of a breach by Neuraxpharm, there can be no assurance that we and Neuraxpharm will agree on a cure for such a breach, and in the event of termination, there can be no assurance that we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or comparable regulatory authority outside of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 At the same time, if the scope of our patent protection is too broad, our competitors may challenge the validity and enforceability of our patents.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may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permits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manage our anticipated future growth and focus in the neurological and immunological fields,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the neurological and immunological fields,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(NOL) carryforwards and certain other tax attributes may be limited.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Although we have recently completed a 382 study, we may have experienced additional ownership changes after the completion of this study, and we may experience ownership changes in the future as a result of shifts in our stock ownership, some of which are outside our control. As a result, if we earn net taxable income, our ability to use our pre-change net operating loss carryforwards to offset our taxable income may be subject to limitations. Similar provisions of state tax law may also apply to limit our use of accumulated state tax attributes. Accordingly, even if we attain profitability, we may be unable to use a material portion of our net operating loss carryforwards and other tax attributes, which could adversely affect our future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vendors, or consultants, are vulnerable to failures or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vendors, and consultants are vulnerable to damage from viruses, unauthorized access, security breach or incidents, natural disasters, terrorism, war and telecommunication and electrical failures. Security breaches include, but are not limited to, deployment of harmful malware, ransomware, denial-of-service attacks, vendor breaches, supply chain attacks, data breaches by employees, insiders or others with authorized access, social engineering and other means to affect service reliability and threaten the confidentiality, integrity and availability of our and our third-party service providers’ systems and the information stored on such systems. Security breaches can also include phishing attempts or e-mail fraud to cause unauthorized payments or information to be transmitted to an unintended recipient, or to permit unauthorized access to systems. Although we have experienced security events in the past, the impact on our operations and financial condition has not been material. We expect such cybersecurity threats to continue and become more sophisticated. Threat actors, including nation state attackers, could also use AI for malicious purposes, increasing the frequency and complexity of their attacks. A significant security breach or incident could cause our systems to fail, compromise the information stored on such systems, or cause significant business interruptions, which could result in a material disruption of our operations, financial loss, or reputational harm. For example, the unauthorized access to, disclosure of, or loss of clinical trial data for our drug candidates could result in delays in our regulatory approval efforts, violate healthcare privacy laws and regulations, result in legal claims or proceedings, and significantly increase the cost of remediation. High-profile security breaches at other companies and in government agencies have increased in recent years, and security industry experts and government officials have warned about the risks of hackers and cyber-attacks targeting businesses such as ours.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changes in government regulations could adversely affect our business, financial condition or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high inflation, restricted credit, poor liquidity, reduced corporate profitability, debt, equity and foreign exchange market volatility, bankruptcies, high interest rates, high unemployment rates and overall uncertainty with respect to the economy. In particular, fluctuating and/or high interest rates in the United States to respond to inflationary pressures and market volatility may result in a general economic downturn or recession, which could reduce our ability to raise additional capital when needed on acceptable terms, if at all, and negatively impact our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geopolitical conflicts and global sanctions imposed in response thereto. Other international events such as trade disputes, increased tariffs and countermeasures by affected countries, leadership changes and political and military conflicts could also adversely affect global financial activity and markets and could negatively affect the U.S. economy. The U.S. has imposed increased tariffs on certain countries, focusing on those with which it has the largest trade deficits. Other countries have responded, and may continue to respond, by announcing retaliatory tariffs on U.S. imports. In addition, the U.S. Department of Commerce has initiated national security investigations into the importation of pharmaceuticals and pharmaceutical ingredients pursuant to Section 232 of the Trade Expansion Act of 1962, as amended (Section 232). Further, the U.S. announced a 100% tariff on any branded or patented pharmaceuticals imported into the U.S. from drug manufacturers that do not have, or is not in the process of building, a manufacturing facility in the U.S., which has been delayed as negotiations with large drug manufacturers continue. Following the Section 232 investigations and other policy changes related to Most Favored Nation drug pricing, in April 2026, an executive order was issued pursuant to Section 232, which seeks to impose up to a 100% tariff on imported patented pharmaceutics, subject to certain exceptions for certain products and for companies that have an agreement regarding Most Favored Nation drug pricing or onshore manufacturing. The terms and effects of such tariffs, if and as they are implemented, and other policy changes are uncertain and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 The tariffs have disrupted, and may continue to disrupt, the global markets and escalate tensions between the U.S. and other countries. The extent of the impact of geopolitical conflicts, sanctions and increased tariffs on our business specifically, or on the U.S. market and global economy generally, are uncertain and unpredictable, and could adversely affect our business, financial condition and results of operations as well as impact our ability to raise capital.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entering, extending or renewing a contract with any entity using biotechnology equipment or services provided by a BCC to perform a government contract; or granting government funds or loans for such biotechnology equipment or services provided by a BCC. While we do not currently anticipate any material impact from the BIOSECURE Act, it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For example, we have made a significant investment in direct-to-consumer (DTC) advertising for BRIUMVI, a highly regulated form of marketing subject to significant scrutiny from FDA and other regulatory bodies. Television advertising in particular has undergone increased scrutiny in light of recent political changes, and we, along with all sponsors of marketed drugs, have received notification from the FDA mandating compliance with applicable regulations. To date, while we believe that all of our marketing efforts, including our direct-to-consumer advertising, comply with FDA regulations, regulators may adopt a more conservative viewpoint on advertising or future regulations may be adopted which restrict or prohibit our ability to directly advertise to consumers.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changes in regulations or policies related to taxation and importation, including as a result of increased tariffs, could adversely impact the global economy and our operating results. To the extent that future U.S. tax policy changes have a negative impact on us, including as a result of related uncertainty, these changes could adversely impact our business,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our stock at a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any jurisdiction outside of the U.S. in which it is currently approved, or in any other jurisdiction in which it might be approved or launched;</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or other crises and other external factors such as the disruptions in the global economy caused by global health crises and geopolitical conflicts in Russia and Ukraine, Iran and the Middle East, and South America;</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 of shares of our common stock pursuant to our share repurchase program;</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occurrences of any of the other risks described in this Quarterly Report on Form 10-Q.</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 impact of environmental, social and governance (ESG) regulations and policies may change customer preferences, demands and requirements, and if we are not able to meet changing expectations, our ability to compete may be adversely affected and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us or our brands, including as a result of collaborations with third parties, could generate adverse publicity that could damage our reputation or the reputation of our brands or harm our relationships with customers, end-users, business partners, investors, or other key stakeholders. If we are unable to effectively manage real or perceived issues, including concerns about product quality, safety, corporate social responsibility or other ESG matters, sentiments toward us or our products could be negatively impacted, and our financial results could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natural events beyond our control or climate change related regulations or market measures to address climate change have the potential to negatively affect our business, results of operations, financial condition and growth prospects. 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long-term effects of climate changes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or any of our third-party vendors may directly or indirectly incur. Further, new legal or regulatory requirements to address climate change may adversely affect our supply chain, increase operating costs, including costs of electricity and energy, as well as compliance and monitoring costs and reporting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if any, are limited, and our stockholders may not receive any return on investment unless they sell their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of our future earnings, if any, to finance the growth and development of our business. However, any future determination relating to the use of our future earnings, including the declaration, amount and payment of any future dividends on shares of our common stock,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we are currently restricted from paying cash dividends, and we expect these restrictions to continue in the future. Furthermore, the terms of any future debt agreements may continue to preclude us from paying dividends. As a result, our stockholders may not receive any return on investment unless they sell their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material weaknesses will not be identified when we test the effectiveness of our control systems. Our current controls and any new controls that we develop may become inadequate because of changes in conditions in our business. Further, weaknesses in our disclosure controls and internal control over financial reporting may be discovered in the future. 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In addition,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2025, we announced that we completed our previously authorized $100 million share repurchase program and our Board of Directors authorized a new share repurchase program of up to an additional $100 million of our outstanding shares of common stock. In March 2026, the Company’s Board of Directors authorized an increase to its share repurchase program from $100 million to $300 million.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 For more information about our share repurchase activities for the year ended December 31, 2025, see the sections entitled “Purchases of Equity Securities by the Issuer and Affiliated Purchasers” in Part II, Item 5.</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of any future share repurchases or share repurchase program authorizations by our Board of Directors.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36130" cy="158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840" w:type="dxa"/>
            <w:vAlign w:val="bottom"/>
            <w:tcBorders>
              <w:top w:val="single" w:sz="8" w:color="auto"/>
              <w:left w:val="single" w:sz="8" w:color="auto"/>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w:t>
            </w:r>
          </w:p>
        </w:tc>
        <w:tc>
          <w:tcPr>
            <w:tcW w:w="170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(b)</w:t>
            </w:r>
          </w:p>
        </w:tc>
        <w:tc>
          <w:tcPr>
            <w:tcW w:w="166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w:t>
            </w:r>
          </w:p>
        </w:tc>
        <w:tc>
          <w:tcPr>
            <w:tcW w:w="3360" w:type="dxa"/>
            <w:vAlign w:val="bottom"/>
            <w:tcBorders>
              <w:top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 Number (or Approximate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6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Dollar Value) of Shares (or Units) that May</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7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3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17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per Share (or Unit)</w:t>
            </w:r>
          </w:p>
        </w:tc>
        <w:tc>
          <w:tcPr>
            <w:tcW w:w="1660" w:type="dxa"/>
            <w:vAlign w:val="bottom"/>
            <w:tcBorders>
              <w:right w:val="single" w:sz="8" w:color="auto"/>
            </w:tcBorders>
            <w:vMerge w:val="continue"/>
          </w:tcPr>
          <w:p>
            <w:pPr>
              <w:spacing w:after="0"/>
              <w:rPr>
                <w:sz w:val="16"/>
                <w:szCs w:val="16"/>
                <w:color w:val="auto"/>
              </w:rPr>
            </w:pPr>
          </w:p>
        </w:tc>
        <w:tc>
          <w:tcPr>
            <w:tcW w:w="33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 the Plans or</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33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Programs(1)(2)</w:t>
            </w:r>
          </w:p>
        </w:tc>
        <w:tc>
          <w:tcPr>
            <w:tcW w:w="0" w:type="dxa"/>
            <w:vAlign w:val="bottom"/>
          </w:tcPr>
          <w:p>
            <w:pPr>
              <w:spacing w:after="0"/>
              <w:rPr>
                <w:sz w:val="1"/>
                <w:szCs w:val="1"/>
                <w:color w:val="auto"/>
              </w:rPr>
            </w:pPr>
          </w:p>
        </w:tc>
      </w:tr>
      <w:tr>
        <w:trPr>
          <w:trHeight w:val="162"/>
        </w:trPr>
        <w:tc>
          <w:tcPr>
            <w:tcW w:w="284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Plans or Programs</w:t>
            </w:r>
          </w:p>
        </w:tc>
        <w:tc>
          <w:tcPr>
            <w:tcW w:w="3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January 2026</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3360" w:type="dxa"/>
            <w:vAlign w:val="bottom"/>
            <w:tcBorders>
              <w:right w:val="single" w:sz="8" w:color="auto"/>
            </w:tcBorders>
          </w:tcPr>
          <w:p>
            <w:pPr>
              <w:ind w:left="1180"/>
              <w:spacing w:after="0" w:line="191" w:lineRule="exact"/>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to January 31, 2026)</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2026</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3360" w:type="dxa"/>
            <w:vAlign w:val="bottom"/>
            <w:tcBorders>
              <w:right w:val="single" w:sz="8" w:color="auto"/>
            </w:tcBorders>
          </w:tcPr>
          <w:p>
            <w:pPr>
              <w:ind w:left="1180"/>
              <w:spacing w:after="0" w:line="191" w:lineRule="exact"/>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1 to February 28, 2026)</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March 2026</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3,327,903</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$30.44</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3,327,903</w:t>
            </w:r>
          </w:p>
        </w:tc>
        <w:tc>
          <w:tcPr>
            <w:tcW w:w="3360" w:type="dxa"/>
            <w:vAlign w:val="bottom"/>
            <w:tcBorders>
              <w:right w:val="single" w:sz="8" w:color="auto"/>
            </w:tcBorders>
          </w:tcPr>
          <w:p>
            <w:pPr>
              <w:ind w:left="1180"/>
              <w:spacing w:after="0" w:line="191" w:lineRule="exact"/>
              <w:rPr>
                <w:sz w:val="20"/>
                <w:szCs w:val="20"/>
                <w:color w:val="auto"/>
              </w:rPr>
            </w:pPr>
            <w:r>
              <w:rPr>
                <w:rFonts w:ascii="Times New Roman" w:cs="Times New Roman" w:eastAsia="Times New Roman" w:hAnsi="Times New Roman"/>
                <w:sz w:val="18"/>
                <w:szCs w:val="18"/>
                <w:color w:val="auto"/>
              </w:rPr>
              <w:t>$200,008,004</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 to March 31, 2026)</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3,327,903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$30.44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3,327,903</w:t>
            </w:r>
          </w:p>
        </w:tc>
        <w:tc>
          <w:tcPr>
            <w:tcW w:w="336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$200,008,004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are excluded.</w:t>
      </w:r>
    </w:p>
    <w:p>
      <w:pPr>
        <w:spacing w:after="0" w:line="27" w:lineRule="exact"/>
        <w:rPr>
          <w:rFonts w:ascii="Times New Roman" w:cs="Times New Roman" w:eastAsia="Times New Roman" w:hAnsi="Times New Roman"/>
          <w:sz w:val="18"/>
          <w:szCs w:val="18"/>
          <w:color w:val="auto"/>
        </w:rPr>
      </w:pPr>
    </w:p>
    <w:p>
      <w:pPr>
        <w:ind w:right="220" w:firstLine="8"/>
        <w:spacing w:after="0" w:line="255"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2026, our Board of Directors approved a $200 million increase to our share repurchase program, pursuant to which we are now authorized to repurchase up to an aggregate amount of $300 million. We repurchased approximately $100.0 million of the Company’s shares of common stock under the program during the first quarter of fiscal year 2026.</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September 3, 2025, the Company announced that its Board of Directors had authorized and approved the 2025 Share Repurchase Program for up to $100 million of the currently outstanding shares of the Company’s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18, 2026, the Company announced that its Board of Directors had authorized and approved an increase to the 2025 Share Repurchase Program from $100 million to $300 million of the currently outstanding shares of the Company’s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Repurchases under the 2025 Share Repurchase Program may be made using open market purchases, privately negotiated transactions, block purchases or other methods in accordance with applicable federal securities laws, including Rule 10b-18 of the Exchange Act. The 2025 Share Repurchase Program does not have a fixed expiration date, may be suspended or discontinued at any time, and does not obligate us to acquire any particular amount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tbl>
      <w:tblPr>
        <w:tblLayout w:type="fixed"/>
        <w:tblInd w:w="600" w:type="dxa"/>
        <w:tblCellMar>
          <w:top w:w="0" w:type="dxa"/>
          <w:left w:w="0" w:type="dxa"/>
          <w:bottom w:w="0" w:type="dxa"/>
          <w:right w:w="0" w:type="dxa"/>
        </w:tblCellMar>
      </w:tblPr>
      <w:tr>
        <w:trPr>
          <w:trHeight w:val="185"/>
        </w:trPr>
        <w:tc>
          <w:tcPr>
            <w:tcW w:w="1100" w:type="dxa"/>
            <w:vAlign w:val="bottom"/>
          </w:tcPr>
          <w:p>
            <w:pPr>
              <w:jc w:val="center"/>
              <w:ind w:right="51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9540" w:type="dxa"/>
            <w:vAlign w:val="bottom"/>
            <w:tcBorders>
              <w:bottom w:val="single" w:sz="8" w:color="0000EE"/>
            </w:tcBorders>
            <w:gridSpan w:val="4"/>
          </w:tcPr>
          <w:p>
            <w:pPr>
              <w:spacing w:after="0" w:line="184" w:lineRule="exact"/>
              <w:rPr>
                <w:sz w:val="20"/>
                <w:szCs w:val="20"/>
                <w:color w:val="auto"/>
              </w:rPr>
            </w:pPr>
            <w:r>
              <w:rPr>
                <w:rFonts w:ascii="Times New Roman" w:cs="Times New Roman" w:eastAsia="Times New Roman" w:hAnsi="Times New Roman"/>
                <w:sz w:val="18"/>
                <w:szCs w:val="18"/>
                <w:color w:val="0000EE"/>
              </w:rPr>
              <w:t>First Amendment to the Financing Agreement between TG Therapeutics, Inc., certain subsidiaries of TG Therapeutics, Inc., various</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lenders from time to time party thereto, and Blue Owl Capital Corporation, dated March 18, 2026.</w:t>
            </w: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6, 2026</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13a-14(a)/15d-14(a), as adopted pursuant to Section 302 of the Sarbanes-</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dated May 6, 2026</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 to Section 906 of the Sarbanes-Oxley Act</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dated May 6, 2026</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196"/>
        </w:trPr>
        <w:tc>
          <w:tcPr>
            <w:tcW w:w="1100" w:type="dxa"/>
            <w:vAlign w:val="bottom"/>
          </w:tcPr>
          <w:p>
            <w:pPr>
              <w:jc w:val="center"/>
              <w:ind w:right="5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1350, as adopted pursuant to Section 906 of the Sarbanes-Oxley Act</w:t>
            </w:r>
          </w:p>
        </w:tc>
      </w:tr>
      <w:tr>
        <w:trPr>
          <w:trHeight w:val="196"/>
        </w:trPr>
        <w:tc>
          <w:tcPr>
            <w:tcW w:w="1100" w:type="dxa"/>
            <w:vAlign w:val="bottom"/>
          </w:tcPr>
          <w:p>
            <w:pPr>
              <w:spacing w:after="0"/>
              <w:rPr>
                <w:sz w:val="17"/>
                <w:szCs w:val="17"/>
                <w:color w:val="auto"/>
              </w:rPr>
            </w:pPr>
          </w:p>
        </w:tc>
        <w:tc>
          <w:tcPr>
            <w:tcW w:w="9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of 2002, dated May 6, 2026</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218"/>
        </w:trPr>
        <w:tc>
          <w:tcPr>
            <w:tcW w:w="1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101*</w:t>
            </w: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March 31, 2026,</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r>
      <w:tr>
        <w:trPr>
          <w:trHeight w:val="216"/>
        </w:trPr>
        <w:tc>
          <w:tcPr>
            <w:tcW w:w="1100" w:type="dxa"/>
            <w:vAlign w:val="bottom"/>
          </w:tcPr>
          <w:p>
            <w:pPr>
              <w:spacing w:after="0"/>
              <w:rPr>
                <w:sz w:val="18"/>
                <w:szCs w:val="18"/>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r>
      <w:tr>
        <w:trPr>
          <w:trHeight w:val="234"/>
        </w:trPr>
        <w:tc>
          <w:tcPr>
            <w:tcW w:w="11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w:t>
            </w: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pursuant to Item 601(b)(10) of Regulation S-K.</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26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91</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BOTH (I) IS NOT MATERIAL AND</w:t>
      </w:r>
    </w:p>
    <w:p>
      <w:pPr>
        <w:spacing w:after="0" w:line="31" w:lineRule="exact"/>
        <w:rPr>
          <w:sz w:val="20"/>
          <w:szCs w:val="20"/>
          <w:color w:val="auto"/>
        </w:rPr>
      </w:pPr>
    </w:p>
    <w:p>
      <w:pPr>
        <w:ind w:firstLine="8"/>
        <w:spacing w:after="0" w:line="260" w:lineRule="auto"/>
        <w:tabs>
          <w:tab w:leader="none" w:pos="32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WOULD BE COMPETITIVELY HARMFUL IF PUBLICLY DISCLOSED. SUCH EXCLUDED INFORMATION HAS BEEN MARKED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18, 2026, is entered into by and among TG THERAPEUTICS,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Subsidiaries of Borrower, as Guarantors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Lenders party hereto, and BLUE OWL CAPITAL CORPORATION,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Borrower, certain Subsidiaries of Borrower, as Guarantors, the Lenders from time to time party thereto and the Administrative Agent have entered into that certain Financing Agreement, dated as of August 2, 2024 (as amended, restated, amended and restated, supplemented or otherwise modified from to time to time prior to the date hereof, the “</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and as amended hereby, the “</w:t>
      </w:r>
      <w:r>
        <w:rPr>
          <w:rFonts w:ascii="Times New Roman" w:cs="Times New Roman" w:eastAsia="Times New Roman" w:hAnsi="Times New Roman"/>
          <w:sz w:val="18"/>
          <w:szCs w:val="18"/>
          <w:u w:val="single" w:color="auto"/>
          <w:color w:val="auto"/>
        </w:rPr>
        <w:t>Amended Financing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 Borrower has requested $750,000,000 of additional Term Loan Commitments and (ii) each Lender party signatory hereto as a “2026 Term Loan Lender” (each a “</w:t>
      </w:r>
      <w:r>
        <w:rPr>
          <w:rFonts w:ascii="Times New Roman" w:cs="Times New Roman" w:eastAsia="Times New Roman" w:hAnsi="Times New Roman"/>
          <w:sz w:val="18"/>
          <w:szCs w:val="18"/>
          <w:u w:val="single" w:color="auto"/>
          <w:color w:val="auto"/>
        </w:rPr>
        <w:t>2026 Term Loan Lender</w:t>
      </w:r>
      <w:r>
        <w:rPr>
          <w:rFonts w:ascii="Times New Roman" w:cs="Times New Roman" w:eastAsia="Times New Roman" w:hAnsi="Times New Roman"/>
          <w:sz w:val="18"/>
          <w:szCs w:val="18"/>
          <w:color w:val="auto"/>
        </w:rPr>
        <w:t>”) has agreed, upon the terms and subject to the conditions set forth herein to make such Term Loan Commitments available to the Borrower (such commitments, the “</w:t>
      </w:r>
      <w:r>
        <w:rPr>
          <w:rFonts w:ascii="Times New Roman" w:cs="Times New Roman" w:eastAsia="Times New Roman" w:hAnsi="Times New Roman"/>
          <w:sz w:val="18"/>
          <w:szCs w:val="18"/>
          <w:u w:val="single" w:color="auto"/>
          <w:color w:val="auto"/>
        </w:rPr>
        <w:t>2026 Term Loan Commitments</w:t>
      </w:r>
      <w:r>
        <w:rPr>
          <w:rFonts w:ascii="Times New Roman" w:cs="Times New Roman" w:eastAsia="Times New Roman" w:hAnsi="Times New Roman"/>
          <w:sz w:val="18"/>
          <w:szCs w:val="18"/>
          <w:color w:val="auto"/>
        </w:rPr>
        <w:t>” and the Term Loans in connection therewith, the “</w:t>
      </w:r>
      <w:r>
        <w:rPr>
          <w:rFonts w:ascii="Times New Roman" w:cs="Times New Roman" w:eastAsia="Times New Roman" w:hAnsi="Times New Roman"/>
          <w:sz w:val="18"/>
          <w:szCs w:val="18"/>
          <w:u w:val="single" w:color="auto"/>
          <w:color w:val="auto"/>
        </w:rPr>
        <w:t>2026 Term Loans</w:t>
      </w:r>
      <w:r>
        <w:rPr>
          <w:rFonts w:ascii="Times New Roman" w:cs="Times New Roman" w:eastAsia="Times New Roman" w:hAnsi="Times New Roman"/>
          <w:sz w:val="18"/>
          <w:szCs w:val="18"/>
          <w:color w:val="auto"/>
        </w:rPr>
        <w:t>”) in the amounts set forth opposite such 2026 Term Loan Lender’s name under the heading “2026 Term Loan Commitments” on Appendix A to the Amended Financing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 portion of the proceeds of the 2026 Term Loan will be used to prepay in full the Initial Term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Lender party signatory hereto as a “Departing Lender” (each a “</w:t>
      </w:r>
      <w:r>
        <w:rPr>
          <w:rFonts w:ascii="Times New Roman" w:cs="Times New Roman" w:eastAsia="Times New Roman" w:hAnsi="Times New Roman"/>
          <w:sz w:val="18"/>
          <w:szCs w:val="18"/>
          <w:u w:val="single" w:color="auto"/>
          <w:color w:val="auto"/>
        </w:rPr>
        <w:t>Departing Lender</w:t>
      </w:r>
      <w:r>
        <w:rPr>
          <w:rFonts w:ascii="Times New Roman" w:cs="Times New Roman" w:eastAsia="Times New Roman" w:hAnsi="Times New Roman"/>
          <w:sz w:val="18"/>
          <w:szCs w:val="18"/>
          <w:color w:val="auto"/>
        </w:rPr>
        <w:t>” and, together with each 2026 Term Loan Lender,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desires to be released from the Agreement and other Loan Documents pursuant the terms and conditions 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agreements contained herein and in the Financing Agreement, the parties hereto agree as follows:</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capitalized terms used but not otherwise defined herein (including, without limitation, in the preamble and recitals hereto) are used as defined in the Amended Financing Agreement. As used herein, the following terms shall have the following meanings: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Roll Amount</w:t>
      </w:r>
      <w:r>
        <w:rPr>
          <w:rFonts w:ascii="Times New Roman" w:cs="Times New Roman" w:eastAsia="Times New Roman" w:hAnsi="Times New Roman"/>
          <w:sz w:val="18"/>
          <w:szCs w:val="18"/>
          <w:color w:val="auto"/>
        </w:rPr>
        <w:t>” means the principal amount of the Initial Term Loans as of the First Amendment Effective Date, immediately prior to giving effect to the transactions set forth herein, that will, pursuant to Section 3 hereof, be exchanged for 2026 Term Loans.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Prepayment Amount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the Loan Documents</w:t>
      </w:r>
      <w:r>
        <w:rPr>
          <w:rFonts w:ascii="Times New Roman" w:cs="Times New Roman" w:eastAsia="Times New Roman" w:hAnsi="Times New Roman"/>
          <w:sz w:val="17"/>
          <w:szCs w:val="17"/>
          <w:color w:val="auto"/>
        </w:rPr>
        <w:t>. As of the First Amendment Effective Date (as defined below):</w:t>
      </w:r>
    </w:p>
    <w:p>
      <w:pPr>
        <w:spacing w:after="0" w:line="225" w:lineRule="exact"/>
        <w:rPr>
          <w:sz w:val="20"/>
          <w:szCs w:val="20"/>
          <w:color w:val="auto"/>
        </w:rPr>
      </w:pPr>
    </w:p>
    <w:p>
      <w:pPr>
        <w:jc w:val="both"/>
        <w:ind w:firstLine="656"/>
        <w:spacing w:after="0" w:line="266" w:lineRule="auto"/>
        <w:tabs>
          <w:tab w:leader="none" w:pos="10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Financing Agreement is hereby amended to delete or move the stricken text (indicated textually in the same manner as the following 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6AA84F"/>
          <w:strike w:val="1"/>
        </w:rPr>
        <w:t>moved text</w:t>
      </w:r>
      <w:r>
        <w:rPr>
          <w:rFonts w:ascii="Times New Roman" w:cs="Times New Roman" w:eastAsia="Times New Roman" w:hAnsi="Times New Roman"/>
          <w:sz w:val="18"/>
          <w:szCs w:val="18"/>
          <w:color w:val="auto"/>
        </w:rPr>
        <w:t xml:space="preserve">), as applicable and to add or move the double underlined text (indicated textually in the same manner as the following examples: </w:t>
      </w:r>
      <w:r>
        <w:rPr>
          <w:rFonts w:ascii="Times New Roman" w:cs="Times New Roman" w:eastAsia="Times New Roman" w:hAnsi="Times New Roman"/>
          <w:sz w:val="18"/>
          <w:szCs w:val="18"/>
          <w:u w:val="single" w:color="auto"/>
          <w:color w:val="0000FF"/>
        </w:rPr>
        <w:t>added text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6AA84F"/>
        </w:rPr>
        <w:t>moved text</w:t>
      </w:r>
      <w:r>
        <w:rPr>
          <w:rFonts w:ascii="Times New Roman" w:cs="Times New Roman" w:eastAsia="Times New Roman" w:hAnsi="Times New Roman"/>
          <w:sz w:val="18"/>
          <w:szCs w:val="18"/>
          <w:color w:val="auto"/>
        </w:rPr>
        <w:t xml:space="preserve">) as set forth in the pages of the Financing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ind w:left="1040" w:hanging="384"/>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Financing Agreement is hereby amended and restated in its entirety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4.27, 4.34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xml:space="preserve"> are amended and restated in their entirety in the forms attached as </w:t>
      </w:r>
      <w:r>
        <w:rPr>
          <w:rFonts w:ascii="Times New Roman" w:cs="Times New Roman" w:eastAsia="Times New Roman" w:hAnsi="Times New Roman"/>
          <w:sz w:val="18"/>
          <w:szCs w:val="18"/>
          <w:u w:val="single" w:color="auto"/>
          <w:color w:val="auto"/>
        </w:rPr>
        <w:t>Exhibit 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and</w:t>
      </w:r>
    </w:p>
    <w:p>
      <w:pPr>
        <w:spacing w:after="0" w:line="20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Financing Agreement is hereby amended and restated in its entirety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First Amendment Effective Date Transactions</w:t>
      </w:r>
      <w:r>
        <w:rPr>
          <w:rFonts w:ascii="Times New Roman" w:cs="Times New Roman" w:eastAsia="Times New Roman" w:hAnsi="Times New Roman"/>
          <w:sz w:val="17"/>
          <w:szCs w:val="17"/>
          <w:color w:val="auto"/>
        </w:rPr>
        <w:t>. As of the First Amendment Effective Date (as defined below):</w:t>
      </w:r>
    </w:p>
    <w:p>
      <w:pPr>
        <w:spacing w:after="0" w:line="225" w:lineRule="exact"/>
        <w:rPr>
          <w:sz w:val="20"/>
          <w:szCs w:val="20"/>
          <w:color w:val="auto"/>
        </w:rPr>
      </w:pPr>
    </w:p>
    <w:p>
      <w:pPr>
        <w:jc w:val="both"/>
        <w:ind w:firstLine="656"/>
        <w:spacing w:after="0" w:line="266" w:lineRule="auto"/>
        <w:tabs>
          <w:tab w:leader="none" w:pos="10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Departing Lenders</w:t>
      </w:r>
      <w:r>
        <w:rPr>
          <w:rFonts w:ascii="Times New Roman" w:cs="Times New Roman" w:eastAsia="Times New Roman" w:hAnsi="Times New Roman"/>
          <w:sz w:val="18"/>
          <w:szCs w:val="18"/>
          <w:color w:val="auto"/>
        </w:rPr>
        <w:t>. On the First Amendment Effective Date, each Departing Lender (in its capacity as such, but not in any other capacity) shall cease to be a Lender party to the Loan Agreement and the Initial Term Loan Prepayment Amount payable to the Departing Lender shall be due and payable on such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Term Loan Lenders</w:t>
      </w:r>
      <w:r>
        <w:rPr>
          <w:rFonts w:ascii="Times New Roman" w:cs="Times New Roman" w:eastAsia="Times New Roman" w:hAnsi="Times New Roman"/>
          <w:sz w:val="18"/>
          <w:szCs w:val="18"/>
          <w:color w:val="auto"/>
        </w:rPr>
        <w:t xml:space="preserve">. Each 2026 Term Loan Lender, severally and not jointly, shall make a 2026 Term Loan to the Borrower in accordance with Section 2.1(a)(ii) of the Financing Agreement by delivering immediately available funds to the Administrative Agent in an amount equal to its 2026 Term Loan Commitment,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 the Cashless Roll Amount, which such amount shall be deemed to be converted to a 2026 Term Loan with the same principal amount, (ii) the Initial Term Loan Prepayment Amount payable to the 2026 Term Loan Lenders, and (iii) any amounts set forth in the First Amendment Fee Letters that are due and payable to the 2026 Term Loan Lenders on the First Amendment Effective Date and are permitted to be netted from the 2026 Term Loans.</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Initial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19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Amendment Effective Date, the Borrower shall prepay, in full, all amounts due in respect of the Initial Term Loans and hereby directs the Administrative Agent, on such date, to apply the funds made available to the Administrative Agent pursuant to Section 3(b) above (the “</w:t>
      </w:r>
      <w:r>
        <w:rPr>
          <w:rFonts w:ascii="Times New Roman" w:cs="Times New Roman" w:eastAsia="Times New Roman" w:hAnsi="Times New Roman"/>
          <w:sz w:val="18"/>
          <w:szCs w:val="18"/>
          <w:u w:val="single" w:color="auto"/>
          <w:color w:val="auto"/>
        </w:rPr>
        <w:t>2026 Term Loan Funding Amount</w:t>
      </w:r>
      <w:r>
        <w:rPr>
          <w:rFonts w:ascii="Times New Roman" w:cs="Times New Roman" w:eastAsia="Times New Roman" w:hAnsi="Times New Roman"/>
          <w:sz w:val="18"/>
          <w:szCs w:val="18"/>
          <w:color w:val="auto"/>
        </w:rPr>
        <w:t>”) to prepay in full the Initial Term Loans (other than the Cashless Roll Amount) and the Initial Term Loan Prepayment Amount.</w:t>
      </w:r>
    </w:p>
    <w:p>
      <w:pPr>
        <w:spacing w:after="0" w:line="179" w:lineRule="exact"/>
        <w:rPr>
          <w:rFonts w:ascii="Times New Roman" w:cs="Times New Roman" w:eastAsia="Times New Roman" w:hAnsi="Times New Roman"/>
          <w:sz w:val="18"/>
          <w:szCs w:val="18"/>
          <w:color w:val="auto"/>
        </w:rPr>
      </w:pPr>
    </w:p>
    <w:p>
      <w:pPr>
        <w:ind w:left="660" w:firstLine="968"/>
        <w:spacing w:after="0" w:line="282" w:lineRule="auto"/>
        <w:tabs>
          <w:tab w:leader="none" w:pos="20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apply the 2026 Term Loan Funding Amount to pay to each Lender an amount equal to such Lender’s Initial Loan Prepayment Amount.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avoidance of doubt, and notwithstanding any terms to the contrary contained therein, upon payment of the Initial Term Loan Prepayment Amount on the First Amendment Effective Date, (x) all payment obligations under the Original Fee Letters shall be deemed fully performed and satisfied and (y) the Original Fee Letter shall be deemed terminated and have no further force or effect (other than those provisions that are expressly specified in the Original Fee Letter as surviving termination).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effectiveness of this Agreement shall be subject to the prior or concurrent satisfaction or waiver of each of the following conditions precedent (the date on which such conditions are satisfied or waived,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right="10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Administrative Agent shall have received (a) a counterpart to this Agreement, duly executed by each party hereto and (b) a counterpart to each First Amendment Effective Date Fee Letter, duly executed by each Loan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left="324" w:hanging="324"/>
        <w:spacing w:after="0" w:line="253"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First Amendment Effective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First Amendment Effective Date, certified as of the First Amendment Effective Date by its secretary, assistant secretary or a director as being in full force and effect without modification or amendment; and (iv) a good standing certificate (to the extent such concept exists) from the applicable Governmental Authority of such Loan Party’s jurisdiction of incorporation, organization or formation, each dated a recent date prior to the First Amendment Effective Date.</w:t>
      </w:r>
    </w:p>
    <w:p>
      <w:pPr>
        <w:spacing w:after="0" w:line="194"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Property Collateral</w:t>
      </w:r>
      <w:r>
        <w:rPr>
          <w:rFonts w:ascii="Times New Roman" w:cs="Times New Roman" w:eastAsia="Times New Roman" w:hAnsi="Times New Roman"/>
          <w:sz w:val="18"/>
          <w:szCs w:val="18"/>
          <w:color w:val="auto"/>
        </w:rPr>
        <w:t>. Administrative Agent shall have received a completed Perfection Certificate, dated the First Amendment Effective Date and executed by an Authorized Officer of each Loan Party, together with all attachments contemplated thereby.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Loan Parties</w:t>
      </w:r>
      <w:r>
        <w:rPr>
          <w:rFonts w:ascii="Times New Roman" w:cs="Times New Roman" w:eastAsia="Times New Roman" w:hAnsi="Times New Roman"/>
          <w:sz w:val="18"/>
          <w:szCs w:val="18"/>
          <w:color w:val="auto"/>
        </w:rPr>
        <w:t>. Lenders and their respective counsel shall have received an executed copy of the favorable written opinion of Ropes &amp; Gray LLP, counsel for Loan Parties, as to such matters as Administrative Agent may reasonably request, dated the First Amendment Effective Date and otherwise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Borrower shall have paid to Administrative Agent (or Blue Owl Credit Advisors LLC, as applicable), all fees and expenses then due and payable pursuant the terms of the Loan Documents, including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which such fees and expenses may be netted from the Credit Extension to be made on the First Amendment Effective Date.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Administrative Agent shall have received a duly executed Solvency Certificate of the chief financial officer of Borrower, dated as of the First Amendment Effective Date and addressed to Administrative Agent and Lenders, certifying that after giving effect to the consummation of the transactions contemplated herein, including the funding of the 2026 Term Loans on the First Amendment Effective Date, Borrower and its Subsidiaries are and will be Solvent.</w:t>
      </w:r>
    </w:p>
    <w:p>
      <w:pPr>
        <w:spacing w:after="0" w:line="179"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Borrower shall have delivered to Administrative Agent a duly executed Officer’s Certificate in substantially the form of the Closing Date Certificate.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shall not exist any action, suit, investigation, litigation or proceeding or other legal or regulatory developments, pending or threatened in any court or before any arbitrator or Governmental Authority that singly or in the aggregate materially impairs the transactions contemplated by the Loan Documents or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Effect/Material Regulatory Liability</w:t>
      </w:r>
      <w:r>
        <w:rPr>
          <w:rFonts w:ascii="Times New Roman" w:cs="Times New Roman" w:eastAsia="Times New Roman" w:hAnsi="Times New Roman"/>
          <w:sz w:val="18"/>
          <w:szCs w:val="18"/>
          <w:color w:val="auto"/>
        </w:rPr>
        <w:t>. Since December 31, 2024, no event, circumstance or change shall have occurred that has caused or evidences, either in any case or in the aggregate, a Material Adverse Effect or a Material Regulatory Liability.</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4" w:name="page95"/>
    <w:bookmarkEnd w:id="94"/>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Completion of Proceedings</w:t>
      </w:r>
      <w:r>
        <w:rPr>
          <w:rFonts w:ascii="Times New Roman" w:cs="Times New Roman" w:eastAsia="Times New Roman" w:hAnsi="Times New Roman"/>
          <w:sz w:val="18"/>
          <w:szCs w:val="18"/>
          <w:color w:val="auto"/>
        </w:rPr>
        <w:t>. All partnership, corporate and other proceedings taken or to be taken in connection with the transactions contemplated hereby and all documents incidental thereto not previously found acceptable by Administrative Agent and its counsel shall be satisfactory in form and substance to Administrative Agent and such counsel, and Administrative Agent.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be true and correct.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event shall have occurred and be continuing or would result from the consummation of the transactions contemplated herein that would constitute an Event of Default or a Default.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All Registrations from the FDA and EMA in respect of the Products shall be valid and subsisting and in full force and effect.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Administrative Agent shall have received a fully executed and delivered Funding Notice with respect to the 2026 Term Loans.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Administrative Agent shall have received revenue forecast of Borrower and its Subsidiaries for the period of Fiscal Year 2026 through and including Fiscal Year 2031.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Lender and the Administrative Agent,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First Amendment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Administrative Agent and the 2026 Term Lenders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legal valid, and binding obligation of each Loan Party party hereto, enforceable against such Loan Party in accordance with its terms, except as enforceability may be limited by applicable bankruptcy, insolvency, fraudulent transfer, reorganization, moratorium or similar laws relating to or affecting creditors’ rights and to general equity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Amended Financing Agreement and in each other Loan Document, certificate or other writing delivered to Administrative Agent or any 2026 Term Lender pursuant thereto on or prior to the date hereof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the date hereof to the same extent as though made on and as of the date hereof,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such earlier date;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left="324"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or would result from the transactions contemplated by this Agreement that would constitute an Event of Default or a Default.</w:t>
      </w:r>
    </w:p>
    <w:p>
      <w:pPr>
        <w:spacing w:after="0" w:line="162" w:lineRule="exact"/>
        <w:rPr>
          <w:sz w:val="20"/>
          <w:szCs w:val="20"/>
          <w:color w:val="auto"/>
        </w:rPr>
      </w:pPr>
    </w:p>
    <w:p>
      <w:pPr>
        <w:ind w:left="4"/>
        <w:spacing w:after="0"/>
        <w:tabs>
          <w:tab w:leader="none" w:pos="924"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324" w:hanging="324"/>
        <w:spacing w:after="0" w:line="282"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Agreement is a Loan Document and all references to a “Loan Document” in the Financing Agreement and the other Loan Documents shall be deemed to include this Agreement.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 to the Financing Agreement</w:t>
      </w:r>
      <w:r>
        <w:rPr>
          <w:rFonts w:ascii="Times New Roman" w:cs="Times New Roman" w:eastAsia="Times New Roman" w:hAnsi="Times New Roman"/>
          <w:sz w:val="18"/>
          <w:szCs w:val="18"/>
          <w:color w:val="auto"/>
        </w:rPr>
        <w:t>. Upon the effectiveness of this Agreement, each reference in the Financing Agreement to “this Agreement,” “hereunder,” “hereof,” “herein,” or words of like import shall mean and be a reference to the Financing Agreement as amended hereby, and each reference in the other Loan Documents or in any other document, instrument or agreement executed and/or delivered in connection with the Financing Agreement to “Financing Agreement”, “thereunder”, “thereof” or words of like import referring to the Financing Agreement shall mean and be a reference to the Financing Agreement as amended hereby.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Obligations</w:t>
      </w:r>
      <w:r>
        <w:rPr>
          <w:rFonts w:ascii="Times New Roman" w:cs="Times New Roman" w:eastAsia="Times New Roman" w:hAnsi="Times New Roman"/>
          <w:sz w:val="18"/>
          <w:szCs w:val="18"/>
          <w:color w:val="auto"/>
        </w:rPr>
        <w:t>. Each of the Loan Parties (i) acknowledges and consents to all of the terms and conditions of this Agreement, (ii) reaffirms all of its obligations under the Loan Documents to which it is a party and acknowledges and agrees that all of its obligations under the Loan Documents to which it is a party remain in full force and effect on a continuous basis, and (iii) agrees that this Agreement and all documents executed in connection herewith do not operate to reduce or discharge any of the Loan Party’s obligations under the Loan Documents to which it is a party and do not constitute a novation of such obligations.</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Security Interests</w:t>
      </w:r>
      <w:r>
        <w:rPr>
          <w:rFonts w:ascii="Times New Roman" w:cs="Times New Roman" w:eastAsia="Times New Roman" w:hAnsi="Times New Roman"/>
          <w:sz w:val="18"/>
          <w:szCs w:val="18"/>
          <w:color w:val="auto"/>
        </w:rPr>
        <w:t>. Each of the Loan Parties (i) affirms that each of the Liens granted, and each of the guaranties made, in or pursuant to the Loan Documents are valid and subsisting, (ii) acknowledges and agrees that the grants of security interests by and the guaranties of the Guarantors contained in the Financing Agreement and the other Loan Documents are, and shall remain, in full force and effect after giving effect to this Agreement, and (iii) acknowledges and agrees that this Agreement shall in no manner impair or otherwise adversely affect any of the Liens or security interests granted, or any of the guaranties made, in or pursuant to the Loan Documents.</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Except as specifically amended by this Agreement, the Financing Agreement and the other Loan Documents and all other documents, instruments and agreements executed and/or delivered in connection therewith shall remain in full force and effect and are hereby ratified and confirmed.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execution, delivery and effectiveness of this Agreement shall not operate as a waiver of any right, power or remedy of the Administrative Agent or any Lender under the Financing Agreement or any other document, instrument or agreement executed in connection therewith, nor constitute a waiver of any provision contained therein, except as specifically set forth herein.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6" w:name="page97"/>
    <w:bookmarkEnd w:id="96"/>
    <w:p>
      <w:pPr>
        <w:ind w:left="324" w:hanging="324"/>
        <w:spacing w:after="0" w:line="282"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 SECTIONS 10.17 (CONSENT TO JURISDICTION) AND 10.18 (WAIVER OF JURY TRIAL) OF THE FINANCING AGREEMENT ARE HEREBY INCORPORATED BY REFERENCE</w:t>
      </w:r>
      <w:r>
        <w:rPr>
          <w:rFonts w:ascii="Times New Roman" w:cs="Times New Roman" w:eastAsia="Times New Roman" w:hAnsi="Times New Roman"/>
          <w:sz w:val="18"/>
          <w:szCs w:val="18"/>
          <w:i w:val="1"/>
          <w:iCs w:val="1"/>
          <w:color w:val="auto"/>
        </w:rPr>
        <w:t>, 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purposes of this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 “electronic signature” shall be construed so as to include the electronic signature of each witness, if any, of an electronic signature used to execute this Agreement.</w:t>
      </w:r>
    </w:p>
    <w:p>
      <w:pPr>
        <w:spacing w:after="0" w:line="190"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duly executed as of the day and year first above written.</w:t>
      </w:r>
    </w:p>
    <w:p>
      <w:pPr>
        <w:spacing w:after="0" w:line="200" w:lineRule="exact"/>
        <w:rPr>
          <w:sz w:val="20"/>
          <w:szCs w:val="20"/>
          <w:color w:val="auto"/>
        </w:rPr>
      </w:pPr>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31629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ARISTON PHARMACEUTICALS, INC.</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as a Guarantor</w:t>
      </w:r>
    </w:p>
    <w:p>
      <w:pPr>
        <w:spacing w:after="0" w:line="9"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5715</wp:posOffset>
            </wp:positionV>
            <wp:extent cx="31629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TG BIOLOGICS, INC.</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as a Guarantor</w:t>
      </w:r>
    </w:p>
    <w:p>
      <w:pPr>
        <w:spacing w:after="0" w:line="9"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5715</wp:posOffset>
            </wp:positionV>
            <wp:extent cx="31629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TG CELL THERAPY, INC.</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as a Guarantor</w:t>
      </w:r>
    </w:p>
    <w:p>
      <w:pPr>
        <w:spacing w:after="0" w:line="9" w:lineRule="exact"/>
        <w:rPr>
          <w:sz w:val="20"/>
          <w:szCs w:val="20"/>
          <w:color w:val="auto"/>
        </w:rPr>
      </w:pPr>
    </w:p>
    <w:p>
      <w:pPr>
        <w:ind w:left="49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5715</wp:posOffset>
            </wp:positionV>
            <wp:extent cx="31629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[First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603" w:right="999" w:bottom="1440" w:gutter="0" w:footer="0" w:header="0"/>
        </w:sectPr>
      </w:pPr>
    </w:p>
    <w:bookmarkStart w:id="98" w:name="page99"/>
    <w:bookmarkEnd w:id="98"/>
    <w:p>
      <w:pPr>
        <w:ind w:left="446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BLUE  OWL  CREDIT  ADVISORS  LLC,  its  Investment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p>
      <w:pPr>
        <w:ind w:left="446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Meenal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1629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Meenal Mehta</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[First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76" w:right="359" w:bottom="1440" w:gutter="0" w:footer="0" w:header="0"/>
        </w:sectPr>
      </w:pPr>
    </w:p>
    <w:bookmarkStart w:id="99" w:name="page100"/>
    <w:bookmarkEnd w:id="99"/>
    <w:p>
      <w:pPr>
        <w:ind w:left="4460"/>
        <w:spacing w:after="0"/>
        <w:rPr>
          <w:sz w:val="20"/>
          <w:szCs w:val="20"/>
          <w:color w:val="auto"/>
        </w:rPr>
      </w:pPr>
      <w:r>
        <w:rPr>
          <w:rFonts w:ascii="Times New Roman" w:cs="Times New Roman" w:eastAsia="Times New Roman" w:hAnsi="Times New Roman"/>
          <w:sz w:val="18"/>
          <w:szCs w:val="18"/>
          <w:b w:val="1"/>
          <w:bCs w:val="1"/>
          <w:color w:val="auto"/>
        </w:rPr>
        <w:t>HEDGEWIG FUNDING I LLC</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as an Initial Term Loan Lender and a 2026 Term Loan Lender.</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LSI Financing LLC, its Sole Member</w:t>
      </w:r>
    </w:p>
    <w:p>
      <w:pPr>
        <w:spacing w:after="0" w:line="207" w:lineRule="exact"/>
        <w:rPr>
          <w:sz w:val="20"/>
          <w:szCs w:val="20"/>
          <w:color w:val="auto"/>
        </w:rPr>
      </w:pPr>
    </w:p>
    <w:p>
      <w:pPr>
        <w:ind w:left="446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Pamela A. Gregorski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17145</wp:posOffset>
            </wp:positionV>
            <wp:extent cx="31629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Pamela A. Gregorski</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[First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00" w:name="page101"/>
    <w:bookmarkEnd w:id="100"/>
    <w:p>
      <w:pPr>
        <w:ind w:left="4520"/>
        <w:spacing w:after="0"/>
        <w:rPr>
          <w:sz w:val="20"/>
          <w:szCs w:val="20"/>
          <w:color w:val="auto"/>
        </w:rPr>
      </w:pPr>
      <w:r>
        <w:rPr>
          <w:rFonts w:ascii="Times New Roman" w:cs="Times New Roman" w:eastAsia="Times New Roman" w:hAnsi="Times New Roman"/>
          <w:sz w:val="18"/>
          <w:szCs w:val="18"/>
          <w:b w:val="1"/>
          <w:bCs w:val="1"/>
          <w:color w:val="auto"/>
        </w:rPr>
        <w:t>HCRX INVESTMENTS HOLDCO, L.P.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as a Departing Lender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HCRX MASTER GP, LLC, its General Partner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Clarke B. Futch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Clarke B. Futch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00" w:lineRule="exact"/>
        <w:rPr>
          <w:sz w:val="20"/>
          <w:szCs w:val="20"/>
          <w:color w:val="auto"/>
        </w:rPr>
      </w:pPr>
    </w:p>
    <w:p>
      <w:pPr>
        <w:spacing w:after="0" w:line="210"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HCR STAFFORD FUND II, L.P.</w:t>
      </w:r>
      <w:r>
        <w:rPr>
          <w:rFonts w:ascii="Times New Roman" w:cs="Times New Roman" w:eastAsia="Times New Roman" w:hAnsi="Times New Roman"/>
          <w:sz w:val="18"/>
          <w:szCs w:val="18"/>
          <w:color w:val="auto"/>
        </w:rPr>
        <w:t>, a Delaware limited partnership, as 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Departing Lender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HCR STAFFORD FUND II GP, LLC, its General Partner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Clarke B. Futch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Clarke B. Futch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HCR POTOMAC FUND II, L.P.</w:t>
      </w:r>
      <w:r>
        <w:rPr>
          <w:rFonts w:ascii="Times New Roman" w:cs="Times New Roman" w:eastAsia="Times New Roman" w:hAnsi="Times New Roman"/>
          <w:sz w:val="18"/>
          <w:szCs w:val="18"/>
          <w:color w:val="auto"/>
        </w:rPr>
        <w:t>, a Delaware limited partnership, as 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Departing Lender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By: HCR POTOMAC FUND II GP, LLC, its General Partner</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Clarke B. Futch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Clarke B. Futch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[First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SCHEDULE I</w:t>
      </w:r>
    </w:p>
    <w:p>
      <w:pPr>
        <w:sectPr>
          <w:pgSz w:w="11900" w:h="16838" w:orient="portrait"/>
          <w:cols w:equalWidth="0" w:num="1">
            <w:col w:w="9019"/>
          </w:cols>
          <w:pgMar w:left="1440" w:top="576"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CONFORMED FINANCING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i w:val="1"/>
          <w:iCs w:val="1"/>
          <w:u w:val="single" w:color="auto"/>
          <w:color w:val="auto"/>
        </w:rPr>
        <w:t>Exhibit A to First Amendment to Financing Agreement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August 2,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0000FF"/>
        </w:rPr>
        <w:t>(as amended by the First Amendment Agreement, dated as of March 18, 2026)</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CERTAIN SUBSIDIARIES OF BORROWER,</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VARIOUS LENDERS FROM TIME TO TIME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BLUE OWL CAPITAL CORPORATION,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380" w:type="dxa"/>
            <w:vAlign w:val="bottom"/>
            <w:gridSpan w:val="4"/>
          </w:tcPr>
          <w:p>
            <w:pPr>
              <w:ind w:left="20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INTERPRETATION</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1.1</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1.2</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Accounting and Other Terms</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Interpretation, Etc.</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1.4</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Time References</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1.5</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Certain Matters of Construction</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1.6</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Rates</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1.7</w:t>
            </w:r>
          </w:p>
        </w:tc>
        <w:tc>
          <w:tcPr>
            <w:tcW w:w="692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auto"/>
              </w:rPr>
              <w:t>Financial Metrics.</w:t>
            </w:r>
          </w:p>
        </w:tc>
        <w:tc>
          <w:tcPr>
            <w:tcW w:w="2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1.8</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Calculation of Baskets.</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II LOANS</w:t>
            </w:r>
          </w:p>
        </w:tc>
        <w:tc>
          <w:tcPr>
            <w:tcW w:w="274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49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2.1</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Term Loans</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6920" w:type="dxa"/>
            <w:vAlign w:val="bottom"/>
            <w:gridSpan w:val="3"/>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2.3</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Evidence of Debt; Register; Lenders’ Books and Records; Notes</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2.4</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2.5</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Conversion/Continuation</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2.6</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Default Interest</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2.7</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Fees</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2.8</w:t>
            </w:r>
          </w:p>
        </w:tc>
        <w:tc>
          <w:tcPr>
            <w:tcW w:w="6920" w:type="dxa"/>
            <w:vAlign w:val="bottom"/>
            <w:tcBorders>
              <w:bottom w:val="single" w:sz="8" w:color="CCEEFF"/>
            </w:tcBorders>
            <w:gridSpan w:val="3"/>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Repayment of Term Loans</w:t>
            </w:r>
          </w:p>
        </w:tc>
        <w:tc>
          <w:tcPr>
            <w:tcW w:w="2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2.9</w:t>
            </w:r>
          </w:p>
        </w:tc>
        <w:tc>
          <w:tcPr>
            <w:tcW w:w="692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auto"/>
              </w:rPr>
              <w:t>Voluntary Prepayments</w:t>
            </w:r>
          </w:p>
        </w:tc>
        <w:tc>
          <w:tcPr>
            <w:tcW w:w="2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2.10</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Mandatory Prepayment</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2.11</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Application of Prepayments</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2.12</w:t>
            </w:r>
          </w:p>
        </w:tc>
        <w:tc>
          <w:tcPr>
            <w:tcW w:w="6920" w:type="dxa"/>
            <w:vAlign w:val="bottom"/>
            <w:tcBorders>
              <w:bottom w:val="single" w:sz="8" w:color="CCEEFF"/>
            </w:tcBorders>
            <w:gridSpan w:val="3"/>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General Provisions Regarding Payments</w:t>
            </w:r>
          </w:p>
        </w:tc>
        <w:tc>
          <w:tcPr>
            <w:tcW w:w="2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2.13</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Ratable Sharing</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6920" w:type="dxa"/>
            <w:vAlign w:val="bottom"/>
            <w:gridSpan w:val="3"/>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Increased Costs; Capital Adequacy</w:t>
            </w:r>
          </w:p>
        </w:tc>
        <w:tc>
          <w:tcPr>
            <w:tcW w:w="2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Taxes; Withholding, Etc.</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2.16</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Obligation to Mitigate</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692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2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2.18</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2.19</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Making or Maintaining SOFR Loans</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6920" w:type="dxa"/>
            <w:vAlign w:val="bottom"/>
            <w:gridSpan w:val="3"/>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Benchmark Replacement Setting.</w:t>
            </w:r>
          </w:p>
        </w:tc>
        <w:tc>
          <w:tcPr>
            <w:tcW w:w="2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2.21</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Incremental Term Loans</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III CONDITIONS PRECEDENT</w:t>
            </w:r>
          </w:p>
        </w:tc>
        <w:tc>
          <w:tcPr>
            <w:tcW w:w="200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3.1</w:t>
            </w:r>
          </w:p>
        </w:tc>
        <w:tc>
          <w:tcPr>
            <w:tcW w:w="6920" w:type="dxa"/>
            <w:vAlign w:val="bottom"/>
            <w:tcBorders>
              <w:bottom w:val="single" w:sz="8" w:color="CCEEFF"/>
            </w:tcBorders>
            <w:gridSpan w:val="3"/>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Closing Date</w:t>
            </w:r>
          </w:p>
        </w:tc>
        <w:tc>
          <w:tcPr>
            <w:tcW w:w="2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6920" w:type="dxa"/>
            <w:vAlign w:val="bottom"/>
            <w:gridSpan w:val="3"/>
          </w:tcPr>
          <w:p>
            <w:pPr>
              <w:ind w:left="300"/>
              <w:spacing w:after="0" w:line="196" w:lineRule="exact"/>
              <w:rPr>
                <w:sz w:val="20"/>
                <w:szCs w:val="20"/>
                <w:color w:val="auto"/>
              </w:rPr>
            </w:pPr>
            <w:r>
              <w:rPr>
                <w:rFonts w:ascii="Times New Roman" w:cs="Times New Roman" w:eastAsia="Times New Roman" w:hAnsi="Times New Roman"/>
                <w:sz w:val="18"/>
                <w:szCs w:val="18"/>
                <w:color w:val="auto"/>
              </w:rPr>
              <w:t>Conditions to Each Credit Extension</w:t>
            </w:r>
          </w:p>
        </w:tc>
        <w:tc>
          <w:tcPr>
            <w:tcW w:w="23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Organization; Requisite Power and Authority; Qualification</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Capital Stock and Ownership</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4.3</w:t>
            </w:r>
          </w:p>
        </w:tc>
        <w:tc>
          <w:tcPr>
            <w:tcW w:w="6920" w:type="dxa"/>
            <w:vAlign w:val="bottom"/>
            <w:tcBorders>
              <w:bottom w:val="single" w:sz="8" w:color="CCEEFF"/>
            </w:tcBorders>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Due Authorization</w:t>
            </w:r>
          </w:p>
        </w:tc>
        <w:tc>
          <w:tcPr>
            <w:tcW w:w="2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4.4</w:t>
            </w:r>
          </w:p>
        </w:tc>
        <w:tc>
          <w:tcPr>
            <w:tcW w:w="6920" w:type="dxa"/>
            <w:vAlign w:val="bottom"/>
            <w:gridSpan w:val="3"/>
          </w:tcPr>
          <w:p>
            <w:pPr>
              <w:ind w:left="300"/>
              <w:spacing w:after="0" w:line="156" w:lineRule="exact"/>
              <w:rPr>
                <w:sz w:val="20"/>
                <w:szCs w:val="20"/>
                <w:color w:val="auto"/>
              </w:rPr>
            </w:pPr>
            <w:r>
              <w:rPr>
                <w:rFonts w:ascii="Times New Roman" w:cs="Times New Roman" w:eastAsia="Times New Roman" w:hAnsi="Times New Roman"/>
                <w:sz w:val="18"/>
                <w:szCs w:val="18"/>
                <w:color w:val="auto"/>
              </w:rPr>
              <w:t>No Conflict</w:t>
            </w:r>
          </w:p>
        </w:tc>
        <w:tc>
          <w:tcPr>
            <w:tcW w:w="2000" w:type="dxa"/>
            <w:vAlign w:val="bottom"/>
          </w:tcPr>
          <w:p>
            <w:pPr>
              <w:spacing w:after="0"/>
              <w:rPr>
                <w:sz w:val="13"/>
                <w:szCs w:val="13"/>
                <w:color w:val="auto"/>
              </w:rPr>
            </w:pPr>
          </w:p>
        </w:tc>
        <w:tc>
          <w:tcPr>
            <w:tcW w:w="1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4.5</w:t>
            </w:r>
          </w:p>
        </w:tc>
        <w:tc>
          <w:tcPr>
            <w:tcW w:w="6920" w:type="dxa"/>
            <w:vAlign w:val="bottom"/>
            <w:gridSpan w:val="3"/>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Governmental Consents</w:t>
            </w:r>
          </w:p>
        </w:tc>
        <w:tc>
          <w:tcPr>
            <w:tcW w:w="2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4.6</w:t>
            </w:r>
          </w:p>
        </w:tc>
        <w:tc>
          <w:tcPr>
            <w:tcW w:w="6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Binding Obligation</w:t>
            </w: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4.7</w:t>
            </w:r>
          </w:p>
        </w:tc>
        <w:tc>
          <w:tcPr>
            <w:tcW w:w="6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Historical Financial Statements</w:t>
            </w:r>
          </w:p>
        </w:tc>
        <w:tc>
          <w:tcPr>
            <w:tcW w:w="2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9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4.8</w:t>
            </w:r>
          </w:p>
        </w:tc>
        <w:tc>
          <w:tcPr>
            <w:tcW w:w="6920" w:type="dxa"/>
            <w:vAlign w:val="bottom"/>
            <w:gridSpan w:val="3"/>
          </w:tcPr>
          <w:p>
            <w:pPr>
              <w:ind w:left="300"/>
              <w:spacing w:after="0" w:line="176" w:lineRule="exact"/>
              <w:rPr>
                <w:sz w:val="20"/>
                <w:szCs w:val="20"/>
                <w:color w:val="auto"/>
              </w:rPr>
            </w:pPr>
            <w:r>
              <w:rPr>
                <w:rFonts w:ascii="Times New Roman" w:cs="Times New Roman" w:eastAsia="Times New Roman" w:hAnsi="Times New Roman"/>
                <w:sz w:val="18"/>
                <w:szCs w:val="18"/>
                <w:color w:val="auto"/>
              </w:rPr>
              <w:t>Forecasts</w:t>
            </w:r>
          </w:p>
        </w:tc>
        <w:tc>
          <w:tcPr>
            <w:tcW w:w="2000" w:type="dxa"/>
            <w:vAlign w:val="bottom"/>
          </w:tcPr>
          <w:p>
            <w:pPr>
              <w:spacing w:after="0"/>
              <w:rPr>
                <w:sz w:val="15"/>
                <w:szCs w:val="15"/>
                <w:color w:val="auto"/>
              </w:rPr>
            </w:pPr>
          </w:p>
        </w:tc>
        <w:tc>
          <w:tcPr>
            <w:tcW w:w="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4.9</w:t>
            </w:r>
          </w:p>
        </w:tc>
        <w:tc>
          <w:tcPr>
            <w:tcW w:w="6920" w:type="dxa"/>
            <w:vAlign w:val="bottom"/>
            <w:tcBorders>
              <w:bottom w:val="single" w:sz="8" w:color="CCEEFF"/>
            </w:tcBorders>
            <w:gridSpan w:val="3"/>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No Material Adverse Effect</w:t>
            </w:r>
          </w:p>
        </w:tc>
        <w:tc>
          <w:tcPr>
            <w:tcW w:w="2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7"/>
        </w:trPr>
        <w:tc>
          <w:tcPr>
            <w:tcW w:w="1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8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Adverse Proceedings, Etc.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4.11</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Payment of Taxes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4.12</w:t>
            </w:r>
          </w:p>
        </w:tc>
        <w:tc>
          <w:tcPr>
            <w:tcW w:w="898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Properties, Title</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4.13</w:t>
            </w:r>
          </w:p>
        </w:tc>
        <w:tc>
          <w:tcPr>
            <w:tcW w:w="8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Environmental Matters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4.14</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No Defaults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4.15</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Material Contracts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4.16</w:t>
            </w:r>
          </w:p>
        </w:tc>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Governmental Regulation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4.17</w:t>
            </w:r>
          </w:p>
        </w:tc>
        <w:tc>
          <w:tcPr>
            <w:tcW w:w="8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Margin Stock</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4.18</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Employee Benefit Plans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4.19</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Certain Fees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4.20</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Solvency</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4.21</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ERISA</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4.22</w:t>
            </w:r>
          </w:p>
        </w:tc>
        <w:tc>
          <w:tcPr>
            <w:tcW w:w="898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Compliance with Statutes, Etc.</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4.23</w:t>
            </w:r>
          </w:p>
        </w:tc>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Intellectual Property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4.24</w:t>
            </w:r>
          </w:p>
        </w:tc>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4.25</w:t>
            </w:r>
          </w:p>
        </w:tc>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4.26</w:t>
            </w:r>
          </w:p>
        </w:tc>
        <w:tc>
          <w:tcPr>
            <w:tcW w:w="898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Permits, Etc.</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4.27</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Bank Accounts and Securities Accounts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4.28</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Security Interests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4.29</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PATRIOT ACT and FCPA</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4.30</w:t>
            </w:r>
          </w:p>
        </w:tc>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4.31</w:t>
            </w:r>
          </w:p>
        </w:tc>
        <w:tc>
          <w:tcPr>
            <w:tcW w:w="8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Disclosure</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4.32</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4.33</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Regulatory Compliance</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4.34</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Government Contracts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4.35</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Health Care Laws.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4.36</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Data Protection</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4.37</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AFFIRMATIVE COVENANTS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0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5.1</w:t>
            </w:r>
          </w:p>
        </w:tc>
        <w:tc>
          <w:tcPr>
            <w:tcW w:w="898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Financial Statements and Other Reports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84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5.2</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Existence</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0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5.3</w:t>
            </w:r>
          </w:p>
        </w:tc>
        <w:tc>
          <w:tcPr>
            <w:tcW w:w="898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Payment of Taxes and Claims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5.4</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Maintenance of Properties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5.5</w:t>
            </w:r>
          </w:p>
        </w:tc>
        <w:tc>
          <w:tcPr>
            <w:tcW w:w="898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5.6</w:t>
            </w:r>
          </w:p>
        </w:tc>
        <w:tc>
          <w:tcPr>
            <w:tcW w:w="8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Books and Records; Inspections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5.7</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Lenders Calls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5.8</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0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5.9</w:t>
            </w:r>
          </w:p>
        </w:tc>
        <w:tc>
          <w:tcPr>
            <w:tcW w:w="898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Environmental</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5.10</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898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Real Estate Assets</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5.12</w:t>
            </w:r>
          </w:p>
        </w:tc>
        <w:tc>
          <w:tcPr>
            <w:tcW w:w="8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Further Assurances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92</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00" w:type="dxa"/>
            <w:vAlign w:val="bottom"/>
            <w:shd w:val="clear" w:color="auto" w:fill="CCEEFF"/>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898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Control Agreements</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5.14</w:t>
            </w:r>
          </w:p>
        </w:tc>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Post-Closing Matters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VI NEGATIVE COVENANTS</w:t>
            </w:r>
          </w:p>
        </w:tc>
        <w:tc>
          <w:tcPr>
            <w:tcW w:w="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88"/>
              </w:rPr>
              <w:t>93</w:t>
            </w:r>
          </w:p>
        </w:tc>
        <w:tc>
          <w:tcPr>
            <w:tcW w:w="180" w:type="dxa"/>
            <w:vAlign w:val="bottom"/>
            <w:tcBorders>
              <w:bottom w:val="single" w:sz="8" w:color="0000FF"/>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6.2</w:t>
            </w:r>
          </w:p>
        </w:tc>
        <w:tc>
          <w:tcPr>
            <w:tcW w:w="898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6.3</w:t>
            </w:r>
          </w:p>
        </w:tc>
        <w:tc>
          <w:tcPr>
            <w:tcW w:w="8980" w:type="dxa"/>
            <w:vAlign w:val="bottom"/>
            <w:tcBorders>
              <w:bottom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Material Contracts</w:t>
            </w:r>
          </w:p>
        </w:tc>
        <w:tc>
          <w:tcPr>
            <w:tcW w:w="1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Section 6.4</w:t>
            </w:r>
          </w:p>
        </w:tc>
        <w:tc>
          <w:tcPr>
            <w:tcW w:w="89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No Further Negative Pledges</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00" w:type="dxa"/>
            <w:vAlign w:val="bottom"/>
            <w:tcBorders>
              <w:bottom w:val="single" w:sz="8" w:color="CCEEFF"/>
            </w:tcBorders>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Section 6.5</w:t>
            </w:r>
          </w:p>
        </w:tc>
        <w:tc>
          <w:tcPr>
            <w:tcW w:w="8980" w:type="dxa"/>
            <w:vAlign w:val="bottom"/>
            <w:tcBorders>
              <w:bottom w:val="single" w:sz="8" w:color="CCEEFF"/>
            </w:tcBorders>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Restricted Junior Payments</w:t>
            </w:r>
          </w:p>
        </w:tc>
        <w:tc>
          <w:tcPr>
            <w:tcW w:w="1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180" w:type="dxa"/>
            <w:vAlign w:val="bottom"/>
            <w:tcBorders>
              <w:bottom w:val="single" w:sz="8" w:color="0000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7"/>
        </w:trPr>
        <w:tc>
          <w:tcPr>
            <w:tcW w:w="2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6.6</w:t>
            </w:r>
          </w:p>
        </w:tc>
        <w:tc>
          <w:tcPr>
            <w:tcW w:w="749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Restrictions on Subsidiary Distributions</w:t>
            </w:r>
          </w:p>
        </w:tc>
        <w:tc>
          <w:tcPr>
            <w:tcW w:w="133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6.7</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Investments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95</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96</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6.8</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Minimum Qualified Cash.</w:t>
            </w:r>
          </w:p>
        </w:tc>
        <w:tc>
          <w:tcPr>
            <w:tcW w:w="133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96</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97</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6.9</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Fundamental Changes; Disposition of Assets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96</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97</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6.10</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Disposal of Subsidiary Interests</w:t>
            </w:r>
          </w:p>
        </w:tc>
        <w:tc>
          <w:tcPr>
            <w:tcW w:w="133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97</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6.11</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Sales and Lease Backs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97</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98</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6.12</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Transactions with Shareholders and Affiliates</w:t>
            </w:r>
          </w:p>
        </w:tc>
        <w:tc>
          <w:tcPr>
            <w:tcW w:w="133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6.13</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Conduct of Business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6.14</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Changes to Certain Agreements and Organizational Documents</w:t>
            </w:r>
          </w:p>
        </w:tc>
        <w:tc>
          <w:tcPr>
            <w:tcW w:w="133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6.15</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Accounting Methods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6.16</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Deposit Accounts and Securities Accounts</w:t>
            </w:r>
          </w:p>
        </w:tc>
        <w:tc>
          <w:tcPr>
            <w:tcW w:w="1330" w:type="dxa"/>
            <w:vAlign w:val="bottom"/>
            <w:tcBorders>
              <w:bottom w:val="single" w:sz="8" w:color="CCEE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6.17</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Prepayments of Certain Indebtedness</w:t>
            </w:r>
          </w:p>
        </w:tc>
        <w:tc>
          <w:tcPr>
            <w:tcW w:w="133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98</w:t>
            </w: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99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6.18</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Anti-Terrorism Laws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100</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6.19</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Anti-Corruption Laws.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100</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6.20</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100</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6.21</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Products and Patent Rights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101</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7490" w:type="dxa"/>
            <w:vAlign w:val="bottom"/>
            <w:shd w:val="clear" w:color="auto" w:fill="CCEEFF"/>
          </w:tcPr>
          <w:p>
            <w:pPr>
              <w:spacing w:after="0"/>
              <w:rPr>
                <w:sz w:val="17"/>
                <w:szCs w:val="17"/>
                <w:color w:val="auto"/>
              </w:rPr>
            </w:pPr>
          </w:p>
        </w:tc>
        <w:tc>
          <w:tcPr>
            <w:tcW w:w="125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6"/>
        </w:trPr>
        <w:tc>
          <w:tcPr>
            <w:tcW w:w="22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ARTICLE VII GUARANTY</w:t>
            </w:r>
          </w:p>
        </w:tc>
        <w:tc>
          <w:tcPr>
            <w:tcW w:w="7490" w:type="dxa"/>
            <w:vAlign w:val="bottom"/>
          </w:tcPr>
          <w:p>
            <w:pPr>
              <w:spacing w:after="0"/>
              <w:rPr>
                <w:sz w:val="15"/>
                <w:szCs w:val="15"/>
                <w:color w:val="auto"/>
              </w:rPr>
            </w:pPr>
          </w:p>
        </w:tc>
        <w:tc>
          <w:tcPr>
            <w:tcW w:w="125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100</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101</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7.1</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Guaranty of the Obligations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101</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7.2</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Contribution by Guarantors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101</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7.3</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Payment by Guarantors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102</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7.4</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Liability of Guarantors Absolute</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101</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102</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7.5</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Waivers by Guarantors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102</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103</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7.6</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Guarantors’ Rights of Subrogation, Contribution, Etc.</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104</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7.7</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Subordination of Other Obligations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103</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104</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7.8</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Continuing Guaranty</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104</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7.9</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Authority of Guarantors or Borrower</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104</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7.10</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Financial Condition of Borrower</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104</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7.11</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Bankruptcy, Etc.</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104</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105</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7.12</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Discharge of Guaranty Upon Sale of Guarantor</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106</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7.13</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106</w:t>
            </w:r>
          </w:p>
        </w:tc>
      </w:tr>
      <w:tr>
        <w:trPr>
          <w:trHeight w:val="197"/>
        </w:trPr>
        <w:tc>
          <w:tcPr>
            <w:tcW w:w="9730" w:type="dxa"/>
            <w:vAlign w:val="bottom"/>
            <w:gridSpan w:val="2"/>
          </w:tcPr>
          <w:p>
            <w:pPr>
              <w:spacing w:after="0"/>
              <w:rPr>
                <w:sz w:val="17"/>
                <w:szCs w:val="17"/>
                <w:color w:val="auto"/>
              </w:rPr>
            </w:pPr>
          </w:p>
        </w:tc>
        <w:tc>
          <w:tcPr>
            <w:tcW w:w="125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973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VIII EVENTS OF DEFAULT</w:t>
            </w:r>
          </w:p>
        </w:tc>
        <w:tc>
          <w:tcPr>
            <w:tcW w:w="125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105</w:t>
            </w:r>
          </w:p>
        </w:tc>
        <w:tc>
          <w:tcPr>
            <w:tcW w:w="260" w:type="dxa"/>
            <w:vAlign w:val="bottom"/>
            <w:tcBorders>
              <w:bottom w:val="single" w:sz="8" w:color="0000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106</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8.1</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Events of Default</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106</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8.2</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Remedies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107</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108</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8.3</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Rights Not Exclusive</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7"/>
        </w:trPr>
        <w:tc>
          <w:tcPr>
            <w:tcW w:w="9730" w:type="dxa"/>
            <w:vAlign w:val="bottom"/>
            <w:gridSpan w:val="2"/>
            <w:shd w:val="clear" w:color="auto" w:fill="CCEEFF"/>
          </w:tcPr>
          <w:p>
            <w:pPr>
              <w:spacing w:after="0"/>
              <w:rPr>
                <w:sz w:val="17"/>
                <w:szCs w:val="17"/>
                <w:color w:val="auto"/>
              </w:rPr>
            </w:pPr>
          </w:p>
        </w:tc>
        <w:tc>
          <w:tcPr>
            <w:tcW w:w="125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75"/>
        </w:trPr>
        <w:tc>
          <w:tcPr>
            <w:tcW w:w="973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ARTICLE IX ADMINISTRATIVE AGENT</w:t>
            </w:r>
          </w:p>
        </w:tc>
        <w:tc>
          <w:tcPr>
            <w:tcW w:w="125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108</w:t>
            </w:r>
          </w:p>
        </w:tc>
        <w:tc>
          <w:tcPr>
            <w:tcW w:w="2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0000FF"/>
                <w:w w:val="88"/>
              </w:rPr>
              <w:t>109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9.1</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Appointment of Administrative Agent</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109</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9.2</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Powers and Duties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109</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9.3</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General Immunity</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110</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9.4</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Administrative Agent Entitled to Act as Lender</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109</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9.5</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Lenders’ Representations, Warranties and Acknowledgment</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9.6</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Right to Indemnity</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110</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111</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9.7</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111</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112</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9.8</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Collateral Documents and Guaranty</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113</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9.9</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Agency for Perfection</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113</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9.10</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Reports and Other Information; Confidentiality; Disclaimers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113</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114</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9.11</w:t>
            </w:r>
          </w:p>
        </w:tc>
        <w:tc>
          <w:tcPr>
            <w:tcW w:w="749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Protective Advances</w:t>
            </w:r>
          </w:p>
        </w:tc>
        <w:tc>
          <w:tcPr>
            <w:tcW w:w="125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114</w:t>
            </w:r>
          </w:p>
        </w:tc>
        <w:tc>
          <w:tcPr>
            <w:tcW w:w="260" w:type="dxa"/>
            <w:vAlign w:val="bottom"/>
            <w:tcBorders>
              <w:bottom w:val="single" w:sz="8" w:color="0000FF"/>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115</w:t>
            </w:r>
          </w:p>
        </w:tc>
      </w:tr>
      <w:tr>
        <w:trPr>
          <w:trHeight w:val="156"/>
        </w:trPr>
        <w:tc>
          <w:tcPr>
            <w:tcW w:w="224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9.12</w:t>
            </w:r>
          </w:p>
        </w:tc>
        <w:tc>
          <w:tcPr>
            <w:tcW w:w="749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Erroneous Payments.</w:t>
            </w:r>
          </w:p>
        </w:tc>
        <w:tc>
          <w:tcPr>
            <w:tcW w:w="125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114</w:t>
            </w:r>
          </w:p>
        </w:tc>
        <w:tc>
          <w:tcPr>
            <w:tcW w:w="260" w:type="dxa"/>
            <w:vAlign w:val="bottom"/>
            <w:tcBorders>
              <w:bottom w:val="single" w:sz="8" w:color="0000FF"/>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115</w:t>
            </w:r>
          </w:p>
        </w:tc>
      </w:tr>
      <w:tr>
        <w:trPr>
          <w:trHeight w:val="20"/>
        </w:trPr>
        <w:tc>
          <w:tcPr>
            <w:tcW w:w="2240" w:type="dxa"/>
            <w:vAlign w:val="bottom"/>
          </w:tcPr>
          <w:p>
            <w:pPr>
              <w:spacing w:after="0" w:line="20" w:lineRule="exact"/>
              <w:rPr>
                <w:sz w:val="1"/>
                <w:szCs w:val="1"/>
                <w:color w:val="auto"/>
              </w:rPr>
            </w:pPr>
          </w:p>
        </w:tc>
        <w:tc>
          <w:tcPr>
            <w:tcW w:w="749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7"/>
        </w:trPr>
        <w:tc>
          <w:tcPr>
            <w:tcW w:w="9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116</w:t>
            </w:r>
          </w:p>
        </w:tc>
        <w:tc>
          <w:tcPr>
            <w:tcW w:w="26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117</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116</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117</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Expenses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117</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118</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10.3</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Indemnity</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119</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10.4</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Set-Off</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119</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10.5</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Amendments and Waivers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119</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120</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10.6</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Successors and Assigns; Participations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120</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121</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10.7</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Independence of Covenants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10.8</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Survival of Representations, Warranties and Agreements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10.9</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No Waiver; Remedies Cumulative</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10.10</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Marshalling; Payments Set Aside</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10.11</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10.12</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Obligations Several; Independent Nature of Lenders’ Rights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124</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10.13</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10.14</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Original Issue Discount.</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10.15</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Headings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10.16</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APPLICABLE LAW</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10.17</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CONSENT TO JURISDICTION</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125</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10.18</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WAIVER OF JURY TRIAL</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124</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10.19</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125</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126</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10.20</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Usury Savings Clause</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126</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127</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10.21</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126</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10.22</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Effectiveness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10.23</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PATRIOT Act Notice</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10.24</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Waiver of Immunity</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156"/>
        </w:trPr>
        <w:tc>
          <w:tcPr>
            <w:tcW w:w="19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10.25</w:t>
            </w:r>
          </w:p>
        </w:tc>
        <w:tc>
          <w:tcPr>
            <w:tcW w:w="8000" w:type="dxa"/>
            <w:vAlign w:val="bottom"/>
          </w:tcPr>
          <w:p>
            <w:pPr>
              <w:ind w:left="300"/>
              <w:spacing w:after="0" w:line="156" w:lineRule="exact"/>
              <w:rPr>
                <w:sz w:val="20"/>
                <w:szCs w:val="20"/>
                <w:color w:val="auto"/>
              </w:rPr>
            </w:pPr>
            <w:r>
              <w:rPr>
                <w:rFonts w:ascii="Times New Roman" w:cs="Times New Roman" w:eastAsia="Times New Roman" w:hAnsi="Times New Roman"/>
                <w:sz w:val="18"/>
                <w:szCs w:val="18"/>
                <w:color w:val="auto"/>
              </w:rPr>
              <w:t>Service of Process</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r>
        <w:trPr>
          <w:trHeight w:val="20"/>
        </w:trPr>
        <w:tc>
          <w:tcPr>
            <w:tcW w:w="1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r>
      <w:tr>
        <w:trPr>
          <w:trHeight w:val="196"/>
        </w:trPr>
        <w:tc>
          <w:tcPr>
            <w:tcW w:w="1960" w:type="dxa"/>
            <w:vAlign w:val="bottom"/>
            <w:tcBorders>
              <w:bottom w:val="single" w:sz="8" w:color="CCEEFF"/>
            </w:tcBorders>
            <w:shd w:val="clear" w:color="auto" w:fill="CCEEFF"/>
          </w:tcPr>
          <w:p>
            <w:pPr>
              <w:ind w:left="660"/>
              <w:spacing w:after="0" w:line="156" w:lineRule="exact"/>
              <w:rPr>
                <w:sz w:val="20"/>
                <w:szCs w:val="20"/>
                <w:color w:val="auto"/>
              </w:rPr>
            </w:pPr>
            <w:r>
              <w:rPr>
                <w:rFonts w:ascii="Times New Roman" w:cs="Times New Roman" w:eastAsia="Times New Roman" w:hAnsi="Times New Roman"/>
                <w:sz w:val="18"/>
                <w:szCs w:val="18"/>
                <w:color w:val="auto"/>
              </w:rPr>
              <w:t>Section 10.26</w:t>
            </w:r>
          </w:p>
        </w:tc>
        <w:tc>
          <w:tcPr>
            <w:tcW w:w="800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0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127</w:t>
            </w:r>
          </w:p>
        </w:tc>
        <w:tc>
          <w:tcPr>
            <w:tcW w:w="260" w:type="dxa"/>
            <w:vAlign w:val="bottom"/>
            <w:tcBorders>
              <w:bottom w:val="single" w:sz="8" w:color="0000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0000FF"/>
                <w:w w:val="88"/>
              </w:rPr>
              <w:t>128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Commitments</w:t>
            </w:r>
          </w:p>
        </w:tc>
      </w:tr>
      <w:tr>
        <w:trPr>
          <w:trHeight w:val="234"/>
        </w:trPr>
        <w:tc>
          <w:tcPr>
            <w:tcW w:w="146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Addresses</w:t>
            </w:r>
          </w:p>
        </w:tc>
      </w:tr>
      <w:tr>
        <w:trPr>
          <w:trHeight w:val="63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1.1(a)</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Chemical Structure of BRIUMVI</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1.1(b)</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Jurisdictions of Organization and Qualification</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Stock and Ownership</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4.11</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4.12</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4.13</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4.15</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4.23</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4.24</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4.27</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Accounts and Securities Accounts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4.34</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Contracts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5.14</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Post Closing Matters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Indebtedness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Liens</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6.6</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Loans and Advances to Employees</w:t>
            </w:r>
          </w:p>
        </w:tc>
      </w:tr>
      <w:tr>
        <w:trPr>
          <w:trHeight w:val="234"/>
        </w:trPr>
        <w:tc>
          <w:tcPr>
            <w:tcW w:w="146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6.7</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Investments</w:t>
            </w:r>
          </w:p>
        </w:tc>
      </w:tr>
      <w:tr>
        <w:trPr>
          <w:trHeight w:val="630"/>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A-1</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Notice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A-2</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Conversion/Continuation Notice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Agreement</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Date Certificate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216"/>
        </w:trPr>
        <w:tc>
          <w:tcPr>
            <w:tcW w:w="14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 Agreement</w:t>
            </w:r>
          </w:p>
        </w:tc>
      </w:tr>
      <w:tr>
        <w:trPr>
          <w:trHeight w:val="234"/>
        </w:trPr>
        <w:tc>
          <w:tcPr>
            <w:tcW w:w="146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Tax Compliance Certificates</w:t>
            </w:r>
          </w:p>
        </w:tc>
      </w:tr>
    </w:tbl>
    <w:p>
      <w:pPr>
        <w:spacing w:after="0" w:line="198"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u w:val="single" w:color="auto"/>
          <w:color w:val="auto"/>
        </w:rPr>
        <w:t>FINANCING AGREEMENT</w:t>
      </w:r>
    </w:p>
    <w:p>
      <w:pPr>
        <w:spacing w:after="0" w:line="25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This FINANCING AGREEMENT, dated as of August 2, 2024, is entered into by and among TG THERAPEUTICS, INC., a Delaware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certain Subsidiaries of Borrower, as Guarantors, the Lenders from time to time party hereto, and Blue Owl Capital Corporation (“</w:t>
      </w:r>
      <w:r>
        <w:rPr>
          <w:rFonts w:ascii="Times New Roman" w:cs="Times New Roman" w:eastAsia="Times New Roman" w:hAnsi="Times New Roman"/>
          <w:sz w:val="18"/>
          <w:szCs w:val="18"/>
          <w:u w:val="single" w:color="auto"/>
          <w:color w:val="auto"/>
        </w:rPr>
        <w:t>Blue Owl</w:t>
      </w:r>
      <w:r>
        <w:rPr>
          <w:rFonts w:ascii="Times New Roman" w:cs="Times New Roman" w:eastAsia="Times New Roman" w:hAnsi="Times New Roman"/>
          <w:sz w:val="18"/>
          <w:szCs w:val="18"/>
          <w:color w:val="auto"/>
        </w:rPr>
        <w:t>”), as administrative agent for the Lenders (in such capacity,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WHEREAS, capitalized terms used in these Recitals shall have the respective meanings set forth for such terms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Lenders have agreed to extend certain senior secured credit facilities to Borrower, in an aggregate principal amount not to exceed $</w:t>
      </w:r>
      <w:r>
        <w:rPr>
          <w:rFonts w:ascii="Times New Roman" w:cs="Times New Roman" w:eastAsia="Times New Roman" w:hAnsi="Times New Roman"/>
          <w:sz w:val="18"/>
          <w:szCs w:val="18"/>
          <w:color w:val="FF0000"/>
          <w:strike w:val="1"/>
        </w:rPr>
        <w:t>350,000,000</w:t>
      </w:r>
      <w:r>
        <w:rPr>
          <w:rFonts w:ascii="Times New Roman" w:cs="Times New Roman" w:eastAsia="Times New Roman" w:hAnsi="Times New Roman"/>
          <w:sz w:val="18"/>
          <w:szCs w:val="18"/>
          <w:u w:val="single" w:color="auto"/>
          <w:color w:val="0000FF"/>
        </w:rPr>
        <w:t>1,000,000,000</w:t>
      </w:r>
      <w:r>
        <w:rPr>
          <w:rFonts w:ascii="Times New Roman" w:cs="Times New Roman" w:eastAsia="Times New Roman" w:hAnsi="Times New Roman"/>
          <w:sz w:val="18"/>
          <w:szCs w:val="18"/>
          <w:color w:val="auto"/>
        </w:rPr>
        <w:t xml:space="preserve">, consisting of (a)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term loan in an aggregate principal amount equal to $</w:t>
      </w:r>
      <w:r>
        <w:rPr>
          <w:rFonts w:ascii="Times New Roman" w:cs="Times New Roman" w:eastAsia="Times New Roman" w:hAnsi="Times New Roman"/>
          <w:sz w:val="18"/>
          <w:szCs w:val="18"/>
          <w:color w:val="FF0000"/>
          <w:strike w:val="1"/>
        </w:rPr>
        <w:t>250,000,000</w:t>
      </w:r>
      <w:r>
        <w:rPr>
          <w:rFonts w:ascii="Times New Roman" w:cs="Times New Roman" w:eastAsia="Times New Roman" w:hAnsi="Times New Roman"/>
          <w:sz w:val="18"/>
          <w:szCs w:val="18"/>
          <w:u w:val="single" w:color="auto"/>
          <w:color w:val="0000FF"/>
        </w:rPr>
        <w:t>750,000,000 funded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First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(b) an uncommitted incremental facility in an aggregate principal amount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250,000,000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each case the proceeds of which will be used as described in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Borrower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(except as otherwise set forth in the Collateral Documents); and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Guarantors have agreed to guarantee the Obligations of Borrower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 (except as otherwise set forth in the Collateral Documents).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INTERPRETATION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used herein, including in the preamble, recitals, exhibits and schedules hereto, shall have the following meanings: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“2026 Term Loan” means the Term Loan funded on the First Amendment Effective Date pursuant to Section 2.1(a)(ii) hereof and Section 3 of the First Amendment.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“2026 Term Loan Commitments” means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AA84F"/>
        </w:rPr>
        <w:t>the commitment of a Lender to make or otherwise fund</w:t>
      </w:r>
      <w:r>
        <w:rPr>
          <w:rFonts w:ascii="Times New Roman" w:cs="Times New Roman" w:eastAsia="Times New Roman" w:hAnsi="Times New Roman"/>
          <w:sz w:val="18"/>
          <w:szCs w:val="18"/>
          <w:color w:val="0000FF"/>
        </w:rPr>
        <w:t xml:space="preserve"> the 2026 Term Loan and “2026 Term Loan </w:t>
      </w:r>
      <w:r>
        <w:rPr>
          <w:rFonts w:ascii="Times New Roman" w:cs="Times New Roman" w:eastAsia="Times New Roman" w:hAnsi="Times New Roman"/>
          <w:sz w:val="18"/>
          <w:szCs w:val="18"/>
          <w:u w:val="single" w:color="auto"/>
          <w:color w:val="0000FF"/>
        </w:rPr>
        <w:t>Commitments” means such commitments of all such Lenders in the aggregate. The amount of each Lender’s 2026 Term Loan 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AA84F"/>
        </w:rPr>
        <w:t>if any, is set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6AA84F"/>
        </w:rPr>
        <w:t xml:space="preserve">forth on Appendix A. The aggregate amount of the </w:t>
      </w:r>
      <w:r>
        <w:rPr>
          <w:rFonts w:ascii="Times New Roman" w:cs="Times New Roman" w:eastAsia="Times New Roman" w:hAnsi="Times New Roman"/>
          <w:sz w:val="18"/>
          <w:szCs w:val="18"/>
          <w:u w:val="single" w:color="auto"/>
          <w:color w:val="0000FF"/>
        </w:rPr>
        <w:t>2026 Term Loan Commitments as of the First Amendment Effective Date is $750,000,000.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-313055</wp:posOffset>
            </wp:positionV>
            <wp:extent cx="481203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12030" cy="2540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-158750</wp:posOffset>
            </wp:positionV>
            <wp:extent cx="598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80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-175895</wp:posOffset>
            </wp:positionV>
            <wp:extent cx="5988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80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shall mean, for any period, Net Income for such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right="20" w:firstLine="656"/>
        <w:spacing w:after="0" w:line="282"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to the extent (and in the same proportion) deducted (and not added back or excluded) in determining Net Income for such period: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the Borrower and its Subsidiaries for such period, determined on a consolidated basis in accordance with GAAP;</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attributable to depreciation and amortization for such period;</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income tax expense for such period;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adjustments, including any equity-based or non-cash compensation charges or expenses, including any such charges or expenses arising from grants of stock appreciation or similar rights, stock options, restricted stock or other rights, retention charges (including charges or expenses in respect of incentive plans) and any write-offs or write-downs reducing Net Income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non-cash charges do represent an accrual or reserve for potential cash items in any future period), and excluding amortization of a prepaid cash item that was paid in a prior period;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restructuring charges or any reasonable and documented out-of-pocket costs, fees or expenses incurred in connection with any Permitted Acquisitions or other similar Permitted Investment, any permitted issuance of Capital Stock or Indebtedness or any permitted Asset Sale during such period (whether or not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costs, fees, expenses, and charges added back to Adjusted EBITDA pursuant to this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for any consecutive four Fiscal Quarter period shall not exceed the greater of (x) $[***] and [***]% of Adjusted EBITDA (calculated prior to giving effect to this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extraordinary, unusual, non-recurring or one-time charges, expenses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costs, fees, expenses, and charges added back to Adjusted EBITDA pursuant to this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xml:space="preserve"> for any consecutive four Fiscal Quarter period shall not exceed the greater of (x) $[***] and [***]% of Adjusted EBITDA (calculated prior to giving effect to this </w:t>
      </w:r>
      <w:r>
        <w:rPr>
          <w:rFonts w:ascii="Times New Roman" w:cs="Times New Roman" w:eastAsia="Times New Roman" w:hAnsi="Times New Roman"/>
          <w:sz w:val="18"/>
          <w:szCs w:val="18"/>
          <w:u w:val="single" w:color="auto"/>
          <w:color w:val="auto"/>
        </w:rPr>
        <w:t>clause (a)(vi)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(a)(v)</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and to the extent included in arriving at such Net Income: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credits and refunds for such period (to the extent consolidated income tax expense added-back in clause (a)(iii) above is not calculated net of such credit or refund);</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adjustments and all other non-cash items of income for such period;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unusual, non-recurring or one-time gains or adjustments for such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Account</w:t>
      </w:r>
      <w:r>
        <w:rPr>
          <w:rFonts w:ascii="Times New Roman" w:cs="Times New Roman" w:eastAsia="Times New Roman" w:hAnsi="Times New Roman"/>
          <w:sz w:val="18"/>
          <w:szCs w:val="18"/>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 whether pending or, to the knowledge of Borrower or any of its Subsidiaries, threatened in writing against Borrower or any of its Subsidiaries or any property of Borrower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 Any reference to an Affiliate of Blue Owl (or its Affiliates) shall include its affiliated funding entity, Hedgewig Funding I LLC, and any Person that is controlled or managed by Blue Owl (or its Affiliates), or where Blue Owl, together with its Affiliates, has a direct or indirect majority economic interest therein.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Financing Agreement and any annexes, exhibits and schedules attached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means any Requirement of Law relating to terrorism or money laundering, including, without limitation, (a) the Money Laundering Control Act of 1986 (18 U.S.C. §§ 1956 and 1957), (b) the Currency and Foreign Transactions Reporting Act (31 U.S.C. §§ 5311-5330 and 12 U.S.C. §§ 1818(s), 1820(b) and 1951-1959) (the “</w:t>
      </w:r>
      <w:r>
        <w:rPr>
          <w:rFonts w:ascii="Times New Roman" w:cs="Times New Roman" w:eastAsia="Times New Roman" w:hAnsi="Times New Roman"/>
          <w:sz w:val="18"/>
          <w:szCs w:val="18"/>
          <w:u w:val="single" w:color="auto"/>
          <w:color w:val="auto"/>
        </w:rPr>
        <w:t>Bank Secrecy Act</w:t>
      </w:r>
      <w:r>
        <w:rPr>
          <w:rFonts w:ascii="Times New Roman" w:cs="Times New Roman" w:eastAsia="Times New Roman" w:hAnsi="Times New Roman"/>
          <w:sz w:val="18"/>
          <w:szCs w:val="18"/>
          <w:color w:val="auto"/>
        </w:rPr>
        <w:t>”), (c) the USA PATRIOT Act, (d) the laws, regulations and Executive Orders administered by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as of any date of determination with respect to any Term Loan, the applicable percentage per annum set forth in the table below that corresponds to the most recent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u w:val="single" w:color="auto"/>
          <w:color w:val="0000FF"/>
        </w:rPr>
        <w:t>Total</w:t>
      </w:r>
      <w:r>
        <w:rPr>
          <w:rFonts w:ascii="Times New Roman" w:cs="Times New Roman" w:eastAsia="Times New Roman" w:hAnsi="Times New Roman"/>
          <w:sz w:val="18"/>
          <w:szCs w:val="18"/>
          <w:color w:val="auto"/>
        </w:rPr>
        <w:t xml:space="preserve"> Net </w:t>
      </w:r>
      <w:r>
        <w:rPr>
          <w:rFonts w:ascii="Times New Roman" w:cs="Times New Roman" w:eastAsia="Times New Roman" w:hAnsi="Times New Roman"/>
          <w:sz w:val="18"/>
          <w:szCs w:val="18"/>
          <w:color w:val="FF0000"/>
          <w:strike w:val="1"/>
        </w:rPr>
        <w:t>Sales</w:t>
      </w:r>
      <w:r>
        <w:rPr>
          <w:rFonts w:ascii="Times New Roman" w:cs="Times New Roman" w:eastAsia="Times New Roman" w:hAnsi="Times New Roman"/>
          <w:sz w:val="18"/>
          <w:szCs w:val="18"/>
          <w:u w:val="single" w:color="auto"/>
          <w:color w:val="0000FF"/>
        </w:rPr>
        <w:t>Leverage Ratio</w:t>
      </w:r>
      <w:r>
        <w:rPr>
          <w:rFonts w:ascii="Times New Roman" w:cs="Times New Roman" w:eastAsia="Times New Roman" w:hAnsi="Times New Roman"/>
          <w:sz w:val="18"/>
          <w:szCs w:val="18"/>
          <w:color w:val="auto"/>
        </w:rPr>
        <w:t xml:space="preserve"> Calculation:</w:t>
      </w:r>
    </w:p>
    <w:p>
      <w:pPr>
        <w:spacing w:after="0" w:line="157" w:lineRule="exact"/>
        <w:rPr>
          <w:sz w:val="20"/>
          <w:szCs w:val="20"/>
          <w:color w:val="auto"/>
        </w:rPr>
      </w:pPr>
    </w:p>
    <w:tbl>
      <w:tblPr>
        <w:tblLayout w:type="fixed"/>
        <w:tblInd w:w="250" w:type="dxa"/>
        <w:tblCellMar>
          <w:top w:w="0" w:type="dxa"/>
          <w:left w:w="0" w:type="dxa"/>
          <w:bottom w:w="0" w:type="dxa"/>
          <w:right w:w="0" w:type="dxa"/>
        </w:tblCellMar>
      </w:tblPr>
      <w:tr>
        <w:trPr>
          <w:trHeight w:val="212"/>
        </w:trPr>
        <w:tc>
          <w:tcPr>
            <w:tcW w:w="178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580" w:type="dxa"/>
            <w:vAlign w:val="bottom"/>
            <w:tcBorders>
              <w:top w:val="single" w:sz="8" w:color="auto"/>
            </w:tcBorders>
            <w:shd w:val="clear" w:color="auto" w:fill="E6E6E6"/>
          </w:tcPr>
          <w:p>
            <w:pPr>
              <w:spacing w:after="0"/>
              <w:rPr>
                <w:sz w:val="18"/>
                <w:szCs w:val="18"/>
                <w:color w:val="auto"/>
              </w:rPr>
            </w:pPr>
          </w:p>
        </w:tc>
        <w:tc>
          <w:tcPr>
            <w:tcW w:w="34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280" w:type="dxa"/>
            <w:vAlign w:val="bottom"/>
            <w:tcBorders>
              <w:top w:val="single" w:sz="8" w:color="auto"/>
            </w:tcBorders>
            <w:gridSpan w:val="2"/>
            <w:shd w:val="clear" w:color="auto" w:fill="E6E6E6"/>
          </w:tcPr>
          <w:p>
            <w:pPr>
              <w:ind w:left="60"/>
              <w:spacing w:after="0" w:line="192" w:lineRule="exact"/>
              <w:rPr>
                <w:sz w:val="20"/>
                <w:szCs w:val="20"/>
                <w:color w:val="auto"/>
              </w:rPr>
            </w:pPr>
            <w:r>
              <w:rPr>
                <w:rFonts w:ascii="Times New Roman" w:cs="Times New Roman" w:eastAsia="Times New Roman" w:hAnsi="Times New Roman"/>
                <w:sz w:val="18"/>
                <w:szCs w:val="18"/>
                <w:b w:val="1"/>
                <w:bCs w:val="1"/>
                <w:color w:val="FF0000"/>
                <w:strike w:val="1"/>
                <w:w w:val="86"/>
              </w:rPr>
              <w:t>US</w:t>
            </w:r>
          </w:p>
        </w:tc>
        <w:tc>
          <w:tcPr>
            <w:tcW w:w="1800" w:type="dxa"/>
            <w:vAlign w:val="bottom"/>
            <w:tcBorders>
              <w:top w:val="single" w:sz="8" w:color="auto"/>
              <w:right w:val="single" w:sz="8" w:color="auto"/>
            </w:tcBorders>
            <w:gridSpan w:val="7"/>
            <w:shd w:val="clear" w:color="auto" w:fill="E6E6E6"/>
          </w:tcPr>
          <w:p>
            <w:pPr>
              <w:jc w:val="center"/>
              <w:ind w:right="1080"/>
              <w:spacing w:after="0" w:line="192" w:lineRule="exact"/>
              <w:rPr>
                <w:sz w:val="20"/>
                <w:szCs w:val="20"/>
                <w:color w:val="auto"/>
              </w:rPr>
            </w:pPr>
            <w:r>
              <w:rPr>
                <w:rFonts w:ascii="Times New Roman" w:cs="Times New Roman" w:eastAsia="Times New Roman" w:hAnsi="Times New Roman"/>
                <w:sz w:val="18"/>
                <w:szCs w:val="18"/>
                <w:b w:val="1"/>
                <w:bCs w:val="1"/>
                <w:color w:val="0000FF"/>
                <w:w w:val="99"/>
              </w:rPr>
              <w:t xml:space="preserve">Total </w:t>
            </w:r>
            <w:r>
              <w:rPr>
                <w:rFonts w:ascii="Times New Roman" w:cs="Times New Roman" w:eastAsia="Times New Roman" w:hAnsi="Times New Roman"/>
                <w:sz w:val="18"/>
                <w:szCs w:val="18"/>
                <w:b w:val="1"/>
                <w:bCs w:val="1"/>
                <w:color w:val="000000"/>
                <w:w w:val="99"/>
              </w:rPr>
              <w:t>Net</w:t>
            </w:r>
          </w:p>
        </w:tc>
        <w:tc>
          <w:tcPr>
            <w:tcW w:w="1420" w:type="dxa"/>
            <w:vAlign w:val="bottom"/>
            <w:tcBorders>
              <w:top w:val="single" w:sz="8" w:color="auto"/>
            </w:tcBorders>
            <w:shd w:val="clear" w:color="auto" w:fill="E6E6E6"/>
          </w:tcPr>
          <w:p>
            <w:pPr>
              <w:spacing w:after="0"/>
              <w:rPr>
                <w:sz w:val="18"/>
                <w:szCs w:val="18"/>
                <w:color w:val="auto"/>
              </w:rPr>
            </w:pPr>
          </w:p>
        </w:tc>
        <w:tc>
          <w:tcPr>
            <w:tcW w:w="320" w:type="dxa"/>
            <w:vAlign w:val="bottom"/>
            <w:tcBorders>
              <w:top w:val="single" w:sz="8" w:color="auto"/>
            </w:tcBorders>
            <w:shd w:val="clear" w:color="auto" w:fill="E6E6E6"/>
          </w:tcPr>
          <w:p>
            <w:pPr>
              <w:spacing w:after="0"/>
              <w:rPr>
                <w:sz w:val="18"/>
                <w:szCs w:val="18"/>
                <w:color w:val="auto"/>
              </w:rPr>
            </w:pPr>
          </w:p>
        </w:tc>
        <w:tc>
          <w:tcPr>
            <w:tcW w:w="1300" w:type="dxa"/>
            <w:vAlign w:val="bottom"/>
            <w:tcBorders>
              <w:top w:val="single" w:sz="8" w:color="auto"/>
              <w:right w:val="single" w:sz="8" w:color="auto"/>
            </w:tcBorders>
            <w:shd w:val="clear" w:color="auto" w:fill="E6E6E6"/>
          </w:tcPr>
          <w:p>
            <w:pPr>
              <w:spacing w:after="0"/>
              <w:rPr>
                <w:sz w:val="18"/>
                <w:szCs w:val="18"/>
                <w:color w:val="auto"/>
              </w:rPr>
            </w:pPr>
          </w:p>
        </w:tc>
        <w:tc>
          <w:tcPr>
            <w:tcW w:w="1360" w:type="dxa"/>
            <w:vAlign w:val="bottom"/>
            <w:tcBorders>
              <w:top w:val="single" w:sz="8" w:color="auto"/>
            </w:tcBorders>
            <w:shd w:val="clear" w:color="auto" w:fill="E6E6E6"/>
          </w:tcPr>
          <w:p>
            <w:pPr>
              <w:spacing w:after="0"/>
              <w:rPr>
                <w:sz w:val="18"/>
                <w:szCs w:val="18"/>
                <w:color w:val="auto"/>
              </w:rPr>
            </w:pPr>
          </w:p>
        </w:tc>
        <w:tc>
          <w:tcPr>
            <w:tcW w:w="320" w:type="dxa"/>
            <w:vAlign w:val="bottom"/>
            <w:tcBorders>
              <w:top w:val="single" w:sz="8" w:color="auto"/>
            </w:tcBorders>
            <w:shd w:val="clear" w:color="auto" w:fill="E6E6E6"/>
          </w:tcPr>
          <w:p>
            <w:pPr>
              <w:spacing w:after="0"/>
              <w:rPr>
                <w:sz w:val="18"/>
                <w:szCs w:val="18"/>
                <w:color w:val="auto"/>
              </w:rPr>
            </w:pPr>
          </w:p>
        </w:tc>
        <w:tc>
          <w:tcPr>
            <w:tcW w:w="1220" w:type="dxa"/>
            <w:vAlign w:val="bottom"/>
            <w:tcBorders>
              <w:top w:val="single" w:sz="8" w:color="auto"/>
              <w:right w:val="single" w:sz="8" w:color="auto"/>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E6E6E6"/>
              <w:left w:val="single" w:sz="8" w:color="auto"/>
              <w:right w:val="single" w:sz="8" w:color="auto"/>
            </w:tcBorders>
            <w:shd w:val="clear" w:color="auto" w:fill="E6E6E6"/>
          </w:tcPr>
          <w:p>
            <w:pPr>
              <w:spacing w:after="0" w:line="20" w:lineRule="exact"/>
              <w:rPr>
                <w:sz w:val="1"/>
                <w:szCs w:val="1"/>
                <w:color w:val="auto"/>
              </w:rPr>
            </w:pPr>
          </w:p>
        </w:tc>
        <w:tc>
          <w:tcPr>
            <w:tcW w:w="580" w:type="dxa"/>
            <w:vAlign w:val="bottom"/>
            <w:tcBorders>
              <w:top w:val="single" w:sz="8" w:color="E6E6E6"/>
            </w:tcBorders>
            <w:shd w:val="clear" w:color="auto" w:fill="E6E6E6"/>
          </w:tcPr>
          <w:p>
            <w:pPr>
              <w:spacing w:after="0" w:line="20" w:lineRule="exact"/>
              <w:rPr>
                <w:sz w:val="1"/>
                <w:szCs w:val="1"/>
                <w:color w:val="auto"/>
              </w:rPr>
            </w:pPr>
          </w:p>
        </w:tc>
        <w:tc>
          <w:tcPr>
            <w:tcW w:w="340" w:type="dxa"/>
            <w:vAlign w:val="bottom"/>
            <w:tcBorders>
              <w:top w:val="single" w:sz="8" w:color="E6E6E6"/>
            </w:tcBorders>
            <w:shd w:val="clear" w:color="auto" w:fill="E6E6E6"/>
          </w:tcPr>
          <w:p>
            <w:pPr>
              <w:spacing w:after="0" w:line="20" w:lineRule="exact"/>
              <w:rPr>
                <w:sz w:val="1"/>
                <w:szCs w:val="1"/>
                <w:color w:val="auto"/>
              </w:rPr>
            </w:pPr>
          </w:p>
        </w:tc>
        <w:tc>
          <w:tcPr>
            <w:tcW w:w="60" w:type="dxa"/>
            <w:vAlign w:val="bottom"/>
            <w:tcBorders>
              <w:top w:val="single" w:sz="8" w:color="E6E6E6"/>
            </w:tcBorders>
            <w:shd w:val="clear" w:color="auto" w:fill="E6E6E6"/>
          </w:tcPr>
          <w:p>
            <w:pPr>
              <w:spacing w:after="0" w:line="20" w:lineRule="exact"/>
              <w:rPr>
                <w:sz w:val="1"/>
                <w:szCs w:val="1"/>
                <w:color w:val="auto"/>
              </w:rPr>
            </w:pPr>
          </w:p>
        </w:tc>
        <w:tc>
          <w:tcPr>
            <w:tcW w:w="140" w:type="dxa"/>
            <w:vAlign w:val="bottom"/>
            <w:tcBorders>
              <w:top w:val="single" w:sz="8" w:color="E6E6E6"/>
            </w:tcBorders>
            <w:shd w:val="clear" w:color="auto" w:fill="E6E6E6"/>
          </w:tcPr>
          <w:p>
            <w:pPr>
              <w:spacing w:after="0" w:line="20" w:lineRule="exact"/>
              <w:rPr>
                <w:sz w:val="1"/>
                <w:szCs w:val="1"/>
                <w:color w:val="auto"/>
              </w:rPr>
            </w:pPr>
          </w:p>
        </w:tc>
        <w:tc>
          <w:tcPr>
            <w:tcW w:w="140" w:type="dxa"/>
            <w:vAlign w:val="bottom"/>
            <w:tcBorders>
              <w:top w:val="single" w:sz="8" w:color="E6E6E6"/>
            </w:tcBorders>
            <w:shd w:val="clear" w:color="auto" w:fill="E6E6E6"/>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E6E6E6"/>
            </w:tcBorders>
            <w:shd w:val="clear" w:color="auto" w:fill="E6E6E6"/>
          </w:tcPr>
          <w:p>
            <w:pPr>
              <w:spacing w:after="0" w:line="20" w:lineRule="exact"/>
              <w:rPr>
                <w:sz w:val="1"/>
                <w:szCs w:val="1"/>
                <w:color w:val="auto"/>
              </w:rPr>
            </w:pPr>
          </w:p>
        </w:tc>
        <w:tc>
          <w:tcPr>
            <w:tcW w:w="220" w:type="dxa"/>
            <w:vAlign w:val="bottom"/>
            <w:tcBorders>
              <w:top w:val="single" w:sz="8" w:color="E6E6E6"/>
            </w:tcBorders>
            <w:shd w:val="clear" w:color="auto" w:fill="E6E6E6"/>
          </w:tcPr>
          <w:p>
            <w:pPr>
              <w:spacing w:after="0" w:line="20" w:lineRule="exact"/>
              <w:rPr>
                <w:sz w:val="1"/>
                <w:szCs w:val="1"/>
                <w:color w:val="auto"/>
              </w:rPr>
            </w:pPr>
          </w:p>
        </w:tc>
        <w:tc>
          <w:tcPr>
            <w:tcW w:w="80" w:type="dxa"/>
            <w:vAlign w:val="bottom"/>
            <w:tcBorders>
              <w:top w:val="single" w:sz="8" w:color="E6E6E6"/>
            </w:tcBorders>
            <w:shd w:val="clear" w:color="auto" w:fill="E6E6E6"/>
          </w:tcPr>
          <w:p>
            <w:pPr>
              <w:spacing w:after="0" w:line="20" w:lineRule="exact"/>
              <w:rPr>
                <w:sz w:val="1"/>
                <w:szCs w:val="1"/>
                <w:color w:val="auto"/>
              </w:rPr>
            </w:pPr>
          </w:p>
        </w:tc>
        <w:tc>
          <w:tcPr>
            <w:tcW w:w="920" w:type="dxa"/>
            <w:vAlign w:val="bottom"/>
            <w:tcBorders>
              <w:top w:val="single" w:sz="8" w:color="E6E6E6"/>
              <w:right w:val="single" w:sz="8" w:color="auto"/>
            </w:tcBorders>
            <w:shd w:val="clear" w:color="auto" w:fill="E6E6E6"/>
          </w:tcPr>
          <w:p>
            <w:pPr>
              <w:spacing w:after="0" w:line="20" w:lineRule="exact"/>
              <w:rPr>
                <w:sz w:val="1"/>
                <w:szCs w:val="1"/>
                <w:color w:val="auto"/>
              </w:rPr>
            </w:pPr>
          </w:p>
        </w:tc>
        <w:tc>
          <w:tcPr>
            <w:tcW w:w="1420" w:type="dxa"/>
            <w:vAlign w:val="bottom"/>
            <w:tcBorders>
              <w:top w:val="single" w:sz="8" w:color="E6E6E6"/>
            </w:tcBorders>
            <w:shd w:val="clear" w:color="auto" w:fill="E6E6E6"/>
          </w:tcPr>
          <w:p>
            <w:pPr>
              <w:spacing w:after="0" w:line="20" w:lineRule="exact"/>
              <w:rPr>
                <w:sz w:val="1"/>
                <w:szCs w:val="1"/>
                <w:color w:val="auto"/>
              </w:rPr>
            </w:pPr>
          </w:p>
        </w:tc>
        <w:tc>
          <w:tcPr>
            <w:tcW w:w="320" w:type="dxa"/>
            <w:vAlign w:val="bottom"/>
            <w:tcBorders>
              <w:top w:val="single" w:sz="8" w:color="E6E6E6"/>
            </w:tcBorders>
            <w:shd w:val="clear" w:color="auto" w:fill="E6E6E6"/>
          </w:tcPr>
          <w:p>
            <w:pPr>
              <w:spacing w:after="0" w:line="20" w:lineRule="exact"/>
              <w:rPr>
                <w:sz w:val="1"/>
                <w:szCs w:val="1"/>
                <w:color w:val="auto"/>
              </w:rPr>
            </w:pPr>
          </w:p>
        </w:tc>
        <w:tc>
          <w:tcPr>
            <w:tcW w:w="1300" w:type="dxa"/>
            <w:vAlign w:val="bottom"/>
            <w:tcBorders>
              <w:top w:val="single" w:sz="8" w:color="E6E6E6"/>
              <w:right w:val="single" w:sz="8" w:color="auto"/>
            </w:tcBorders>
            <w:shd w:val="clear" w:color="auto" w:fill="E6E6E6"/>
          </w:tcPr>
          <w:p>
            <w:pPr>
              <w:spacing w:after="0" w:line="20" w:lineRule="exact"/>
              <w:rPr>
                <w:sz w:val="1"/>
                <w:szCs w:val="1"/>
                <w:color w:val="auto"/>
              </w:rPr>
            </w:pPr>
          </w:p>
        </w:tc>
        <w:tc>
          <w:tcPr>
            <w:tcW w:w="1360" w:type="dxa"/>
            <w:vAlign w:val="bottom"/>
            <w:tcBorders>
              <w:top w:val="single" w:sz="8" w:color="E6E6E6"/>
            </w:tcBorders>
            <w:shd w:val="clear" w:color="auto" w:fill="E6E6E6"/>
          </w:tcPr>
          <w:p>
            <w:pPr>
              <w:spacing w:after="0" w:line="20" w:lineRule="exact"/>
              <w:rPr>
                <w:sz w:val="1"/>
                <w:szCs w:val="1"/>
                <w:color w:val="auto"/>
              </w:rPr>
            </w:pPr>
          </w:p>
        </w:tc>
        <w:tc>
          <w:tcPr>
            <w:tcW w:w="320" w:type="dxa"/>
            <w:vAlign w:val="bottom"/>
            <w:tcBorders>
              <w:top w:val="single" w:sz="8" w:color="E6E6E6"/>
            </w:tcBorders>
            <w:shd w:val="clear" w:color="auto" w:fill="E6E6E6"/>
          </w:tcPr>
          <w:p>
            <w:pPr>
              <w:spacing w:after="0" w:line="20" w:lineRule="exact"/>
              <w:rPr>
                <w:sz w:val="1"/>
                <w:szCs w:val="1"/>
                <w:color w:val="auto"/>
              </w:rPr>
            </w:pPr>
          </w:p>
        </w:tc>
        <w:tc>
          <w:tcPr>
            <w:tcW w:w="1220" w:type="dxa"/>
            <w:vAlign w:val="bottom"/>
            <w:tcBorders>
              <w:top w:val="single" w:sz="8" w:color="E6E6E6"/>
              <w:right w:val="single" w:sz="8" w:color="auto"/>
            </w:tcBorders>
            <w:shd w:val="clear" w:color="auto" w:fill="E6E6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left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580" w:type="dxa"/>
            <w:vAlign w:val="bottom"/>
            <w:shd w:val="clear" w:color="auto" w:fill="E6E6E6"/>
          </w:tcPr>
          <w:p>
            <w:pPr>
              <w:spacing w:after="0"/>
              <w:rPr>
                <w:sz w:val="17"/>
                <w:szCs w:val="17"/>
                <w:color w:val="auto"/>
              </w:rPr>
            </w:pPr>
          </w:p>
        </w:tc>
        <w:tc>
          <w:tcPr>
            <w:tcW w:w="400" w:type="dxa"/>
            <w:vAlign w:val="bottom"/>
            <w:gridSpan w:val="2"/>
            <w:shd w:val="clear" w:color="auto" w:fill="E6E6E6"/>
          </w:tcPr>
          <w:p>
            <w:pPr>
              <w:spacing w:after="0" w:line="156" w:lineRule="exact"/>
              <w:rPr>
                <w:sz w:val="20"/>
                <w:szCs w:val="20"/>
                <w:color w:val="auto"/>
              </w:rPr>
            </w:pPr>
            <w:r>
              <w:rPr>
                <w:rFonts w:ascii="Times New Roman" w:cs="Times New Roman" w:eastAsia="Times New Roman" w:hAnsi="Times New Roman"/>
                <w:sz w:val="18"/>
                <w:szCs w:val="18"/>
                <w:b w:val="1"/>
                <w:bCs w:val="1"/>
                <w:color w:val="FF0000"/>
                <w:strike w:val="1"/>
                <w:w w:val="97"/>
              </w:rPr>
              <w:t>Sales</w:t>
            </w:r>
          </w:p>
        </w:tc>
        <w:tc>
          <w:tcPr>
            <w:tcW w:w="680" w:type="dxa"/>
            <w:vAlign w:val="bottom"/>
            <w:gridSpan w:val="5"/>
            <w:shd w:val="clear" w:color="auto" w:fill="E6E6E6"/>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95"/>
              </w:rPr>
              <w:t>Leverage</w:t>
            </w:r>
          </w:p>
        </w:tc>
        <w:tc>
          <w:tcPr>
            <w:tcW w:w="1400" w:type="dxa"/>
            <w:vAlign w:val="bottom"/>
            <w:tcBorders>
              <w:right w:val="single" w:sz="8" w:color="auto"/>
            </w:tcBorders>
            <w:gridSpan w:val="4"/>
            <w:shd w:val="clear" w:color="auto" w:fill="E6E6E6"/>
          </w:tcPr>
          <w:p>
            <w:pPr>
              <w:jc w:val="right"/>
              <w:ind w:right="640"/>
              <w:spacing w:after="0" w:line="156" w:lineRule="exact"/>
              <w:rPr>
                <w:sz w:val="20"/>
                <w:szCs w:val="20"/>
                <w:color w:val="auto"/>
              </w:rPr>
            </w:pPr>
            <w:r>
              <w:rPr>
                <w:rFonts w:ascii="Times New Roman" w:cs="Times New Roman" w:eastAsia="Times New Roman" w:hAnsi="Times New Roman"/>
                <w:sz w:val="18"/>
                <w:szCs w:val="18"/>
                <w:b w:val="1"/>
                <w:bCs w:val="1"/>
                <w:color w:val="0000FF"/>
              </w:rPr>
              <w:t xml:space="preserve">Ratio </w:t>
            </w:r>
            <w:r>
              <w:rPr>
                <w:rFonts w:ascii="Times New Roman" w:cs="Times New Roman" w:eastAsia="Times New Roman" w:hAnsi="Times New Roman"/>
                <w:sz w:val="18"/>
                <w:szCs w:val="18"/>
                <w:b w:val="1"/>
                <w:bCs w:val="1"/>
                <w:color w:val="000000"/>
              </w:rPr>
              <w:t>for</w:t>
            </w:r>
          </w:p>
        </w:tc>
        <w:tc>
          <w:tcPr>
            <w:tcW w:w="3040" w:type="dxa"/>
            <w:vAlign w:val="bottom"/>
            <w:tcBorders>
              <w:right w:val="single" w:sz="8" w:color="auto"/>
            </w:tcBorders>
            <w:gridSpan w:val="3"/>
            <w:vMerge w:val="restart"/>
            <w:shd w:val="clear" w:color="auto" w:fill="E6E6E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2900" w:type="dxa"/>
            <w:vAlign w:val="bottom"/>
            <w:tcBorders>
              <w:right w:val="single" w:sz="8" w:color="auto"/>
            </w:tcBorders>
            <w:gridSpan w:val="3"/>
            <w:vMerge w:val="restart"/>
            <w:shd w:val="clear" w:color="auto" w:fill="E6E6E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0" w:type="dxa"/>
            <w:vAlign w:val="bottom"/>
          </w:tcPr>
          <w:p>
            <w:pPr>
              <w:spacing w:after="0"/>
              <w:rPr>
                <w:sz w:val="1"/>
                <w:szCs w:val="1"/>
                <w:color w:val="auto"/>
              </w:rPr>
            </w:pPr>
          </w:p>
        </w:tc>
      </w:tr>
      <w:tr>
        <w:trPr>
          <w:trHeight w:val="174"/>
        </w:trPr>
        <w:tc>
          <w:tcPr>
            <w:tcW w:w="1780" w:type="dxa"/>
            <w:vAlign w:val="bottom"/>
            <w:tcBorders>
              <w:top w:val="single" w:sz="8" w:color="E6E6E6"/>
              <w:left w:val="single" w:sz="8" w:color="auto"/>
              <w:right w:val="single" w:sz="8" w:color="auto"/>
            </w:tcBorders>
            <w:vMerge w:val="continue"/>
            <w:shd w:val="clear" w:color="auto" w:fill="E6E6E6"/>
          </w:tcPr>
          <w:p>
            <w:pPr>
              <w:spacing w:after="0"/>
              <w:rPr>
                <w:sz w:val="15"/>
                <w:szCs w:val="15"/>
                <w:color w:val="auto"/>
              </w:rPr>
            </w:pPr>
          </w:p>
        </w:tc>
        <w:tc>
          <w:tcPr>
            <w:tcW w:w="580" w:type="dxa"/>
            <w:vAlign w:val="bottom"/>
            <w:tcBorders>
              <w:top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60" w:type="dxa"/>
            <w:vAlign w:val="bottom"/>
            <w:tcBorders>
              <w:top w:val="single" w:sz="8" w:color="E6E6E6"/>
            </w:tcBorders>
            <w:shd w:val="clear" w:color="auto" w:fill="E6E6E6"/>
          </w:tcPr>
          <w:p>
            <w:pPr>
              <w:spacing w:after="0"/>
              <w:rPr>
                <w:sz w:val="15"/>
                <w:szCs w:val="15"/>
                <w:color w:val="auto"/>
              </w:rPr>
            </w:pPr>
          </w:p>
        </w:tc>
        <w:tc>
          <w:tcPr>
            <w:tcW w:w="1160" w:type="dxa"/>
            <w:vAlign w:val="bottom"/>
            <w:tcBorders>
              <w:top w:val="single" w:sz="8" w:color="0000FF"/>
            </w:tcBorders>
            <w:gridSpan w:val="8"/>
            <w:shd w:val="clear" w:color="auto" w:fill="E6E6E6"/>
          </w:tcPr>
          <w:p>
            <w:pPr>
              <w:jc w:val="center"/>
              <w:ind w:right="40"/>
              <w:spacing w:after="0" w:line="174" w:lineRule="exact"/>
              <w:rPr>
                <w:sz w:val="20"/>
                <w:szCs w:val="20"/>
                <w:color w:val="auto"/>
              </w:rPr>
            </w:pPr>
            <w:r>
              <w:rPr>
                <w:rFonts w:ascii="Times New Roman" w:cs="Times New Roman" w:eastAsia="Times New Roman" w:hAnsi="Times New Roman"/>
                <w:sz w:val="18"/>
                <w:szCs w:val="18"/>
                <w:b w:val="1"/>
                <w:bCs w:val="1"/>
                <w:color w:val="auto"/>
                <w:w w:val="94"/>
              </w:rPr>
              <w:t>the most recent</w:t>
            </w:r>
          </w:p>
        </w:tc>
        <w:tc>
          <w:tcPr>
            <w:tcW w:w="920" w:type="dxa"/>
            <w:vAlign w:val="bottom"/>
            <w:tcBorders>
              <w:top w:val="single" w:sz="8" w:color="E6E6E6"/>
              <w:right w:val="single" w:sz="8" w:color="auto"/>
            </w:tcBorders>
            <w:shd w:val="clear" w:color="auto" w:fill="E6E6E6"/>
          </w:tcPr>
          <w:p>
            <w:pPr>
              <w:spacing w:after="0"/>
              <w:rPr>
                <w:sz w:val="15"/>
                <w:szCs w:val="15"/>
                <w:color w:val="auto"/>
              </w:rPr>
            </w:pPr>
          </w:p>
        </w:tc>
        <w:tc>
          <w:tcPr>
            <w:tcW w:w="3040" w:type="dxa"/>
            <w:vAlign w:val="bottom"/>
            <w:tcBorders>
              <w:top w:val="single" w:sz="8" w:color="E6E6E6"/>
              <w:right w:val="single" w:sz="8" w:color="auto"/>
            </w:tcBorders>
            <w:gridSpan w:val="3"/>
            <w:vMerge w:val="continue"/>
            <w:shd w:val="clear" w:color="auto" w:fill="E6E6E6"/>
          </w:tcPr>
          <w:p>
            <w:pPr>
              <w:spacing w:after="0"/>
              <w:rPr>
                <w:sz w:val="15"/>
                <w:szCs w:val="15"/>
                <w:color w:val="auto"/>
              </w:rPr>
            </w:pPr>
          </w:p>
        </w:tc>
        <w:tc>
          <w:tcPr>
            <w:tcW w:w="2900" w:type="dxa"/>
            <w:vAlign w:val="bottom"/>
            <w:tcBorders>
              <w:top w:val="single" w:sz="8" w:color="E6E6E6"/>
              <w:right w:val="single" w:sz="8" w:color="auto"/>
            </w:tcBorders>
            <w:gridSpan w:val="3"/>
            <w:vMerge w:val="continue"/>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78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580" w:type="dxa"/>
            <w:vAlign w:val="bottom"/>
            <w:tcBorders>
              <w:bottom w:val="single" w:sz="8" w:color="auto"/>
            </w:tcBorders>
            <w:shd w:val="clear" w:color="auto" w:fill="E6E6E6"/>
          </w:tcPr>
          <w:p>
            <w:pPr>
              <w:spacing w:after="0"/>
              <w:rPr>
                <w:sz w:val="22"/>
                <w:szCs w:val="22"/>
                <w:color w:val="auto"/>
              </w:rPr>
            </w:pPr>
          </w:p>
        </w:tc>
        <w:tc>
          <w:tcPr>
            <w:tcW w:w="2480" w:type="dxa"/>
            <w:vAlign w:val="bottom"/>
            <w:tcBorders>
              <w:bottom w:val="single" w:sz="8" w:color="auto"/>
              <w:right w:val="single" w:sz="8" w:color="auto"/>
            </w:tcBorders>
            <w:gridSpan w:val="11"/>
            <w:shd w:val="clear" w:color="auto" w:fill="E6E6E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3040" w:type="dxa"/>
            <w:vAlign w:val="bottom"/>
            <w:tcBorders>
              <w:bottom w:val="single" w:sz="8" w:color="auto"/>
              <w:right w:val="single" w:sz="8" w:color="auto"/>
            </w:tcBorders>
            <w:gridSpan w:val="3"/>
            <w:shd w:val="clear" w:color="auto" w:fill="E6E6E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SOFR Loans</w:t>
            </w:r>
          </w:p>
        </w:tc>
        <w:tc>
          <w:tcPr>
            <w:tcW w:w="2900" w:type="dxa"/>
            <w:vAlign w:val="bottom"/>
            <w:tcBorders>
              <w:bottom w:val="single" w:sz="8" w:color="auto"/>
              <w:right w:val="single" w:sz="8" w:color="auto"/>
            </w:tcBorders>
            <w:gridSpan w:val="3"/>
            <w:shd w:val="clear" w:color="auto" w:fill="E6E6E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Base Rate Loans</w:t>
            </w:r>
          </w:p>
        </w:tc>
        <w:tc>
          <w:tcPr>
            <w:tcW w:w="0" w:type="dxa"/>
            <w:vAlign w:val="bottom"/>
          </w:tcPr>
          <w:p>
            <w:pPr>
              <w:spacing w:after="0"/>
              <w:rPr>
                <w:sz w:val="1"/>
                <w:szCs w:val="1"/>
                <w:color w:val="auto"/>
              </w:rPr>
            </w:pPr>
          </w:p>
        </w:tc>
      </w:tr>
      <w:tr>
        <w:trPr>
          <w:trHeight w:val="152"/>
        </w:trPr>
        <w:tc>
          <w:tcPr>
            <w:tcW w:w="1780" w:type="dxa"/>
            <w:vAlign w:val="bottom"/>
            <w:tcBorders>
              <w:left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I</w:t>
            </w:r>
          </w:p>
        </w:tc>
        <w:tc>
          <w:tcPr>
            <w:tcW w:w="580" w:type="dxa"/>
            <w:vAlign w:val="bottom"/>
          </w:tcPr>
          <w:p>
            <w:pPr>
              <w:spacing w:after="0"/>
              <w:rPr>
                <w:sz w:val="13"/>
                <w:szCs w:val="13"/>
                <w:color w:val="auto"/>
              </w:rPr>
            </w:pPr>
          </w:p>
        </w:tc>
        <w:tc>
          <w:tcPr>
            <w:tcW w:w="340" w:type="dxa"/>
            <w:vAlign w:val="bottom"/>
          </w:tcPr>
          <w:p>
            <w:pPr>
              <w:spacing w:after="0" w:line="152" w:lineRule="exact"/>
              <w:rPr>
                <w:sz w:val="20"/>
                <w:szCs w:val="20"/>
                <w:color w:val="auto"/>
              </w:rPr>
            </w:pPr>
            <w:r>
              <w:rPr>
                <w:rFonts w:ascii="Times New Roman" w:cs="Times New Roman" w:eastAsia="Times New Roman" w:hAnsi="Times New Roman"/>
                <w:sz w:val="17"/>
                <w:szCs w:val="17"/>
                <w:color w:val="FF0000"/>
                <w:strike w:val="1"/>
              </w:rPr>
              <w:t>Less</w:t>
            </w:r>
          </w:p>
        </w:tc>
        <w:tc>
          <w:tcPr>
            <w:tcW w:w="2140" w:type="dxa"/>
            <w:vAlign w:val="bottom"/>
            <w:tcBorders>
              <w:right w:val="single" w:sz="8" w:color="auto"/>
            </w:tcBorders>
            <w:gridSpan w:val="10"/>
          </w:tcPr>
          <w:p>
            <w:pPr>
              <w:jc w:val="right"/>
              <w:ind w:right="640"/>
              <w:spacing w:after="0" w:line="152" w:lineRule="exact"/>
              <w:rPr>
                <w:sz w:val="20"/>
                <w:szCs w:val="20"/>
                <w:color w:val="auto"/>
              </w:rPr>
            </w:pPr>
            <w:r>
              <w:rPr>
                <w:rFonts w:ascii="Times New Roman" w:cs="Times New Roman" w:eastAsia="Times New Roman" w:hAnsi="Times New Roman"/>
                <w:sz w:val="17"/>
                <w:szCs w:val="17"/>
                <w:color w:val="0000FF"/>
              </w:rPr>
              <w:t xml:space="preserve">Equal to greater </w:t>
            </w:r>
            <w:r>
              <w:rPr>
                <w:rFonts w:ascii="Times New Roman" w:cs="Times New Roman" w:eastAsia="Times New Roman" w:hAnsi="Times New Roman"/>
                <w:sz w:val="17"/>
                <w:szCs w:val="17"/>
                <w:color w:val="000000"/>
              </w:rPr>
              <w:t>than</w:t>
            </w:r>
          </w:p>
        </w:tc>
        <w:tc>
          <w:tcPr>
            <w:tcW w:w="1420" w:type="dxa"/>
            <w:vAlign w:val="bottom"/>
          </w:tcPr>
          <w:p>
            <w:pPr>
              <w:jc w:val="right"/>
              <w:spacing w:after="0" w:line="152" w:lineRule="exact"/>
              <w:rPr>
                <w:sz w:val="20"/>
                <w:szCs w:val="20"/>
                <w:color w:val="auto"/>
              </w:rPr>
            </w:pPr>
            <w:r>
              <w:rPr>
                <w:rFonts w:ascii="Times New Roman" w:cs="Times New Roman" w:eastAsia="Times New Roman" w:hAnsi="Times New Roman"/>
                <w:sz w:val="17"/>
                <w:szCs w:val="17"/>
                <w:color w:val="FF0000"/>
                <w:strike w:val="1"/>
              </w:rPr>
              <w:t>5.50</w:t>
            </w:r>
          </w:p>
        </w:tc>
        <w:tc>
          <w:tcPr>
            <w:tcW w:w="1620" w:type="dxa"/>
            <w:vAlign w:val="bottom"/>
            <w:tcBorders>
              <w:right w:val="single" w:sz="8" w:color="auto"/>
            </w:tcBorders>
            <w:gridSpan w:val="2"/>
          </w:tcPr>
          <w:p>
            <w:pPr>
              <w:jc w:val="right"/>
              <w:ind w:right="1140"/>
              <w:spacing w:after="0" w:line="152" w:lineRule="exact"/>
              <w:rPr>
                <w:sz w:val="20"/>
                <w:szCs w:val="20"/>
                <w:color w:val="auto"/>
              </w:rPr>
            </w:pPr>
            <w:r>
              <w:rPr>
                <w:rFonts w:ascii="Times New Roman" w:cs="Times New Roman" w:eastAsia="Times New Roman" w:hAnsi="Times New Roman"/>
                <w:sz w:val="17"/>
                <w:szCs w:val="17"/>
                <w:color w:val="0000FF"/>
              </w:rPr>
              <w:t>4.75</w:t>
            </w:r>
            <w:r>
              <w:rPr>
                <w:rFonts w:ascii="Times New Roman" w:cs="Times New Roman" w:eastAsia="Times New Roman" w:hAnsi="Times New Roman"/>
                <w:sz w:val="17"/>
                <w:szCs w:val="17"/>
                <w:color w:val="000000"/>
              </w:rPr>
              <w:t>%</w:t>
            </w:r>
          </w:p>
        </w:tc>
        <w:tc>
          <w:tcPr>
            <w:tcW w:w="1360" w:type="dxa"/>
            <w:vAlign w:val="bottom"/>
          </w:tcPr>
          <w:p>
            <w:pPr>
              <w:jc w:val="right"/>
              <w:spacing w:after="0" w:line="152" w:lineRule="exact"/>
              <w:rPr>
                <w:sz w:val="20"/>
                <w:szCs w:val="20"/>
                <w:color w:val="auto"/>
              </w:rPr>
            </w:pPr>
            <w:r>
              <w:rPr>
                <w:rFonts w:ascii="Times New Roman" w:cs="Times New Roman" w:eastAsia="Times New Roman" w:hAnsi="Times New Roman"/>
                <w:sz w:val="17"/>
                <w:szCs w:val="17"/>
                <w:color w:val="FF0000"/>
                <w:strike w:val="1"/>
              </w:rPr>
              <w:t>4.50</w:t>
            </w:r>
          </w:p>
        </w:tc>
        <w:tc>
          <w:tcPr>
            <w:tcW w:w="1540" w:type="dxa"/>
            <w:vAlign w:val="bottom"/>
            <w:tcBorders>
              <w:right w:val="single" w:sz="8" w:color="auto"/>
            </w:tcBorders>
            <w:gridSpan w:val="2"/>
          </w:tcPr>
          <w:p>
            <w:pPr>
              <w:jc w:val="right"/>
              <w:ind w:right="1080"/>
              <w:spacing w:after="0" w:line="152" w:lineRule="exact"/>
              <w:rPr>
                <w:sz w:val="20"/>
                <w:szCs w:val="20"/>
                <w:color w:val="auto"/>
              </w:rPr>
            </w:pPr>
            <w:r>
              <w:rPr>
                <w:rFonts w:ascii="Times New Roman" w:cs="Times New Roman" w:eastAsia="Times New Roman" w:hAnsi="Times New Roman"/>
                <w:sz w:val="17"/>
                <w:szCs w:val="17"/>
                <w:color w:val="0000FF"/>
              </w:rPr>
              <w:t>3.75</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FF0000"/>
                <w:strike w:val="1"/>
              </w:rPr>
              <w:t>$</w:t>
            </w:r>
          </w:p>
        </w:tc>
        <w:tc>
          <w:tcPr>
            <w:tcW w:w="480" w:type="dxa"/>
            <w:vAlign w:val="bottom"/>
            <w:tcBorders>
              <w:bottom w:val="single" w:sz="8" w:color="auto"/>
            </w:tcBorders>
            <w:gridSpan w:val="3"/>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2"/>
              </w:rPr>
              <w:t>[***]</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7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c>
          <w:tcPr>
            <w:tcW w:w="1120" w:type="dxa"/>
            <w:vAlign w:val="bottom"/>
            <w:gridSpan w:val="4"/>
          </w:tcPr>
          <w:p>
            <w:pPr>
              <w:ind w:left="580"/>
              <w:spacing w:after="0" w:line="169" w:lineRule="exact"/>
              <w:rPr>
                <w:sz w:val="20"/>
                <w:szCs w:val="20"/>
                <w:color w:val="auto"/>
              </w:rPr>
            </w:pPr>
            <w:r>
              <w:rPr>
                <w:rFonts w:ascii="Times New Roman" w:cs="Times New Roman" w:eastAsia="Times New Roman" w:hAnsi="Times New Roman"/>
                <w:sz w:val="18"/>
                <w:szCs w:val="18"/>
                <w:color w:val="FF0000"/>
                <w:strike w:val="1"/>
                <w:w w:val="96"/>
              </w:rPr>
              <w:t>Greater</w:t>
            </w:r>
          </w:p>
        </w:tc>
        <w:tc>
          <w:tcPr>
            <w:tcW w:w="72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Less </w:t>
            </w:r>
            <w:r>
              <w:rPr>
                <w:rFonts w:ascii="Times New Roman" w:cs="Times New Roman" w:eastAsia="Times New Roman" w:hAnsi="Times New Roman"/>
                <w:sz w:val="18"/>
                <w:szCs w:val="18"/>
                <w:color w:val="000000"/>
              </w:rPr>
              <w:t>than</w:t>
            </w:r>
          </w:p>
        </w:tc>
        <w:tc>
          <w:tcPr>
            <w:tcW w:w="1220" w:type="dxa"/>
            <w:vAlign w:val="bottom"/>
            <w:tcBorders>
              <w:right w:val="single" w:sz="8" w:color="auto"/>
            </w:tcBorders>
            <w:gridSpan w:val="3"/>
          </w:tcPr>
          <w:p>
            <w:pPr>
              <w:jc w:val="right"/>
              <w:ind w:right="620"/>
              <w:spacing w:after="0" w:line="169" w:lineRule="exact"/>
              <w:rPr>
                <w:sz w:val="20"/>
                <w:szCs w:val="20"/>
                <w:color w:val="auto"/>
              </w:rPr>
            </w:pPr>
            <w:r>
              <w:rPr>
                <w:rFonts w:ascii="Times New Roman" w:cs="Times New Roman" w:eastAsia="Times New Roman" w:hAnsi="Times New Roman"/>
                <w:sz w:val="18"/>
                <w:szCs w:val="18"/>
                <w:color w:val="FF0000"/>
                <w:strike w:val="1"/>
                <w:w w:val="99"/>
              </w:rPr>
              <w:t>or equal</w:t>
            </w: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5.25</w:t>
            </w:r>
          </w:p>
        </w:tc>
        <w:tc>
          <w:tcPr>
            <w:tcW w:w="1620" w:type="dxa"/>
            <w:vAlign w:val="bottom"/>
            <w:tcBorders>
              <w:right w:val="single" w:sz="8" w:color="auto"/>
            </w:tcBorders>
            <w:gridSpan w:val="2"/>
          </w:tcPr>
          <w:p>
            <w:pPr>
              <w:jc w:val="right"/>
              <w:ind w:right="1140"/>
              <w:spacing w:after="0" w:line="169" w:lineRule="exact"/>
              <w:rPr>
                <w:sz w:val="20"/>
                <w:szCs w:val="20"/>
                <w:color w:val="auto"/>
              </w:rPr>
            </w:pPr>
            <w:r>
              <w:rPr>
                <w:rFonts w:ascii="Times New Roman" w:cs="Times New Roman" w:eastAsia="Times New Roman" w:hAnsi="Times New Roman"/>
                <w:sz w:val="18"/>
                <w:szCs w:val="18"/>
                <w:color w:val="0000FF"/>
                <w:w w:val="98"/>
              </w:rPr>
              <w:t>4.50</w:t>
            </w:r>
            <w:r>
              <w:rPr>
                <w:rFonts w:ascii="Times New Roman" w:cs="Times New Roman" w:eastAsia="Times New Roman" w:hAnsi="Times New Roman"/>
                <w:sz w:val="18"/>
                <w:szCs w:val="18"/>
                <w:color w:val="000000"/>
                <w:w w:val="98"/>
              </w:rPr>
              <w:t>%</w:t>
            </w:r>
          </w:p>
        </w:tc>
        <w:tc>
          <w:tcPr>
            <w:tcW w:w="13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4.25</w:t>
            </w:r>
          </w:p>
        </w:tc>
        <w:tc>
          <w:tcPr>
            <w:tcW w:w="1540" w:type="dxa"/>
            <w:vAlign w:val="bottom"/>
            <w:tcBorders>
              <w:right w:val="single" w:sz="8" w:color="auto"/>
            </w:tcBorders>
            <w:gridSpan w:val="2"/>
          </w:tcPr>
          <w:p>
            <w:pPr>
              <w:jc w:val="right"/>
              <w:ind w:right="1080"/>
              <w:spacing w:after="0" w:line="169" w:lineRule="exact"/>
              <w:rPr>
                <w:sz w:val="20"/>
                <w:szCs w:val="20"/>
                <w:color w:val="auto"/>
              </w:rPr>
            </w:pPr>
            <w:r>
              <w:rPr>
                <w:rFonts w:ascii="Times New Roman" w:cs="Times New Roman" w:eastAsia="Times New Roman" w:hAnsi="Times New Roman"/>
                <w:sz w:val="18"/>
                <w:szCs w:val="18"/>
                <w:color w:val="0000FF"/>
                <w:w w:val="94"/>
              </w:rPr>
              <w:t>3.50</w:t>
            </w:r>
            <w:r>
              <w:rPr>
                <w:rFonts w:ascii="Times New Roman" w:cs="Times New Roman" w:eastAsia="Times New Roman" w:hAnsi="Times New Roman"/>
                <w:sz w:val="18"/>
                <w:szCs w:val="18"/>
                <w:color w:val="000000"/>
                <w:w w:val="94"/>
              </w:rPr>
              <w:t>%</w:t>
            </w:r>
          </w:p>
        </w:tc>
        <w:tc>
          <w:tcPr>
            <w:tcW w:w="0" w:type="dxa"/>
            <w:vAlign w:val="bottom"/>
          </w:tcPr>
          <w:p>
            <w:pPr>
              <w:spacing w:after="0"/>
              <w:rPr>
                <w:sz w:val="1"/>
                <w:szCs w:val="1"/>
                <w:color w:val="auto"/>
              </w:rPr>
            </w:pPr>
          </w:p>
        </w:tc>
      </w:tr>
      <w:tr>
        <w:trPr>
          <w:trHeight w:val="20"/>
        </w:trPr>
        <w:tc>
          <w:tcPr>
            <w:tcW w:w="17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w:t>
            </w:r>
          </w:p>
        </w:tc>
        <w:tc>
          <w:tcPr>
            <w:tcW w:w="1220" w:type="dxa"/>
            <w:vAlign w:val="bottom"/>
            <w:tcBorders>
              <w:right w:val="single" w:sz="8" w:color="auto"/>
            </w:tcBorders>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8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FF0000"/>
                <w:strike w:val="1"/>
                <w:w w:val="94"/>
              </w:rPr>
              <w:t>to $</w:t>
            </w:r>
          </w:p>
        </w:tc>
        <w:tc>
          <w:tcPr>
            <w:tcW w:w="40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adjustment to the Applicable Margin shall be re-determined quarterly as of the [***] immediately following the date of delivery (or required delivery) to the Administrative Agent of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u w:val="single" w:color="auto"/>
          <w:color w:val="0000FF"/>
        </w:rPr>
        <w:t>Total</w:t>
      </w:r>
      <w:r>
        <w:rPr>
          <w:rFonts w:ascii="Times New Roman" w:cs="Times New Roman" w:eastAsia="Times New Roman" w:hAnsi="Times New Roman"/>
          <w:sz w:val="18"/>
          <w:szCs w:val="18"/>
          <w:color w:val="auto"/>
        </w:rPr>
        <w:t xml:space="preserve"> Net </w:t>
      </w:r>
      <w:r>
        <w:rPr>
          <w:rFonts w:ascii="Times New Roman" w:cs="Times New Roman" w:eastAsia="Times New Roman" w:hAnsi="Times New Roman"/>
          <w:sz w:val="18"/>
          <w:szCs w:val="18"/>
          <w:color w:val="FF0000"/>
          <w:strike w:val="1"/>
        </w:rPr>
        <w:t>Sales</w:t>
      </w:r>
      <w:r>
        <w:rPr>
          <w:rFonts w:ascii="Times New Roman" w:cs="Times New Roman" w:eastAsia="Times New Roman" w:hAnsi="Times New Roman"/>
          <w:sz w:val="18"/>
          <w:szCs w:val="18"/>
          <w:u w:val="single" w:color="auto"/>
          <w:color w:val="0000FF"/>
        </w:rPr>
        <w:t>Leverage Ratio</w:t>
      </w:r>
      <w:r>
        <w:rPr>
          <w:rFonts w:ascii="Times New Roman" w:cs="Times New Roman" w:eastAsia="Times New Roman" w:hAnsi="Times New Roman"/>
          <w:sz w:val="18"/>
          <w:szCs w:val="18"/>
          <w:color w:val="auto"/>
        </w:rPr>
        <w:t xml:space="preserve"> Calculation (each, a “</w:t>
      </w:r>
      <w:r>
        <w:rPr>
          <w:rFonts w:ascii="Times New Roman" w:cs="Times New Roman" w:eastAsia="Times New Roman" w:hAnsi="Times New Roman"/>
          <w:sz w:val="18"/>
          <w:szCs w:val="18"/>
          <w:u w:val="single" w:color="auto"/>
          <w:color w:val="auto"/>
        </w:rPr>
        <w:t>Pricing Adjustment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fails to provide such certification when such certification is due, the Applicable Margin shall be set at the margin in the row styled “Level I” in the tables above, effective as of the immediately succeeding Pricing Adjustment Date until the date on which such certification is delivered (on which date (but not retroactively), without constituting a waiver of any Default or Event of Default occasioned by the failure to timely deliver such certification, the Applicable Margin shall be set at the rate based upon the </w:t>
      </w:r>
      <w:r>
        <w:rPr>
          <w:rFonts w:ascii="Times New Roman" w:cs="Times New Roman" w:eastAsia="Times New Roman" w:hAnsi="Times New Roman"/>
          <w:sz w:val="18"/>
          <w:szCs w:val="18"/>
          <w:color w:val="FF0000"/>
          <w:strike w:val="1"/>
        </w:rPr>
        <w:t>US</w:t>
      </w:r>
      <w:r>
        <w:rPr>
          <w:rFonts w:ascii="Times New Roman" w:cs="Times New Roman" w:eastAsia="Times New Roman" w:hAnsi="Times New Roman"/>
          <w:sz w:val="18"/>
          <w:szCs w:val="18"/>
          <w:u w:val="single" w:color="auto"/>
          <w:color w:val="0000FF"/>
        </w:rPr>
        <w:t>Total</w:t>
      </w:r>
      <w:r>
        <w:rPr>
          <w:rFonts w:ascii="Times New Roman" w:cs="Times New Roman" w:eastAsia="Times New Roman" w:hAnsi="Times New Roman"/>
          <w:sz w:val="18"/>
          <w:szCs w:val="18"/>
          <w:color w:val="auto"/>
        </w:rPr>
        <w:t xml:space="preserve"> Net </w:t>
      </w:r>
      <w:r>
        <w:rPr>
          <w:rFonts w:ascii="Times New Roman" w:cs="Times New Roman" w:eastAsia="Times New Roman" w:hAnsi="Times New Roman"/>
          <w:sz w:val="18"/>
          <w:szCs w:val="18"/>
          <w:color w:val="FF0000"/>
          <w:strike w:val="1"/>
        </w:rPr>
        <w:t>Sales</w:t>
      </w:r>
      <w:r>
        <w:rPr>
          <w:rFonts w:ascii="Times New Roman" w:cs="Times New Roman" w:eastAsia="Times New Roman" w:hAnsi="Times New Roman"/>
          <w:sz w:val="18"/>
          <w:szCs w:val="18"/>
          <w:u w:val="single" w:color="auto"/>
          <w:color w:val="0000FF"/>
        </w:rPr>
        <w:t>Leverage Ratio</w:t>
      </w:r>
      <w:r>
        <w:rPr>
          <w:rFonts w:ascii="Times New Roman" w:cs="Times New Roman" w:eastAsia="Times New Roman" w:hAnsi="Times New Roman"/>
          <w:sz w:val="18"/>
          <w:szCs w:val="18"/>
          <w:color w:val="auto"/>
        </w:rPr>
        <w:t xml:space="preserve"> Calculation set forth in such certification).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xml:space="preserve">” has the meaning specified in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Fee Letter.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 Event</w:t>
      </w:r>
      <w:r>
        <w:rPr>
          <w:rFonts w:ascii="Times New Roman" w:cs="Times New Roman" w:eastAsia="Times New Roman" w:hAnsi="Times New Roman"/>
          <w:sz w:val="18"/>
          <w:szCs w:val="18"/>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means a sale, lease or sublease (as lessor or sublessor), sale and leaseback, assignment, conveyance, transfer, license or sublicense or other disposition to, or any exchange of property with, any Person (other than to a Loan Party), in one transaction or a series of transactions, of all or any part of </w:t>
      </w:r>
      <w:r>
        <w:rPr>
          <w:rFonts w:ascii="Times New Roman" w:cs="Times New Roman" w:eastAsia="Times New Roman" w:hAnsi="Times New Roman"/>
          <w:sz w:val="18"/>
          <w:szCs w:val="18"/>
          <w:color w:val="FF0000"/>
          <w:strike w:val="1"/>
        </w:rPr>
        <w:t>any Loan Party’s</w:t>
      </w:r>
      <w:r>
        <w:rPr>
          <w:rFonts w:ascii="Times New Roman" w:cs="Times New Roman" w:eastAsia="Times New Roman" w:hAnsi="Times New Roman"/>
          <w:sz w:val="18"/>
          <w:szCs w:val="18"/>
          <w:u w:val="single" w:color="auto"/>
          <w:color w:val="0000FF"/>
        </w:rPr>
        <w:t>the Borrower or any Subsidiary’s</w:t>
      </w:r>
      <w:r>
        <w:rPr>
          <w:rFonts w:ascii="Times New Roman" w:cs="Times New Roman" w:eastAsia="Times New Roman" w:hAnsi="Times New Roman"/>
          <w:sz w:val="18"/>
          <w:szCs w:val="18"/>
          <w:color w:val="auto"/>
        </w:rPr>
        <w:t xml:space="preserve"> businesses, assets or properties of any kind, whether real, personal, or mixed and whether tangible or intangible, whether now owned or hereafter acquired, including, without limitation, the Capital Stock of any Loan Party. For purposes of clarification, “Asset Sale” shall include (a) the sale or other disposition for value of any contracts, (b) any disposition of property through a “plan of division” under the Delaware Limited Liability Company Act or any comparable transaction under any similar law, (c) any sale of accounts (or any rights thereto (including, without limitation, any rights to any residual payment stream with respect thereto)) by any Loan Party or Subsidiary of Borrower, (d) any Product Agreement, (e) any Permitted Product Transaction and (f) any Royalty Monetization Transaction.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none of the following items will be deemed to be an Asset Sale: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Subsidiary of Borrower to Borrower or to another Loan Party;</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Borrower;</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transfer of Cash or Cash Equivalents in a manner that is not prohibited by the terms of this Agreement or the other Loan Documents;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non-exclusive licensing or sublicensing alone of any Intellectual Property Rights in the ordinary course of business that does not materially interfere with the ordinary conduct of the business of Borrower or any of its Subsidiaries and that is otherwise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and for the avoidance of doubt that (x) any exclusive or co-exclusive out-license with respect to any Intellectual Property Rights, (y) any Permitted Product Transaction and (y) any Royalty Monetization Transaction, in each case (as applicable) shall be deemed to be an Asset Sale).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xml:space="preserve">” means an Assignment and Assumption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such amendments or modifications as may be approved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Secrecy Act</w:t>
      </w:r>
      <w:r>
        <w:rPr>
          <w:rFonts w:ascii="Times New Roman" w:cs="Times New Roman" w:eastAsia="Times New Roman" w:hAnsi="Times New Roman"/>
          <w:sz w:val="18"/>
          <w:szCs w:val="18"/>
          <w:color w:val="auto"/>
        </w:rPr>
        <w:t>” has the meaning specified in the definition of “Anti-Terrorism Laws”.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½ of 1%, (c) Term SOFR (which rate shall be calculated based upon an Interest Period of three months and to be determined on a daily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2.00% per annum. Any change in the Prime Rate, the Federal Funds Effective Rate or Term SOFR shall be effective on the effective day of such change in the Prime Rate, the Federal Funds Effective Rate or Term SOFR,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bearing interest at a rate determined by reference to the Base Rate.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(including any related Benchmark Replacement Adjustment) would be less than the Floor, such Benchmark Replacement shall be deemed to be the Floor for the purposes of this Agreement and the other Loan Documents.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reasonably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225" w:lineRule="exact"/>
        <w:rPr>
          <w:sz w:val="20"/>
          <w:szCs w:val="20"/>
          <w:color w:val="auto"/>
        </w:rPr>
      </w:pPr>
    </w:p>
    <w:p>
      <w:pPr>
        <w:jc w:val="both"/>
        <w:ind w:firstLine="656"/>
        <w:spacing w:after="0" w:line="266" w:lineRule="auto"/>
        <w:tabs>
          <w:tab w:leader="none" w:pos="140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18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56"/>
        <w:spacing w:after="0" w:line="261" w:lineRule="auto"/>
        <w:tabs>
          <w:tab w:leader="none" w:pos="12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means Administrative Agent and each Lender.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Internal Revenue Code to which Section 4975 of the Internal Revenue Code applies, and (c) any Person whose assets include (for purposes of the Plan Asset Regulations or otherwise for purposes of Title I of ERISA or Section 4975 of the Internal Revenue Code) the assets of any such “employee benefit plan” or “plan”.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Blocked Person</w:t>
      </w:r>
      <w:r>
        <w:rPr>
          <w:rFonts w:ascii="Times New Roman" w:cs="Times New Roman" w:eastAsia="Times New Roman" w:hAnsi="Times New Roman"/>
          <w:sz w:val="18"/>
          <w:szCs w:val="18"/>
          <w:color w:val="auto"/>
        </w:rPr>
        <w:t xml:space="preserve">” means any Person: (a) that is publicly identified (i) on the most current list of “Specially Designated Nationals and Blocked Persons” published by OFAC or resides, is organized or chartered, or has a place of business in a country or territory subject to an OFAC comprehensive sanctions or embargo program (as of the date of this Agreement, Cuba, Iran, North Korea, Syria, the Crimea region of Ukraine, and the so-called Donetsk People’s Republic (DNR) and Luhansk People’s Republic (LNR) regions of Ukraine) or (ii) that is prohibited from doing business with the United States under the International Emergency Economic Powers Act, the Trading With the Enemy Act, or any other Anti-Terrorism Law; (b) that is owned 50.0% or more or controlled by or that is acting for or on behalf of, any Person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(c) that any Lender is prohibited from dealing or otherwise engaging in any transaction by any Anti-Terrorism 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Owl</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BRIUMVI</w:t>
      </w:r>
      <w:r>
        <w:rPr>
          <w:rFonts w:ascii="Times New Roman" w:cs="Times New Roman" w:eastAsia="Times New Roman" w:hAnsi="Times New Roman"/>
          <w:sz w:val="18"/>
          <w:szCs w:val="18"/>
          <w:color w:val="auto"/>
        </w:rPr>
        <w:t xml:space="preserve">” means any product containing, whether alone or with any other active ingredient, (a) Borrower’s and its Subsidiaries’ anti-CD20 monoclonal antibody known as BRIUMVI™ (formerly known as ublituximab-xiiy), the sequence of which is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(b) antibodies or binding agents comprising the CDR sequences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 xml:space="preserve"> hereto, (c) antigen-binding fragments of the product of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 antibodies or binding agents incorporating one or more antigen-binding fragments of the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(e) all forms, presentations, formulations or dosage forms of the product described in the preceding clauses (a), (b), (c), or (d).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BRIUMVI License Agreement</w:t>
      </w:r>
      <w:r>
        <w:rPr>
          <w:rFonts w:ascii="Times New Roman" w:cs="Times New Roman" w:eastAsia="Times New Roman" w:hAnsi="Times New Roman"/>
          <w:sz w:val="18"/>
          <w:szCs w:val="18"/>
          <w:color w:val="auto"/>
        </w:rPr>
        <w:t>” means that certain Exclusive License Agreement, dated as of January 30, 2012 by and among, GTC Biotherapeutics, Inc., LFB Biotechnologies, S.A.S. (“</w:t>
      </w:r>
      <w:r>
        <w:rPr>
          <w:rFonts w:ascii="Times New Roman" w:cs="Times New Roman" w:eastAsia="Times New Roman" w:hAnsi="Times New Roman"/>
          <w:sz w:val="18"/>
          <w:szCs w:val="18"/>
          <w:u w:val="single" w:color="auto"/>
          <w:color w:val="auto"/>
        </w:rPr>
        <w:t>LFB</w:t>
      </w:r>
      <w:r>
        <w:rPr>
          <w:rFonts w:ascii="Times New Roman" w:cs="Times New Roman" w:eastAsia="Times New Roman" w:hAnsi="Times New Roman"/>
          <w:sz w:val="18"/>
          <w:szCs w:val="18"/>
          <w:color w:val="auto"/>
        </w:rPr>
        <w:t>”), LFB/GTC LLC and Borrower, as amended by Amendment No. 1 to Schedule 4 of the Exclusive License Agreement dated as of August 16, 2022, Amendment to Section 2.2.1 of Exclusive License Agreement dated as of June 30, 2023 and Amendment to Section 5.3 of Exclusive License Agreement dated as of June 30, 2023, and as may be further amended, restated or otherwise modified from time to time to the extent permitted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any other day on which the Federal Reserve Bank of New York is closed.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as applied to any Person, any lease of any property (whether real, personal or mixed) by that Person (a) as lessee that, in conformity with GAAP, is or should be accounted for as a capital lease on the balance sheet of that Person or (b) as lessee that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means any and all shares, interests, participations or other equivalents (however designated) of capital stock of a company or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Capital Stock shall exclude debt securities and other Indebtedness convertible into or exchangeable for any of the foregoing (</w:t>
      </w:r>
      <w:r>
        <w:rPr>
          <w:rFonts w:ascii="Times New Roman" w:cs="Times New Roman" w:eastAsia="Times New Roman" w:hAnsi="Times New Roman"/>
          <w:sz w:val="18"/>
          <w:szCs w:val="18"/>
          <w:u w:val="single" w:color="auto"/>
          <w:color w:val="0000FF"/>
        </w:rPr>
        <w:t>or for other securities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property following a merger event or other similar change), cash or any combination thereof (with the amount of such cash or such combination determined by reference to the market price of such capital stock, ownership interests or such other securities) (</w:t>
      </w:r>
      <w:r>
        <w:rPr>
          <w:rFonts w:ascii="Times New Roman" w:cs="Times New Roman" w:eastAsia="Times New Roman" w:hAnsi="Times New Roman"/>
          <w:sz w:val="18"/>
          <w:szCs w:val="18"/>
          <w:color w:val="000000"/>
        </w:rPr>
        <w:t>including without limitation, Permitted Convertible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Indebtedness).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money, currency or a credit balance in any demand or Deposit Account.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and (e) shares of any money market mutual fund that (i) has substantially all of its assets invested continuously in the types of investments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(ii) has net assets of not less than $500,000,000, and (iii) has the highest rating obtainable from either S&amp;P or Moody’s.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at any time, any of the following occurrences:</w:t>
      </w:r>
    </w:p>
    <w:p>
      <w:pPr>
        <w:spacing w:after="0" w:line="225" w:lineRule="exact"/>
        <w:rPr>
          <w:sz w:val="20"/>
          <w:szCs w:val="20"/>
          <w:color w:val="auto"/>
        </w:rPr>
      </w:pPr>
    </w:p>
    <w:p>
      <w:pPr>
        <w:jc w:val="both"/>
        <w:ind w:firstLine="656"/>
        <w:spacing w:after="0" w:line="256" w:lineRule="auto"/>
        <w:tabs>
          <w:tab w:leader="none" w:pos="14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(i) shall have acquired beneficial ownership of 35% or more on a fully diluted basis of the voting 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“fundamental change” or similar event shall occur under, and as defined in or set forth in the documents evidencing or governing the Capital Stock of Borrower, any agreement evidencing any Royalty Monetization Transaction, any Permitted Convertible Indebtedness or any other Indebtedness in an aggregate principal amount of $10,000,000 or more of Borrower or any of its Subsidiaries, in each case to the extent any repayment or payment obligation would result in connection with the occurrence of such event; or</w:t>
      </w:r>
    </w:p>
    <w:p>
      <w:pPr>
        <w:spacing w:after="0" w:line="179"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firstLine="656"/>
        <w:spacing w:after="0" w:line="282" w:lineRule="auto"/>
        <w:tabs>
          <w:tab w:leader="none" w:pos="13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cease to beneficially own and control 100% on a fully diluted basis of the economic and voting interest in the Capital Stock of each other Loan Party free and clear of any Lien other than the Lien granted to the Administrative Agent for the benefit of the Secured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this Agreement becomes effective, which is August 2,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xml:space="preserve">” means a Closing Date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means the repayment of all outstanding Indebtedness under that certain Loan and Security Agreement, dated as of February 28, 2019, by and among the Borrower, certain of the Borrower’s Subsidiaries, the several banks and other financial institutions or entities from time to time thereto and Hercules Capital, Inc., a Maryland corporation, as amended, and the termination of all guarantees, Liens and other security interests granted thereunder.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Pledge and Security Agreement, any Control Agreement, any Mortgages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the distribution, marketing, detailing, promotion, selling and securing of reimbursement of a Product (including the using, importing, selling and offering for sale of such Product), and shall include post-launch marketing, promoting, detailing, distributing, selling such Product, importing, exporting or transporting such Product for sale, and regulatory compliance with respect to the foregoing. When used as a verb,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shall mean to engage in Commercialization. Commercialization shall not include any activities directed to the development or manufacture of a Product.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Borrower’s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Product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and other technical, administrative or operational matters) that Administrative Agent, in consultation with Borrower, decides may be appropriate to reflect the adoption and implementation of any such rate or to permit the use and administration thereof by Administrative Agent in a manner substantially consistent with market practice (or, if Administrative Agent, in consultation with Borrower, decides that adoption of any portion of such market practice is not administratively feasible or if Administrative Agent, in consultation with Borrower, determines that no market practice for the administration of any such rate exists, in such other manner of administration as Administrative Agent, in consultation with Borrower, decides is reasonably necessary in connection with the administration of this Agreement and the other Loan Documents).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total assets of the Loan Parties and their Subsidiaries calculated in accordance with GAAP on a consolidated basis.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Date</w:t>
      </w:r>
      <w:r>
        <w:rPr>
          <w:rFonts w:ascii="Times New Roman" w:cs="Times New Roman" w:eastAsia="Times New Roman" w:hAnsi="Times New Roman"/>
          <w:sz w:val="18"/>
          <w:szCs w:val="18"/>
          <w:color w:val="auto"/>
        </w:rPr>
        <w:t>” means the effective date of a continuation or conversion, as the case may be, as set forth in the applicable Conversion/Continuation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Conversion/Continuation Notice</w:t>
      </w:r>
      <w:r>
        <w:rPr>
          <w:rFonts w:ascii="Times New Roman" w:cs="Times New Roman" w:eastAsia="Times New Roman" w:hAnsi="Times New Roman"/>
          <w:sz w:val="18"/>
          <w:szCs w:val="18"/>
          <w:color w:val="auto"/>
        </w:rPr>
        <w:t xml:space="preserve">” means a Conversion/Continuation Notice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Date</w:t>
      </w:r>
      <w:r>
        <w:rPr>
          <w:rFonts w:ascii="Times New Roman" w:cs="Times New Roman" w:eastAsia="Times New Roman" w:hAnsi="Times New Roman"/>
          <w:sz w:val="18"/>
          <w:szCs w:val="18"/>
          <w:color w:val="auto"/>
        </w:rPr>
        <w:t>” means the date of a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the making of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 or any Subsidiary’s products and the visitors to websites owned or controlled by Borrower or any of its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General Data Protection Regulation (and all laws implementing or supplementing it), the California Consumer Privacy Act, and Section 5 of the Federal Trade Commission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w:t>
      </w:r>
      <w:r>
        <w:rPr>
          <w:rFonts w:ascii="Times New Roman" w:cs="Times New Roman" w:eastAsia="Times New Roman" w:hAnsi="Times New Roman"/>
          <w:sz w:val="18"/>
          <w:szCs w:val="18"/>
          <w:color w:val="auto"/>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 condition or event that, after notice or lapse of time or both, would constitute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Excess</w:t>
      </w:r>
      <w:r>
        <w:rPr>
          <w:rFonts w:ascii="Times New Roman" w:cs="Times New Roman" w:eastAsia="Times New Roman" w:hAnsi="Times New Roman"/>
          <w:sz w:val="18"/>
          <w:szCs w:val="18"/>
          <w:color w:val="auto"/>
        </w:rPr>
        <w:t>” 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Period</w:t>
      </w:r>
      <w:r>
        <w:rPr>
          <w:rFonts w:ascii="Times New Roman" w:cs="Times New Roman" w:eastAsia="Times New Roman" w:hAnsi="Times New Roman"/>
          <w:sz w:val="18"/>
          <w:szCs w:val="18"/>
          <w:color w:val="auto"/>
        </w:rPr>
        <w:t xml:space="preserve">” means, with respect to any Defaulting Lender, the period commencing on the date of the applicable Funding Default or violation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as applicable, and ending on the earliest of the following dates: (a) the date on which all Term Loan Commitments are cancelled or terminated or the Obligations are declared or become immediately due and payable, (b) the date on which (i)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by a combination thereof), and (ii) such Defaulting Lender shall have delivered to Borrower and Administrative Agent a written reaffirmation of its intention to honor its obligations hereunder with respect to its Term Loan Commitments, (c) the date on which Borrower, Administrative Agent and Required Lenders waive all Funding Defaults of such Defaulting Lender in writing, and (d) the date on which Administrative Agent shall have waived all violations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by such Defaulting Lender in writing.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any interest payable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prior to the date that is [***] days after the Term Loan Maturity Date and other than solely for Qualified Capital Stock or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provided further that Disqualified Capital Stock shall exclude Permitted Equity Derivatives.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any (i) Person identified in writing to Administrative Agent prior to the Closing Date (or after the Closing Date, by written notice to the Administrative Agent, to identify any merger, name changes, business combination or transaction related to any applicable Person so as to be able to identify such Person going forward), together with any Affiliates of such Person that are (1) identified by the Borrower in writing prior to the Closing Date (or after the Closing Date, by written notice to the Administrative Agent, to identify any merger, name changes, business combination or transaction related to any applicable Person so as to be able to identify such Person going forward) or (2) clearly identifiable on the basis of such affiliate’s name and (ii) Person identified in writing by or on behalf of the Borrower to the Administrative Agent after the Closing Date if such designation is acceptable to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any Lender, any Affiliate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and (c) any other Person (other than a natural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Borrower nor any Affiliate of Borrower shall, in any event, be an Eligible Assignee.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 or any successor agency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as defined in Section 3(3) of ERISA that is or was sponsored, maintained or contributed to by, or required to be contributed by, Borrower, any of its Subsidiaries or any of their respective ERISA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complaint, summons, citation, investigation, notice, directive, notice of violation, order, claim, demand, action, litigation, judicial or administrative proceeding, judgment, letter or other communication from any Governmental Authority or any other Person, involving</w:t>
      </w:r>
    </w:p>
    <w:p>
      <w:pPr>
        <w:jc w:val="both"/>
        <w:ind w:firstLine="8"/>
        <w:spacing w:after="0" w:line="252"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that received Hazardous Materials generated by any Loan Party or any of its Subsidiaries or any predecessor in interest.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 and Costs</w:t>
      </w:r>
      <w:r>
        <w:rPr>
          <w:rFonts w:ascii="Times New Roman" w:cs="Times New Roman" w:eastAsia="Times New Roman" w:hAnsi="Times New Roman"/>
          <w:sz w:val="18"/>
          <w:szCs w:val="18"/>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any Lien in favor of any Governmental Authority for Environmental Liabilities and Costs.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as applied to any Person, (a) any corporation that is a member of a controlled group of corporations within the meaning of Section 414(b) of the Internal Revenue Code of which that Person is a member; (b) any trade or business (whether or not incorporated) that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any trade or business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would be liable under the Internal Revenue Code or ERISA.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provision for thirty day notice to the PBGC has been waived by regulation), (b) the failure to meet the minimum funding standard of Section 412 of the Internal Revenue Code with respect to any Pension Plan (whether or not waived in accordance with Section 412(c) of the Internal Revenue Code) or the failure to make by its due date a required installment under Section 430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ERISA Affiliates pursuant to Section 4063 or 4064 of ERISA, (e) the institution by the PBGC of proceedings to terminate any Pension Plan, or the occurrence of any event or condition that might constitute grounds under ERISA for the termination of, or the appointment of a trustee to administer, any Pension Plan,</w:t>
      </w:r>
    </w:p>
    <w:p>
      <w:pPr>
        <w:spacing w:after="0" w:line="5" w:lineRule="exact"/>
        <w:rPr>
          <w:sz w:val="20"/>
          <w:szCs w:val="20"/>
          <w:color w:val="auto"/>
        </w:rPr>
      </w:pPr>
    </w:p>
    <w:p>
      <w:pPr>
        <w:jc w:val="both"/>
        <w:ind w:firstLine="8"/>
        <w:spacing w:after="0" w:line="251" w:lineRule="auto"/>
        <w:tabs>
          <w:tab w:leader="none" w:pos="2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material liability therefor, or the receipt by Borrower, any of its Subsidiaries or any of their respective ERISA Affiliates of notice from any Multiemployer Plan that it is in insolvency pursuant to Section 4245 of ERISA, or that it intends to terminate or has terminated under Section 4041A or 4042 of ERISA, (h) the occurrence of an act or omission that would reasonably be expected to give rise to the imposition on Borrower, any of its Subsidiaries or any of their respective ERISA Affiliates of fines, penalties, taxes or related charges under Chapter 43 of the Internal Revenue Code or under Section 502(c), (i) or (l),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(k) the imposition of a Lien pursuant to Section 430(k) of the Internal Revenue Code or pursuant to ERISA with respect to any Pension Plan; or (l) the assertion of a material claim (other than routine claims for benefits) against any Employee Benefit Plan or the assets thereof, or against Borrower, any of its Subsidiaries in connection with any Employee Benefit Plan.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each of the conditions or events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means Deposit Accounts, (a) the balance of which 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that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constituting (and the balance of which consists solely of funds set aside in connection with) fiduciary accounts, escrow accounts and trust accounts, (e) any other Deposit Accounts that have amounts on deposit that do not exceed $[***] individually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the aggregate at any one time, and (f) that are exclusively holding cash collateral or other deposits constituting Liens permitted by </w:t>
      </w:r>
      <w:r>
        <w:rPr>
          <w:rFonts w:ascii="Times New Roman" w:cs="Times New Roman" w:eastAsia="Times New Roman" w:hAnsi="Times New Roman"/>
          <w:sz w:val="18"/>
          <w:szCs w:val="18"/>
          <w:u w:val="single" w:color="auto"/>
          <w:color w:val="auto"/>
        </w:rPr>
        <w:t>clauses (g)</w:t>
      </w:r>
      <w:r>
        <w:rPr>
          <w:rFonts w:ascii="Times New Roman" w:cs="Times New Roman" w:eastAsia="Times New Roman" w:hAnsi="Times New Roman"/>
          <w:sz w:val="18"/>
          <w:szCs w:val="18"/>
          <w:color w:val="auto"/>
        </w:rPr>
        <w:t xml:space="preserve"> and</w:t>
      </w:r>
    </w:p>
    <w:p>
      <w:pPr>
        <w:spacing w:after="0" w:line="6"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Permitted Liens.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not-for-profit Subsidiary, (b) any captive insurance entity, (c) any merger Subsidiary formed in connection with a Permitted Acquisition so long as such merger Subsidiary is merged out of existence pursuant to such Permitted Acquisition or dissolved within [***] days of its formation thereof or such later date as permitted by Administrative Agent in its reasonable discretion, (d) any Immaterial Subsidiary, and (e) any Subsidiary that is prohibited or restricted by any Requirement of Law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 Notwithstanding the foregoing, no Subsidiary that is (i) party to any Royalty Monetization Transaction or (ii) holds material intellectual property shall be an “Excluded Subsidiary”.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hereunder pursuant to a law in effect on the date on which (i) such Lender acquires such interest in such commitment (or, in the case of Loan not funded by such Lender pursuant to a prior commitment, acquires such interest in such Loan), other than pursuant to an assignment request by the Borrower under Section 2.21(b) or (ii) such Lender changes its lending office, except in each case to the extent that, pursuant to Section 2.18, amounts with respect to such Taxes were payable either to such Lender’s assignor immediately before such Lender acquired the applicable interest in such commitment or Loan (as applicable) or to such Lender immediately before it changed its lending office, (c) Taxes attributable to such Recipient’s failure to comply with Section 2.15(d), and (d) any withholding Taxes imposed under FATCA.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in effect as of the date of this Agreement (or any amended or successor version that is substantively comparable and not materially more onerous to comply with), and any current or future regulations or official interpretations thereof and any agreements entered into pursuant to current Section 1471(b)(1) of the Internal Revenue Code (or any amended or successor version described above) and any intergovernmental agreement, treaty or convention among Governmental Authorities (and any related laws, regulations or other official administrative guidance) implementing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Laws</w:t>
      </w:r>
      <w:r>
        <w:rPr>
          <w:rFonts w:ascii="Times New Roman" w:cs="Times New Roman" w:eastAsia="Times New Roman" w:hAnsi="Times New Roman"/>
          <w:sz w:val="18"/>
          <w:szCs w:val="18"/>
          <w:color w:val="auto"/>
        </w:rPr>
        <w:t>” means all applicable statutes, rules, regulations, orders and Requirements of Law administered, implemented, enforced or issued by FDA or any comparable Governmental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day is not a Business Day, the Federal Funds Rate for such day shall be such rate on such transactions on the next preceding Business Day as so published on the next succeeding Business Day.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Health Care Programs</w:t>
      </w:r>
      <w:r>
        <w:rPr>
          <w:rFonts w:ascii="Times New Roman" w:cs="Times New Roman" w:eastAsia="Times New Roman" w:hAnsi="Times New Roman"/>
          <w:sz w:val="18"/>
          <w:szCs w:val="18"/>
          <w:color w:val="auto"/>
        </w:rPr>
        <w:t>” shall mean the Medicare, Medicaid and TRICARE programs and any other state or federal government health care program, as defined in 42 U.S.C. § 1320a-7b(f).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Fee Letters</w:t>
      </w:r>
      <w:r>
        <w:rPr>
          <w:rFonts w:ascii="Times New Roman" w:cs="Times New Roman" w:eastAsia="Times New Roman" w:hAnsi="Times New Roman"/>
          <w:sz w:val="18"/>
          <w:szCs w:val="18"/>
          <w:color w:val="FF0000"/>
          <w:strike w:val="1"/>
        </w:rPr>
        <w:t>” means,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means that certain First Amendment Agreement, dated as of March 18, 2026, by and among the Borrower, the Guarantors party thereto, the Lenders (as defined therein) party thereto and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has the meaning provided for in the First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“First Amendment Fee Letters” means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Borrower and its Subsidiaries ending on December 31 of each calendar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one percent (1.00%).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 of Funds Agreement</w:t>
      </w:r>
      <w:r>
        <w:rPr>
          <w:rFonts w:ascii="Times New Roman" w:cs="Times New Roman" w:eastAsia="Times New Roman" w:hAnsi="Times New Roman"/>
          <w:sz w:val="18"/>
          <w:szCs w:val="18"/>
          <w:color w:val="auto"/>
        </w:rPr>
        <w:t xml:space="preserve">” means that certain Flow of Funds Agreement, dated as of the Closing Date, duly executed by Borrower, Administrative Agent, and any other person party thereto, in form and substance reasonably satisfactory to Administrative Agent, in connection with the disbursement of Loan proceeds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Official</w:t>
      </w:r>
      <w:r>
        <w:rPr>
          <w:rFonts w:ascii="Times New Roman" w:cs="Times New Roman" w:eastAsia="Times New Roman" w:hAnsi="Times New Roman"/>
          <w:sz w:val="18"/>
          <w:szCs w:val="18"/>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Sovereign Immunities Act</w:t>
      </w:r>
      <w:r>
        <w:rPr>
          <w:rFonts w:ascii="Times New Roman" w:cs="Times New Roman" w:eastAsia="Times New Roman" w:hAnsi="Times New Roman"/>
          <w:sz w:val="18"/>
          <w:szCs w:val="18"/>
          <w:color w:val="auto"/>
        </w:rPr>
        <w:t>” means the US Foreign Sovereign Immunities Act of 1976 (28 U.S.C. Sections 1602-1611).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xml:space="preserve">” means a written notice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subject to the limitations on the application thereof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United States generally accepted accounting principles in effect as of the date of determination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or a foreign entity or government.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license, authorization, clearance, approval, Registration, plan, directive, consent order or consent decree of or from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has the meaning specified in the Pledge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Subsidiary of Borrower and each other Person that guarantees,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all or any part of the Obligations. For the avoidance of doubt, no Excluded Subsidiary shall be required to become a Guarantor except at the election of Borrower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Subsidiary</w:t>
      </w:r>
      <w:r>
        <w:rPr>
          <w:rFonts w:ascii="Times New Roman" w:cs="Times New Roman" w:eastAsia="Times New Roman" w:hAnsi="Times New Roman"/>
          <w:sz w:val="18"/>
          <w:szCs w:val="18"/>
          <w:color w:val="auto"/>
        </w:rPr>
        <w:t>” means each Guarantor.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the guaranty of each Guarantor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(b) each other guaranty, in form and substance satisfactory to Administrative Agent, made by any other Guarantor for the benefit of the Secured Parties guaranteeing all or part of the Obligations.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HCR</w:t>
      </w:r>
      <w:r>
        <w:rPr>
          <w:rFonts w:ascii="Times New Roman" w:cs="Times New Roman" w:eastAsia="Times New Roman" w:hAnsi="Times New Roman"/>
          <w:sz w:val="18"/>
          <w:szCs w:val="18"/>
          <w:color w:val="FF0000"/>
          <w:strike w:val="1"/>
        </w:rPr>
        <w:t>” means Healthcare Royalty, Inc.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Laws</w:t>
      </w:r>
      <w:r>
        <w:rPr>
          <w:rFonts w:ascii="Times New Roman" w:cs="Times New Roman" w:eastAsia="Times New Roman" w:hAnsi="Times New Roman"/>
          <w:sz w:val="18"/>
          <w:szCs w:val="18"/>
          <w:color w:val="auto"/>
        </w:rPr>
        <w:t>” means collectively, (a) Title XVIII of the Social Security Act, 42 U.S.C. §§ 1395-1395hhh (the Medicare statute); (b) Title XIX of the Social Security Act, 42 U.S.C. §§ 1396-1396y (the Medicaid statute); (c) the Federal Anti-Kickback Statute, 42 U.S.C. § 1320a-7b(b); (d) the civil False Claims Act, 31 U.S.C. §§ 3729 et seq.; (e) the criminal False Claims Act, 42 U.S.C. § 1320a-7b(a); (f) criminal laws relating to health care fraud and abuse, including but not limited to 18 U.S.C. §§ 286 and 287; (g) the criminal fraud provisions under HIPAA; (h) the Civil Monetary Penalties law, 42 U.S.C. §§ 1320a-7a and 1320a-7b; (i) the U.S. Physician Payments Sunshine Act, 42 U.S.C. § 1320-7h; (j) the Exclusion Law, 42 U.S.C. § 1320a-7; (k) Requirements of Law regarding the collection and reporting requirements, and the processing of any applicable rebate, chargeback or adjustment, under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(l) comparable state Requirements of Law and other Requirements of Law that directly or indirectly govern the distribution, sale or promotion of any drug or biologic; and (m) each as amended and the regulations promulgated thereunder.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the maximum lawful interest rate, if any, that at any time or from time to time may be contracted for, charged, or received under the laws applicable to any Lender that are presently in effect or, to the extent allowed by law, under such applicable laws that may hereafter be in effect and that allow a higher maximum non-usurious interest rate than applicable laws now allow.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or security of patient-identifying health care information, including with respect to notification of breach of privacy or security of such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means as of the Closing Date, (a) the audited financial statements of Borrower and its Subsidiaries, for the Fiscal Year ended December 31, 2023, consisting of balance sheets and the related consolidated statements of income, stockholders’ equity and cash flows for such Fiscal Year, and (b) the financial statements of Borrower and its Subsidiaries for the Fiscal Quarter ended March 31, 2024, consisting of balance sheets and the related consolidated statements of income, stockholders’ equity and cash flows for such Fiscal Quarter.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any Subsidiary that (i) had assets representing [***]% or less of the total assets of Borrower and its Subsidiaries, determined on a consolidated basis in accordance with GAAP, as of the last day of the most recent Fiscal Quarter for which financial statements have been, or were required to be, delivered pursuant to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xml:space="preserve">”) and (ii) contributed [***]% or less of the total revenues of Borrower and its Subsidiaries, for the Fiscal Quarter ended on the Test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at any time and from time to time after the Closing Date, Subsidiaries that are not Loan Parties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Excluded Subsidiaries comprise in the aggregate more than [***]% of the total assets of Borrower and its Subsidiaries as of the Test Date or contribute more than [***]% of the total revenues of Borrower and its Subsidiaries for the Fiscal Quarter ended on the Test Date or have Cash and Cash Equivalents in excess of [***] as of the Test Date, then Borrower shall, not later than [***] days after the date by which financial statements for such period are required to be delivered (or such longer period as the Administrative Agent may agree in its sole discretion in writing), designate in writing to Administrative Agent that one or more of such Subsidiaries is no longer an Excluded Subsidiary for purposes of this Agreement to the extent required such that the foregoing condition ceases to be true.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the primary purpose or intent thereof is as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(k) all obligations of such Person in respect of any exchange traded or over the counter derivative transaction, including, without limitation, any Hedging Agreement, whether entered into for hedging or speculative purposes, (l) Disqualified Capital Stock, and (m) all obligations in respect of Royalty Monetization Transactions.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(v) deferred compensation and severance, and, solely to the extent such obligations are properly classified as liabilities on a balance sheet in conformity with GAAP, pension, retiree welfare and equivalent benefits or any deferred obligations incurred under ERISA, (vi) purchase price adjustments or earn outs or other contingent payments of a similar nature (including any non-compete payments and consulting payments) made in connection with any Investment or other acquisitions, mergers, amalgamations, or similar transaction, in each case, to the extent such obligations have not become due and payable and not been paid within 5 Business Days (unless such obligation is subject to a good faith dispute contested by appropriate proceedings) of such obligation becoming due and payable (provided that deferred payments that are fixed or not subject to a bona fide contingency shall constitute Indebtedness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(vii) non-compete or consulting obligations incurred in connection with Investments or other acquisitions, mergers, amalgamations, or similar transaction, until such obligations become a liability on the balance sheet of such Person in accordance with GAAP, (viii) unsecured installment payments or the deferred purchase price of property or services to the extent payable solely in Qualified Capital Stock of such Person, and (ix) purchase price holdbacks in respect of a portion of the purchase price of an asset to satisfy unperformed obligations of the seller of such asset.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means, collectively, any and all liabilities (including Environmental Liabilities and Costs),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and documented out-of-pocket fees and disbursements of counsel pursuant to </w:t>
      </w:r>
      <w:r>
        <w:rPr>
          <w:rFonts w:ascii="Times New Roman" w:cs="Times New Roman" w:eastAsia="Times New Roman" w:hAnsi="Times New Roman"/>
          <w:sz w:val="18"/>
          <w:szCs w:val="18"/>
          <w:u w:val="single" w:color="auto"/>
          <w:color w:val="auto"/>
        </w:rPr>
        <w:t>Sections 10.2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 (a) 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proposal letter delivered by any Lender to Borrower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Funding Date</w:t>
      </w:r>
      <w:r>
        <w:rPr>
          <w:rFonts w:ascii="Times New Roman" w:cs="Times New Roman" w:eastAsia="Times New Roman" w:hAnsi="Times New Roman"/>
          <w:sz w:val="18"/>
          <w:szCs w:val="18"/>
          <w:color w:val="auto"/>
        </w:rPr>
        <w:t>” means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w:t>
      </w:r>
      <w:r>
        <w:rPr>
          <w:rFonts w:ascii="Times New Roman" w:cs="Times New Roman" w:eastAsia="Times New Roman" w:hAnsi="Times New Roman"/>
          <w:sz w:val="18"/>
          <w:szCs w:val="18"/>
          <w:color w:val="auto"/>
        </w:rPr>
        <w:t xml:space="preserve">” means the Term Loan funded on the Initial Funding Date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“Initial Term Loan Commitments” means the commitment of a Lender to make or otherwise fund the Initial Term Loan and “Initial Term Loan Commitments” means such commitments of all such Lenders in the aggregate. The aggregate amount of the Initial Term Loan Commitments as of the First Amendment Effective Date is $0.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any proceeding commenced by or against any Person under any provision of any Debtor Relief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specified in the Pledge and Security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rights, title and interests in and to all intellectual property rights of every kind and nature however denominated, as they exist throughout the world, including</w:t>
      </w:r>
      <w:r>
        <w:rPr>
          <w:rFonts w:ascii="Times New Roman" w:cs="Times New Roman" w:eastAsia="Times New Roman" w:hAnsi="Times New Roman"/>
          <w:sz w:val="18"/>
          <w:szCs w:val="18"/>
          <w:u w:val="single" w:color="auto"/>
          <w:color w:val="auto"/>
        </w:rPr>
        <w:t>:</w:t>
      </w:r>
    </w:p>
    <w:p>
      <w:pPr>
        <w:spacing w:after="0" w:line="162" w:lineRule="exact"/>
        <w:rPr>
          <w:sz w:val="20"/>
          <w:szCs w:val="20"/>
          <w:color w:val="auto"/>
        </w:rPr>
      </w:pPr>
    </w:p>
    <w:p>
      <w:pPr>
        <w:ind w:left="1900" w:hanging="596"/>
        <w:spacing w:after="0"/>
        <w:tabs>
          <w:tab w:leader="none" w:pos="1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13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trade names, service marks, brands, trade dress and logos, packaging design, slogans, domain names and the goodwill and activities associated therewith;</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Know-How;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means that certain Intercompany Subordination Agreement, dated as of the Closing Date, made by the Loan Parties and their Subsidiaries in favor of Administrative Agent for the benefit of the Secured Parties.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Business Day of each Fiscal Quarter, commencing on the first such date to occur after the Closing Date, (b) with respect to any SOFR Loan, the last Business Day of each Fiscal Quarter, commencing on the first such date to occur after the Closing Date, and (c) with respect to each Loan, the final maturity date of the Loans (whether by scheduled maturity, acceleration or otherwise).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in connection with a SOFR Loan, an interest period of three months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18"/>
          <w:szCs w:val="18"/>
          <w:u w:val="single" w:color="auto"/>
          <w:color w:val="auto"/>
        </w:rPr>
        <w:t>clauses (b)(iii)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of this definition, end on the last Business Day of a calendar month, and (iii) no Interest Period with respect to any portion of any Term Loan shall extend beyond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Interest Period for any SOFR Loan to be made on the Initial Funding Date may, at the Borrower’s option, end on September 30,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Determination Date</w:t>
      </w:r>
      <w:r>
        <w:rPr>
          <w:rFonts w:ascii="Times New Roman" w:cs="Times New Roman" w:eastAsia="Times New Roman" w:hAnsi="Times New Roman"/>
          <w:sz w:val="18"/>
          <w:szCs w:val="18"/>
          <w:color w:val="auto"/>
        </w:rPr>
        <w:t>” means, with respect to any Interest Period, the date that is two Business Days prior to the first day of such Interest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xml:space="preserve">” means a joint venture, partnership or other similar arrangement, whether in corporate, partnership or other legal form, in which Borrower or any of its Subsidiaries holds any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no event shall any corporate Subsidiary of any Person be considered to be a Joint Venture to which such Person is a party.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information and materials, including discoveries, improvements, processes, methods, protocols, formulations formulas, data (including pharmacological, toxicological, non-clinical data, clinical data, analytical and quality control data, manufacturing data and descriptions, market data, financial data or descriptions), inventions, assays, chemical formulations, specifications, practices, procedures, technology, techniques, designs, drawings, correspondence, computer programs, documents, results, strategies, regulatory documentation, information and submissions pertaining to, or made in association with, filings with any Governmental Authority, research in progress, algorithms, data, databases, data collections, chemical and biological materials, and the results of experimentation and testing, in each case, knowledge, know-how, trade secrets and the like, in written, electronic, oral or other tangible or intangible form, patentable or otherwise, that are not generally known or otherwise in the public domain.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as of any date of determination, the latest maturity date applicable to any Term Loan hereunder as of such date.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means, with respect to a Product, any third party to which Borrower or any of its Affiliates, directly or indirectly through multiple tiers, grants a license, a sublicense, or other right, in each case, to Commercialize such Product in any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Term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Account</w:t>
      </w:r>
      <w:r>
        <w:rPr>
          <w:rFonts w:ascii="Times New Roman" w:cs="Times New Roman" w:eastAsia="Times New Roman" w:hAnsi="Times New Roman"/>
          <w:sz w:val="18"/>
          <w:szCs w:val="18"/>
          <w:color w:val="auto"/>
        </w:rPr>
        <w:t>” means an account maintained hereunder by Administrative Agent on its books of account at the Payment Office, and with respect to Borrower, in which it will be charged with the Term Loan made to, and all other Obligations incurred by the Loan Parties.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means any of this Agreement, the Notes, if any, the Collateral Documents, the </w:t>
      </w:r>
      <w:r>
        <w:rPr>
          <w:rFonts w:ascii="Times New Roman" w:cs="Times New Roman" w:eastAsia="Times New Roman" w:hAnsi="Times New Roman"/>
          <w:sz w:val="18"/>
          <w:szCs w:val="18"/>
          <w:color w:val="FF0000"/>
          <w:strike w:val="1"/>
        </w:rPr>
        <w:t>Fee Letters, the</w:t>
      </w:r>
      <w:r>
        <w:rPr>
          <w:rFonts w:ascii="Times New Roman" w:cs="Times New Roman" w:eastAsia="Times New Roman" w:hAnsi="Times New Roman"/>
          <w:sz w:val="18"/>
          <w:szCs w:val="18"/>
          <w:color w:val="auto"/>
        </w:rPr>
        <w:t xml:space="preserve"> Flow of Funds Agreement, any Guaranty, the Intercompany Subordination Agreement, the Perfection Certificate, </w:t>
      </w:r>
      <w:r>
        <w:rPr>
          <w:rFonts w:ascii="Times New Roman" w:cs="Times New Roman" w:eastAsia="Times New Roman" w:hAnsi="Times New Roman"/>
          <w:sz w:val="18"/>
          <w:szCs w:val="18"/>
          <w:u w:val="single" w:color="auto"/>
          <w:color w:val="0000FF"/>
        </w:rPr>
        <w:t>the First Amendment, the First Amendment Fee Letters,</w:t>
      </w:r>
      <w:r>
        <w:rPr>
          <w:rFonts w:ascii="Times New Roman" w:cs="Times New Roman" w:eastAsia="Times New Roman" w:hAnsi="Times New Roman"/>
          <w:sz w:val="18"/>
          <w:szCs w:val="18"/>
          <w:color w:val="auto"/>
        </w:rPr>
        <w:t xml:space="preserve"> any intercreditor agreement executed pursuant to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and all other documents, instruments or agreements executed and delivered by a Loan Party for the benefit of Administrative Agent or any Lender in connection 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Borrower 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specified in Regulation U of the Board of Governors of the Federal Reserve System as in effect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means, as of any date of determination, an amount equal to (a) the total number of issued and outstanding shares of Common Stock on such date, multiplied by (b) the arithmetic mean of the closing prices per share of such Common Stock on the NASDAQ exchange (or, if the primary listing of such capital stock is on another exchange, on such other exchange) for the fifteen (15) consecutive Trading Days immediately preceding such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w:t>
      </w:r>
    </w:p>
    <w:p>
      <w:pPr>
        <w:spacing w:after="0" w:line="1" w:lineRule="exact"/>
        <w:rPr>
          <w:sz w:val="20"/>
          <w:szCs w:val="20"/>
          <w:color w:val="auto"/>
        </w:rPr>
      </w:pPr>
    </w:p>
    <w:p>
      <w:pPr>
        <w:ind w:firstLine="8"/>
        <w:spacing w:after="0" w:line="260" w:lineRule="auto"/>
        <w:tabs>
          <w:tab w:leader="none" w:pos="2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means, collectively, (i) the BRIUMVI License Agreement, (ii) the agreements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hereto, (iii) any contract that is material to the development, manufacture or Commercialization of the Products and (iv) any other contract to which Borrower, or a Subsidiary of Borrower, as the case may be in the context in which used, is a party or any of the respective assets or properties (including, for the avoidance of doubt, the Product) of Borrower or such Subsidiary are bound or committed (other than the Loan Documents) for which any breach, violation, nonperformance or early cancellation by any party therein would have, individually or in the aggregate, a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Jurisdiction</w:t>
      </w:r>
      <w:r>
        <w:rPr>
          <w:rFonts w:ascii="Times New Roman" w:cs="Times New Roman" w:eastAsia="Times New Roman" w:hAnsi="Times New Roman"/>
          <w:sz w:val="18"/>
          <w:szCs w:val="18"/>
          <w:color w:val="auto"/>
        </w:rPr>
        <w:t xml:space="preserve">” means as of the date of determination, each or any (as applicable) of the U.S. and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fee-owned real property located in the United States that is owned by any Loan Party with a fair market value in excess of $[***] </w:t>
      </w:r>
      <w:r>
        <w:rPr>
          <w:rFonts w:ascii="Times New Roman" w:cs="Times New Roman" w:eastAsia="Times New Roman" w:hAnsi="Times New Roman"/>
          <w:sz w:val="18"/>
          <w:szCs w:val="18"/>
          <w:color w:val="FF0000"/>
        </w:rPr>
        <w:t>(at the time of acquisition, as reasonably estimated by the Borrower in good faith)</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-99695</wp:posOffset>
            </wp:positionV>
            <wp:extent cx="37725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72535"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xml:space="preserve">” means (i) any Liabilities arising from the violation of FDA Laws, Public Health Laws, Health Care Laws, and other applicable comparable Requirements of Law, or the terms, conditions of or requirements applicable to any Registrations (including costs of actions required under applicable Requirements of Law, including FDA Laws and Health Care Laws, or necessary to remedy any violation of any terms or conditions applicable to any Registrations), including, but not limited to, withdrawal of approval or licensure, recall, revocation, suspension, import, detention and seizure of any Product, and (ii) any loss of recurring annual revenues as a result of any loss, suspension or limitation of any Registrations, that, in the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exceed $[***] individually or $[***] in the aggregate, or (b) could reasonably be expected to result in a Material Adverse Effect.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(4) consecutive Fiscal Quarters of the Borrower and its Subsidiaries for which financial statements have been (or were required to have been) delivered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(or, prior to the first delivery of any such financial statements, the period of four (4) consecutive Fiscal Quarters of the Borrower and its Subsidiaries ended March 31,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Services, Inc.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shall mean, for any period, the consolidated net income (or loss) of the Borrower and its Subsidiaries for such period, determined on a consolidated basis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bona fide costs or expenses incurred in connection with such Asset Sale that are properly attributable to such Asset Sale and to the extent paid or payable to non-Affiliates, including [***], and (b) with respect to any insurance, condemnation, taking or other casualty proceeds, an amount equal to: (i) any Cash payments or proceeds received by Borrower or any of its Subsidiaries (A) under any [***]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including [***], and (c) with respect to any issuance of Capital Stock, the cash proceeds thereof, net of all Taxes and customary fees, commissions, costs, underwriting discounts and other fees and expenses incurred by Borrower or any Subsidiary in connection therewith.</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NIH</w:t>
      </w:r>
      <w:r>
        <w:rPr>
          <w:rFonts w:ascii="Times New Roman" w:cs="Times New Roman" w:eastAsia="Times New Roman" w:hAnsi="Times New Roman"/>
          <w:sz w:val="18"/>
          <w:szCs w:val="18"/>
          <w:color w:val="auto"/>
        </w:rPr>
        <w:t>” has the meaning specified in the definition of Public Health Laws.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 Product Intellectual Property Rights</w:t>
      </w:r>
      <w:r>
        <w:rPr>
          <w:rFonts w:ascii="Times New Roman" w:cs="Times New Roman" w:eastAsia="Times New Roman" w:hAnsi="Times New Roman"/>
          <w:sz w:val="18"/>
          <w:szCs w:val="18"/>
          <w:color w:val="auto"/>
        </w:rPr>
        <w:t>” means any and all Intellectual Property Rights non-exclusively licensed to, or purported to by non-exclusively licensed to, Borrower or its Affiliates that are necessary for Borrower or its Affiliates to develop, manufacture or Commercialize a Product.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evidencing the Initial Term Loan or an Incremental Term Loan,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means a Funding Notice or a Conversion/Continuation Notice.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obligations of every nature of each Loan Party and its Subsidiaries from time to time owed to Administrative Agent (including former Administrative Agents), the Lenders or any of them, under any Loan Document, whether for principal, interest (including interest that, but for the filing of a petition in bankruptcy with respect to such Loan Party, would have accrued on any Obligation, whether or not a claim is allowed against such Loan Party for such interest in the related bankruptcy proceeding), the Applicable Premium, the Prepayment Premium, Erroneous Payment Subrogation Rights, fees, expenses, indemnification or otherwise and whether primary, secondary, direct, indirect, contingent, fixed or otherwise (including obligations of performance).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the definition of “Anti-Terrorism Laws”.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Sanctions Programs</w:t>
      </w:r>
      <w:r>
        <w:rPr>
          <w:rFonts w:ascii="Times New Roman" w:cs="Times New Roman" w:eastAsia="Times New Roman" w:hAnsi="Times New Roman"/>
          <w:sz w:val="18"/>
          <w:szCs w:val="18"/>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corporation or company, its certificate of incorporation, its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u w:val="single" w:color="auto"/>
          <w:color w:val="0000FF"/>
        </w:rPr>
        <w:t>“Original Fee Letters” means [***].</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any connection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that extend the duration or any of the subject matter of a patent, and any substitution patent, confirmation patent or registration patent or patent of addition based on any such patent, and all foreign counterparts of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Office</w:t>
      </w:r>
      <w:r>
        <w:rPr>
          <w:rFonts w:ascii="Times New Roman" w:cs="Times New Roman" w:eastAsia="Times New Roman" w:hAnsi="Times New Roman"/>
          <w:sz w:val="18"/>
          <w:szCs w:val="18"/>
          <w:color w:val="auto"/>
        </w:rPr>
        <w:t>” means Administrative Agent’s office located at 399 Park Avenue,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or such other office or offices of Administrative Agent as may be designated in writing from time to time by Administrative Agent and Borrower.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Benefit Plan, other than a Multiemployer Plan, that is subject to Section 412 of the Internal Revenue Code, Section 302 of ERISA or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that certain Perfection Certificate dated as of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by Borrower or its Subsidiaries, whether by purchase, merger, in-licensing or otherwise, of all or substantially all of the assets of, a majority of the Capital Stock of, or a business line or unit or a division of, or Patents, royalty rights or similar or related assets of,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960" w:hanging="656"/>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thereto, no Event of Default shall have occurred and be continuing or would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therefrom;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ind w:firstLine="1304"/>
        <w:spacing w:after="0" w:line="282" w:lineRule="auto"/>
        <w:tabs>
          <w:tab w:leader="none" w:pos="201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therewith shall be consummated, in all material respects, in accordance with all applicable laws and in conformity with all applicable Governmental Authorizations;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100% by a Loan Party, and Borrower shall have taken, or caused to be taken, as of the date such Person becomes a Subsidiary, any actions required to be taken as of such date as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as applicable;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9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Subsidiaries shall, on a pro forma basis after giving effect to such acquisition, as of the last day of the Fiscal Quarter most recently ended, have not less than $[***] in Qualified Cash;</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with total cash consideration in excess of $[***], and solely to the extent reasonably available to Borrower, Borrower shall have delivered to Administrative Agent at least [***] Business Days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assets or division as acquired in such Permitted Acquisition shall be in the same business or lines of business in which Borrower or its Subsidiaries are engaged as of the Closing Date (or in lines of business reasonably related or incidental thereto, or such other lines of business as may be consented to by Administrative Agent (such consent not to be unreasonably withheld or delayed));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6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approved by the Board of Directors or other governing body or controlling Person of the Person acquired or the Person from whom such assets or division is acquired or a court of competent jurisdiction;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consideration (excluding any portion thereof paid with the proceeds of (i) Qualified Capital Stock received no more than [***] days before such acquisition (to the extent not previously utilized for the making of any other Permitted Investment or Restricted Junior Payment), (ii) any cash consideration in connection with unsecured earnouts that by their terms are not capable of becoming due and payable prior to the date that is [***] days after the Term Loan Maturity Date or (iii) [***]) paid or payable in connection with all such acquisitions shall not exceed [***].</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xml:space="preserve">” means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w:t>
      </w:r>
      <w:r>
        <w:rPr>
          <w:rFonts w:ascii="Times New Roman" w:cs="Times New Roman" w:eastAsia="Times New Roman" w:hAnsi="Times New Roman"/>
          <w:sz w:val="18"/>
          <w:szCs w:val="18"/>
          <w:u w:val="single" w:color="auto"/>
          <w:color w:val="0000FF"/>
        </w:rPr>
        <w:t>final drafts of</w:t>
      </w:r>
      <w:r>
        <w:rPr>
          <w:rFonts w:ascii="Times New Roman" w:cs="Times New Roman" w:eastAsia="Times New Roman" w:hAnsi="Times New Roman"/>
          <w:sz w:val="18"/>
          <w:szCs w:val="18"/>
          <w:color w:val="auto"/>
        </w:rPr>
        <w:t xml:space="preserve"> the documentation evidencing such Indebtedness shall have been delivered to Administrative Agent, together with a certificate of the chief financial officer of Borrower certifying that </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such Indebtedness constitutes Permitted Convertible Indebtedness, and shall be </w:t>
      </w:r>
      <w:r>
        <w:rPr>
          <w:rFonts w:ascii="Times New Roman" w:cs="Times New Roman" w:eastAsia="Times New Roman" w:hAnsi="Times New Roman"/>
          <w:sz w:val="18"/>
          <w:szCs w:val="18"/>
          <w:color w:val="FF0000"/>
          <w:strike w:val="1"/>
        </w:rPr>
        <w:t>subject to customary terms for similar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transactions in the public markets (</w:t>
      </w:r>
      <w:r>
        <w:rPr>
          <w:rFonts w:ascii="Times New Roman" w:cs="Times New Roman" w:eastAsia="Times New Roman" w:hAnsi="Times New Roman"/>
          <w:sz w:val="18"/>
          <w:szCs w:val="18"/>
          <w:u w:val="single" w:color="auto"/>
          <w:color w:val="0000FF"/>
        </w:rPr>
        <w:t>on current market terms, when taken as a whole,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determined by Borrower in good faith</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including all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following terms: (i) it shall be (and shall remain at all times) unsecured, (ii) it shall not have a scheduled maturity (and shall not have any scheduled amortization of principal) prior to the date that is [***] </w:t>
      </w:r>
      <w:r>
        <w:rPr>
          <w:rFonts w:ascii="Times New Roman" w:cs="Times New Roman" w:eastAsia="Times New Roman" w:hAnsi="Times New Roman"/>
          <w:sz w:val="18"/>
          <w:szCs w:val="18"/>
          <w:u w:val="single" w:color="auto"/>
          <w:color w:val="0000FF"/>
        </w:rPr>
        <w:t>days</w:t>
      </w:r>
      <w:r>
        <w:rPr>
          <w:rFonts w:ascii="Times New Roman" w:cs="Times New Roman" w:eastAsia="Times New Roman" w:hAnsi="Times New Roman"/>
          <w:sz w:val="18"/>
          <w:szCs w:val="18"/>
          <w:color w:val="000000"/>
        </w:rPr>
        <w:t xml:space="preserve"> after the Term Loan Maturity Date in effect at the time such Indebtedness is incurred, (iii) it shall not have any covenants (including covenants relating to incurrence of Indebtedness </w:t>
      </w:r>
      <w:r>
        <w:rPr>
          <w:rFonts w:ascii="Times New Roman" w:cs="Times New Roman" w:eastAsia="Times New Roman" w:hAnsi="Times New Roman"/>
          <w:sz w:val="18"/>
          <w:szCs w:val="18"/>
          <w:color w:val="0000FF"/>
        </w:rPr>
        <w:t>but excluding covenants related to reporting requirements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covenants relating to consolidations and mergers and sales, conveyances, transfers or leases of all or substantially all assets</w:t>
      </w:r>
      <w:r>
        <w:rPr>
          <w:rFonts w:ascii="Times New Roman" w:cs="Times New Roman" w:eastAsia="Times New Roman" w:hAnsi="Times New Roman"/>
          <w:sz w:val="18"/>
          <w:szCs w:val="18"/>
          <w:color w:val="000000"/>
        </w:rPr>
        <w:t>) that are more restrictive than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those set forth herein, (iv) it shall have no restrictions on Borrower’s ability to grant liens securing the Obligations, (v) it shall not prohibit the incurrence of the Obligations, (vi) it is not guaranteed by any Subsidiary, (vii) it shall bear a rate of interest </w:t>
      </w:r>
      <w:r>
        <w:rPr>
          <w:rFonts w:ascii="Times New Roman" w:cs="Times New Roman" w:eastAsia="Times New Roman" w:hAnsi="Times New Roman"/>
          <w:sz w:val="18"/>
          <w:szCs w:val="18"/>
          <w:color w:val="FF0000"/>
          <w:strike w:val="1"/>
        </w:rPr>
        <w:t>similar to other comparable convertible transactions in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public markets at the time of incurrence (as determined by Borrower in good faith),</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(viii) any cross-default or cross acceleration event of default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(howsoever defined) provision contained therein that relates to indebtedness or other payment obligations of Borrower (or any of its Subsidiaries) (such indebtedness or other payment obligations, a “</w:t>
      </w:r>
      <w:r>
        <w:rPr>
          <w:rFonts w:ascii="Times New Roman" w:cs="Times New Roman" w:eastAsia="Times New Roman" w:hAnsi="Times New Roman"/>
          <w:sz w:val="18"/>
          <w:szCs w:val="18"/>
          <w:u w:val="single" w:color="auto"/>
          <w:color w:val="000000"/>
        </w:rPr>
        <w:t>Cross-Default Reference Obligation</w:t>
      </w:r>
      <w:r>
        <w:rPr>
          <w:rFonts w:ascii="Times New Roman" w:cs="Times New Roman" w:eastAsia="Times New Roman" w:hAnsi="Times New Roman"/>
          <w:sz w:val="18"/>
          <w:szCs w:val="18"/>
          <w:color w:val="000000"/>
        </w:rPr>
        <w:t>”) contains a cure period of at least [***] calendar days (after written notice to the issuer of such Indebtedness by the trustee or to such issuer and such trustee by the requisite holders of such Indebtedness then outstanding) before a default, event of default, acceleration or other event or condition under such Cross-Default Reference Obligation results in an event of default under such cross-default or cross acceleration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-1237615</wp:posOffset>
            </wp:positionV>
            <wp:extent cx="29559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55925" cy="889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-1254760</wp:posOffset>
            </wp:positionV>
            <wp:extent cx="29559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55925"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Derivative</w:t>
      </w:r>
      <w:r>
        <w:rPr>
          <w:rFonts w:ascii="Times New Roman" w:cs="Times New Roman" w:eastAsia="Times New Roman" w:hAnsi="Times New Roman"/>
          <w:sz w:val="18"/>
          <w:szCs w:val="18"/>
          <w:color w:val="auto"/>
        </w:rPr>
        <w:t xml:space="preserve">” 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(a) is entered into contemporaneously and otherwise in connection with the issuance of Permitted Convertible Indebtedness or (b) is explicitly permitted under Section 6.5, and (z) </w:t>
      </w:r>
      <w:r>
        <w:rPr>
          <w:rFonts w:ascii="Times New Roman" w:cs="Times New Roman" w:eastAsia="Times New Roman" w:hAnsi="Times New Roman"/>
          <w:sz w:val="18"/>
          <w:szCs w:val="18"/>
          <w:u w:val="single" w:color="auto"/>
          <w:color w:val="0000FF"/>
        </w:rPr>
        <w:t>at the time of entering into such transaction,</w:t>
      </w:r>
      <w:r>
        <w:rPr>
          <w:rFonts w:ascii="Times New Roman" w:cs="Times New Roman" w:eastAsia="Times New Roman" w:hAnsi="Times New Roman"/>
          <w:sz w:val="18"/>
          <w:szCs w:val="18"/>
          <w:color w:val="auto"/>
        </w:rPr>
        <w:t xml:space="preserve"> such transaction shall be classified in Borrower’s stockholders’ equity under FASB ASC 815-40 or any successor provision.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60" w:hanging="604"/>
        <w:spacing w:after="0"/>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Permitted Intercompany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shall be unsecured and the parties thereto are party to an Intercompany Subordination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Borrower or any of its Subsidiaries arising from agreements providing for indemnification or from guaranties or letters of credit, surety bonds or performance bonds securing the performance of Borrower or any such Subsidiary pursuant to such agreements, in connection with Permitted Acquisitions or Asset Sales permitted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jc w:val="both"/>
        <w:ind w:left="-8" w:firstLine="656"/>
        <w:spacing w:after="0" w:line="257" w:lineRule="auto"/>
        <w:tabs>
          <w:tab w:leader="none" w:pos="151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 provided, however, that such Indebtedness is extinguished within</w:t>
      </w:r>
    </w:p>
    <w:p>
      <w:pPr>
        <w:spacing w:after="0" w:line="1"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incurrence;</w:t>
      </w:r>
    </w:p>
    <w:p>
      <w:pPr>
        <w:spacing w:after="0" w:line="206"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144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and described in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 and any Permitted Refinancing Indebtedness in respect of such Indebtedness;</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3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an aggregate amount outstanding not to exceed at any time [***] with respect to (i) Capital Leases and (ii) purchase money Indebtedness (including any Indebtedness acquired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shall be secured only by the asset subject to such Capital Lease or by the asset acquired in connection with the incurrence of such Indebtedness;</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0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guaranties with respect to Indebtedness of Borrower or any of its Subsidiaries, to the extent that the Person that is obligated under such guaranty could have incurred such underlying Indebtedness and to the extent such guaranties are not prohibited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Indebtedness being guaranteed is subordinated to the Obligations, such guaranty shall be subordinated to the Obligations on terms at least as favorable to the Secured Parties as those contained in the subordination of such Indebtedness;</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21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does not to exceed at any time [***];</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32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4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purchase price, deferred purchase price and compensation, or other similar arrangements incurred by such Person in connection with Permitted Acquisitions, any Investment permitted hereunder or any license, transfer or other Asset Sale permitted hereunder in an aggregate amount outstanding not to exceed at any time [***];</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7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whose assets or Capital Stock are acquired by Borrower or any of its Subsidiaries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Indebtedness (i) is either purchase money Indebtedness or a Capital Lease with respect to equipment or mortgage financing with respect to a facility, (ii) was in existence prior to the date of such Permitted Acquisition, and (iii) was not incurred in connection with, or in contemplation of, such Permitted Acquisition;</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29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Convertible Indebtedness and any Permitted Refinancing Indebtedness in respect thereof in an aggregate outstanding principal amount not to exceed at any time the greater of (i) $[***] and (ii) the product of Borrower’s Market Capitalization immediately prior to the date such Permitted Convertible Indebtedness is priced,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w:t>
      </w:r>
    </w:p>
    <w:p>
      <w:pPr>
        <w:spacing w:after="0" w:line="175"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39" w:name="page140"/>
    <w:bookmarkEnd w:id="139"/>
    <w:p>
      <w:pPr>
        <w:ind w:firstLine="656"/>
        <w:spacing w:after="0" w:line="282" w:lineRule="auto"/>
        <w:tabs>
          <w:tab w:leader="none" w:pos="14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in respect of letters of credit, bank guarantees, surety bonds, performance bonds or similar extensions of credit in an aggregate outstanding principal amount not to exceed at any time $[***];</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and owed to any financial institution in respect of (i) purchasing or credit card programs and (ii) treasury, depository or cash management services, including any payments in connection with the termination thereof;</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take-or-pay obligations contained in supply arrangements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7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purchased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3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to suppliers, customers, franchisees, lessors, licensees, sub-licensees and distribution partners;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Hedging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non-Loan Parties and the guarantees of any such Indebtedness;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aggregate principal amount or liquidation preference, as applicable, of Indebtedness incurred or guaranteed pursuant to this clause (w) at any time outstanding does not exceed $[***]; and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Borrower and its Subsidiaries, in an aggregate amount not to exceed at any time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Investments</w:t>
      </w:r>
      <w:r>
        <w:rPr>
          <w:rFonts w:ascii="Times New Roman" w:cs="Times New Roman" w:eastAsia="Times New Roman" w:hAnsi="Times New Roman"/>
          <w:sz w:val="18"/>
          <w:szCs w:val="18"/>
          <w:color w:val="auto"/>
        </w:rPr>
        <w:t xml:space="preserve">” means Investments by (a) a Loan Party to or in another Loan Party, (b) a Subsidiary that is an Excluded Subsidiary to or in another Subsidiary that is an Excluded Subsidiary, (c) a Subsidiary that is an Excluded Subsidiary to or in a Loan Party, so long as, in the case of a loan or an advance, the parties thereto are party to an Intercompany Subordination Agreement, (d) Investments by the Loan Parties in Subsidiaries that are not Loan Parties to the extent such Investments constitute bona fide transfer pricing transactions, cost-sharing arrangements or “cost-plus” arrangements in the ordinary course of business; and (e) additional Investments by the Loan Parties in Subsidiaries that are not Loan Parties in an aggregate amount outstanding not to exceed at any time $[***];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no Product or Product Intellectual Property Rights shall be assigned, transferred, contributed, licensed, sublicensed, or otherwise disposed by any Loan Party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and (ii) no Investment otherwise permitted by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made during the Restricted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ind w:left="1260" w:hanging="604"/>
        <w:spacing w:after="0"/>
        <w:tabs>
          <w:tab w:leader="none" w:pos="1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owned as of the Closing Date in any Subsidiary and equity Investments in an aggregate amount outstanding not to exceed at any time $[***] owned as a result of the formation of a Subsidiary to the extent otherwise permitted hereunder;</w:t>
      </w:r>
    </w:p>
    <w:p>
      <w:pPr>
        <w:spacing w:after="0" w:line="161"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Investments;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employees of Borrower and its Subsidiaries (i) made in the ordinary course of business, existing on the Closing Date and described on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 and (ii) any refinancings of such loans after the Closing Date in an aggregate amount not to exceed $[***] at any time outstanding;</w:t>
      </w:r>
    </w:p>
    <w:p>
      <w:pPr>
        <w:spacing w:after="0" w:line="17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and described in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79"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negotiable instruments deposited or to be deposited for collection in the ordinary course of business;</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customary trade arrangements with customers;</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made in connection with purchases of goods or services in the ordinary course of business;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or would result therefrom, Investments in Joint Ventures in an aggregate outstanding amount not to exceed [***];</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Equity Derivatives;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Hedging Agreement permitted under this Agreement;</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of the non-cash consideration received from an Asset Sale that was made pursuant to and in compliance with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ind w:firstLine="656"/>
        <w:spacing w:after="0" w:line="282" w:lineRule="auto"/>
        <w:tabs>
          <w:tab w:leader="none" w:pos="1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made by the Borrower or its Subsidiaries in connection with any letter of intent or other agreement in respect of any Investment permitted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obligations of one or more officers or other employees of Borrower or any Subsidiary of the Borrower in connection with such officer’s or employee’s acquisition of Capital Stock of any direct or indirect parent of the Borrower, so long as no cash is actually advanced by the Borrower or any Subsidiary to such officers or employees in connection with the acquisition of any such obligations;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2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operating leases or of other obligations, in each case, that do not constitute Indebtedness, and are entered into by the Borrower 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redemption, purchase, repurchase or retirement of any Capital Stock of Borrower permitted by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8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Investments made with Capital Stock (other than Disqualified Capital Stock) of the Borrower or from the Net Proceeds received by the Borrower from the sale of Capital Stock of the Borrower so long as (i) such Investments are made within [***] days after the receipt of such proceeds and (ii) such proceeds have not otherwise been utilized for the making of any Permitted Acquisition or Restricted Junior Payment; and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other Investments in an aggregate amount outstanding not to exceed at any time [***].</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at no time during a Restricted Period shall any Investment otherwise permitted under the foregoing clauses (d)(ii), (e), (l), (m), (o), (u) or (v) be made.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60" w:hanging="604"/>
        <w:spacing w:after="0"/>
        <w:tabs>
          <w:tab w:leader="none" w:pos="1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Administrative Agent for the benefit of Secured Parties granted pursuant to any Loan Document;</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(i) not yet due and payable or (ii) if obligations with respect to such Taxes are being contested in good faith by appropriate proceedings promptly instituted and diligently conducted and reserves required by GAAP have been made;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of landlords, banks (and rights of set off), of carriers, warehousemen, mechanics, repairmen, workmen and materialmen, and other Liens imposed by law (other than any such Lien imposed pursuant to Section 430(k) of the Internal Revenue Code or by ERISA), in each case incurred in the ordinary course of business for amounts not yet overdue;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ind w:firstLine="656"/>
        <w:spacing w:after="0" w:line="282" w:lineRule="auto"/>
        <w:tabs>
          <w:tab w:leader="none" w:pos="132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restrictions, encroachments, and other minor defects or irregularities in title, in each case, that do not and will not interfere in any material respect with the ordinary conduct of the business of Borrower or any of its Subsidiaries;</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or sublessor under any lease of real estate permitted hereunder;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4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permitted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8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office or agency to control or regulate the use of any real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3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and described in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Lien shall only secure the Indebtedness that it secures on the Closing Date and any Permitted Refinancing Indebtedness in respect thereof;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Capital Leases or purchase money Indebtedness permitted pursuant to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Lien shall encumber only the asset subject to such Capital Lease or the asset acquired with the proceeds of such Indebtedness;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assumed by Borrower and its Subsidiaries in connection with a Permitted Acquisition that secure Indebtedness permitted by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Permitted Indebtedness;</w:t>
      </w:r>
    </w:p>
    <w:p>
      <w:pPr>
        <w:spacing w:after="0" w:line="206" w:lineRule="exact"/>
        <w:rPr>
          <w:rFonts w:ascii="Times New Roman" w:cs="Times New Roman" w:eastAsia="Times New Roman" w:hAnsi="Times New Roman"/>
          <w:sz w:val="18"/>
          <w:szCs w:val="18"/>
          <w:u w:val="single" w:color="auto"/>
          <w:color w:val="auto"/>
        </w:rPr>
      </w:pPr>
    </w:p>
    <w:p>
      <w:pPr>
        <w:jc w:val="both"/>
        <w:ind w:firstLine="656"/>
        <w:spacing w:after="0" w:line="261" w:lineRule="auto"/>
        <w:tabs>
          <w:tab w:leader="none" w:pos="133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solely on any cash deposits securing Indebtedness permitted pursuant to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the definition of Permitted Indebtedness not in excess of [***]% of the face amount of such Indebtedness secured thereby, (ii) Liens on cash deposits not exceeding $[***] in the aggregate securing Indebtedness permitted pursuant to </w:t>
      </w:r>
      <w:r>
        <w:rPr>
          <w:rFonts w:ascii="Times New Roman" w:cs="Times New Roman" w:eastAsia="Times New Roman" w:hAnsi="Times New Roman"/>
          <w:sz w:val="18"/>
          <w:szCs w:val="18"/>
          <w:u w:val="single" w:color="auto"/>
          <w:color w:val="auto"/>
        </w:rPr>
        <w:t>clause (p)(i)</w:t>
      </w:r>
      <w:r>
        <w:rPr>
          <w:rFonts w:ascii="Times New Roman" w:cs="Times New Roman" w:eastAsia="Times New Roman" w:hAnsi="Times New Roman"/>
          <w:sz w:val="18"/>
          <w:szCs w:val="18"/>
          <w:color w:val="auto"/>
        </w:rPr>
        <w:t xml:space="preserve"> of the definition of Permitted Indebtedness, and (iii) Liens granted in the ordinary course of business on cash deposits securing Indebtedness permitted pursuant to </w:t>
      </w:r>
      <w:r>
        <w:rPr>
          <w:rFonts w:ascii="Times New Roman" w:cs="Times New Roman" w:eastAsia="Times New Roman" w:hAnsi="Times New Roman"/>
          <w:sz w:val="18"/>
          <w:szCs w:val="18"/>
          <w:u w:val="single" w:color="auto"/>
          <w:color w:val="auto"/>
        </w:rPr>
        <w:t>clause (p)(ii)</w:t>
      </w:r>
      <w:r>
        <w:rPr>
          <w:rFonts w:ascii="Times New Roman" w:cs="Times New Roman" w:eastAsia="Times New Roman" w:hAnsi="Times New Roman"/>
          <w:sz w:val="18"/>
          <w:szCs w:val="18"/>
          <w:color w:val="auto"/>
        </w:rPr>
        <w:t xml:space="preserve"> of the definition of Permitted Indebtedness;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6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vendors or suppliers of such Person in the ordinary course of business to the extent encumbering property purchased from or provided by such vendors or suppliers and the proceeds thereof;</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any judgments, writs or warrants of attachment or similar process not constituting an Event of Default under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8.1(h)</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subleases, licenses or sublicenses that are (i) permitted by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or (ii) excluded from the definition of Asset Sale;</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56"/>
        <w:spacing w:after="0" w:line="220" w:lineRule="exact"/>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such Liens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consensual and arise by operation of law, in no case shall any such Liens secure (either directly or indirectly) the repayment of any Indebtedness;</w:t>
      </w:r>
    </w:p>
    <w:p>
      <w:pPr>
        <w:spacing w:after="0" w:line="200" w:lineRule="exact"/>
        <w:rPr>
          <w:rFonts w:ascii="Times New Roman" w:cs="Times New Roman" w:eastAsia="Times New Roman" w:hAnsi="Times New Roman"/>
          <w:sz w:val="18"/>
          <w:szCs w:val="18"/>
          <w:color w:val="auto"/>
        </w:rPr>
      </w:pPr>
    </w:p>
    <w:p>
      <w:pPr>
        <w:jc w:val="both"/>
        <w:ind w:firstLine="656"/>
        <w:spacing w:after="0" w:line="266" w:lineRule="auto"/>
        <w:tabs>
          <w:tab w:leader="none" w:pos="12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that are within the general parameters customary in the banking or finance industry;</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or from UCC financing statement filings regarding, operating leases or consignments entered into by the Borrower or its Subsidiaries in the ordinary course of business;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any put and call arrangements, related to Capital Stock in any Joint Venture set forth in the Organizational Documents of such Joint Venture or any related joint venture, shareholders’ or similar agreement;</w:t>
      </w:r>
    </w:p>
    <w:p>
      <w:pPr>
        <w:spacing w:after="0" w:line="161"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sz w:val="20"/>
          <w:szCs w:val="20"/>
          <w:color w:val="auto"/>
        </w:rPr>
      </w:pPr>
    </w:p>
    <w:p>
      <w:pPr>
        <w:ind w:left="1340" w:hanging="684"/>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Liens, licenses and sublicenses under any Permitted Product Transaction;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42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of non-Loan Parties permitted pursuant to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of the definition of Permitted Indebtedness so long as such Liens do not encumber any assets of the Loan Parties;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incurred in the ordinary course of business of Borrower or any Subsidiary of Borrower with respect to obligations in aggregate amount outstanding not to exceed at any time [***].</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no Liens on any Product, Product Patent or Registrations shall be permitted (other than non-consensual Liens constituting “Permitted Liens” and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Product Agreement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jc w:val="both"/>
        <w:ind w:firstLine="656"/>
        <w:spacing w:after="0" w:line="266" w:lineRule="auto"/>
        <w:tabs>
          <w:tab w:leader="none" w:pos="1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Product (Non-Core), a Product Agreement that grants a license or sublicense of any rights under any Product Intellectual Property Rights, Non-Exclusive Product Intellectual Property Rights, or Registrations that allows the licensee to develop, manufacture, research, seek Registrations for, or Commercialize a Product (Non-Core) anywhere in the world;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Product (Core), a Product Agreement that grants a license or sublicense of any rights under any Product Intellectual Property Rights, Non-Exclusive Product Intellectual Property Rights, or Registrations that allows the licensee to (i) develop, manufacture, research, seek Registrations for, or Commercialize a Product (Core) only outside of the United States and its territories or (ii) develop or research (but not Commercialize) a Product (Core) on behalf of Borrower or any of its Subsidiaries within the United States and its territories (provided, that Borrower or its applicable Subsidiary shall either (A) obtain ownership of any Product Intellectual Property Rights generated under such Product Agreement or (B) otherwise obtain the right to exploit the Product (Core) under such Product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Product Agreement (x) does not provide for the legal transfer of title to any Product Patents, Registrations or Intellectual Property Rights relating to a Product (Core), (y) permits the disclosure of royalty and similar reports to the Administrative Agent and the Lenders in accordance with </w:t>
      </w:r>
      <w:r>
        <w:rPr>
          <w:rFonts w:ascii="Times New Roman" w:cs="Times New Roman" w:eastAsia="Times New Roman" w:hAnsi="Times New Roman"/>
          <w:sz w:val="18"/>
          <w:szCs w:val="18"/>
          <w:u w:val="single" w:color="auto"/>
          <w:color w:val="auto"/>
        </w:rPr>
        <w:t>Section 5.1(e)(i)</w:t>
      </w:r>
      <w:r>
        <w:rPr>
          <w:rFonts w:ascii="Times New Roman" w:cs="Times New Roman" w:eastAsia="Times New Roman" w:hAnsi="Times New Roman"/>
          <w:sz w:val="18"/>
          <w:szCs w:val="18"/>
          <w:color w:val="auto"/>
        </w:rPr>
        <w:t xml:space="preserve"> and (z) in the case of any Product Agreement with respect to a Product (Core) is not a Restricted License;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if a Product Agreement grants a license or sublicense under any Product Intellectual Property Rights, Non-Exclusive Product Intellectual Property Rights, or Registrations that allows such Person to Commercialize a Product (Core) anywhere inside the United States or its territories, such Product Agreement shall not be a “Permitted Product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Product Transaction</w:t>
      </w:r>
      <w:r>
        <w:rPr>
          <w:rFonts w:ascii="Times New Roman" w:cs="Times New Roman" w:eastAsia="Times New Roman" w:hAnsi="Times New Roman"/>
          <w:sz w:val="18"/>
          <w:szCs w:val="18"/>
          <w:color w:val="auto"/>
        </w:rPr>
        <w:t>” means the grant of a license or sublicense under any Product Patents or Registrations pursuant to a Permitted Product Agreement; provided that (i) the consideration received for any such transaction shall be in an amount at least equal to the fair market value thereof (as reasonably determined by the Borrower’s Board of Directors), and (ii) no Event of Default shall have occurred and be continuing at the time of such transaction or result therefrom.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firstLine="656"/>
        <w:spacing w:after="0" w:line="266" w:lineRule="auto"/>
        <w:tabs>
          <w:tab w:leader="none" w:pos="1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ind w:firstLine="656"/>
        <w:spacing w:after="0" w:line="282" w:lineRule="auto"/>
        <w:tabs>
          <w:tab w:leader="none" w:pos="133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either by Borrower or by the Subsidiary who is the obligor on the Indebtedness being renewed, refunded, refinanced, replaced, defeased or discharged;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Permitted Convertible Indebtedness, such Indebtedness complies with the terms set forth in the proviso of the definition of Permitted Convertible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 any information that relates to, identifies or can be used to identify a natural person or (ii) any information defined as “personal data,” “personally identifiable information,” “personal information,” “protected health information,” “nonpublic personal information,” or similar term under applicable Data Protection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and Security Agreement</w:t>
      </w:r>
      <w:r>
        <w:rPr>
          <w:rFonts w:ascii="Times New Roman" w:cs="Times New Roman" w:eastAsia="Times New Roman" w:hAnsi="Times New Roman"/>
          <w:sz w:val="18"/>
          <w:szCs w:val="18"/>
          <w:color w:val="auto"/>
        </w:rPr>
        <w:t>” means the Pledge and Security Agreement executed by Grantors in favor of Administrative Agent for the benefit of the Secured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xml:space="preserve">” has the meaning specified in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Fee Letter.</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quoted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means Administrative Agent’s “Principal Office”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or such other office as such Person may from time to time designate in writing to Borrower and each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with respect to:</w:t>
      </w:r>
    </w:p>
    <w:p>
      <w:pPr>
        <w:spacing w:after="0" w:line="225" w:lineRule="exact"/>
        <w:rPr>
          <w:sz w:val="20"/>
          <w:szCs w:val="20"/>
          <w:color w:val="auto"/>
        </w:rPr>
      </w:pPr>
    </w:p>
    <w:p>
      <w:pPr>
        <w:jc w:val="both"/>
        <w:ind w:firstLine="1304"/>
        <w:spacing w:after="0" w:line="266" w:lineRule="auto"/>
        <w:tabs>
          <w:tab w:leader="none" w:pos="195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 Lender’s obligation to make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Term Loan, the percentage obtained by dividing (A) such Lender’s </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Term Loan Commitment by (B) the Total </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Term Loan Commitment; and (ii) a Lender’s right to make an Incremental Term Loan, the percentage obtained by dividing (A) such Lender’s outstanding Term Loans by (B) the aggregate amount of all Lenders’ outstanding Term Loans;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matters, the percentage obtained by dividing (i) the unpaid principal amount of such Lender’s portion of the Term Loan, by (ii) the aggregate unpaid principal amount of the Term Loan.</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BRIUMVI and any other product/development candidate being developed or Commercialized by Borrower or the Loan Parties from time to time, including any acquired Product that is acquired or in-licensed pursuant to a Permitted Acquisition.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(Core)</w:t>
      </w:r>
      <w:r>
        <w:rPr>
          <w:rFonts w:ascii="Times New Roman" w:cs="Times New Roman" w:eastAsia="Times New Roman" w:hAnsi="Times New Roman"/>
          <w:sz w:val="18"/>
          <w:szCs w:val="18"/>
          <w:color w:val="auto"/>
        </w:rPr>
        <w:t>” means BRIUMVI and any Competing Product with respect to BRIUMVI.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(Core) Intellectual Property Rights</w:t>
      </w:r>
      <w:r>
        <w:rPr>
          <w:rFonts w:ascii="Times New Roman" w:cs="Times New Roman" w:eastAsia="Times New Roman" w:hAnsi="Times New Roman"/>
          <w:sz w:val="18"/>
          <w:szCs w:val="18"/>
          <w:color w:val="auto"/>
        </w:rPr>
        <w:t>” means Product Intellectual Property Rights and Non-Exclusive Product Intellectual Property Rights relating to any Product (Core).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(Non-Core)</w:t>
      </w:r>
      <w:r>
        <w:rPr>
          <w:rFonts w:ascii="Times New Roman" w:cs="Times New Roman" w:eastAsia="Times New Roman" w:hAnsi="Times New Roman"/>
          <w:sz w:val="18"/>
          <w:szCs w:val="18"/>
          <w:color w:val="auto"/>
        </w:rPr>
        <w:t>” means any Product other than Product (Core).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Agreement</w:t>
      </w:r>
      <w:r>
        <w:rPr>
          <w:rFonts w:ascii="Times New Roman" w:cs="Times New Roman" w:eastAsia="Times New Roman" w:hAnsi="Times New Roman"/>
          <w:sz w:val="18"/>
          <w:szCs w:val="18"/>
          <w:color w:val="auto"/>
        </w:rPr>
        <w:t>” means any agreement entered into between Borrower or any of its Subsidiaries with another Person that includes the granting of a license or sublicense of any rights under any Product Intellectual Property Rights, Non-Exclusive Product Intellectual Property Rights, or Registrations that allows such Person to develop, manufacture, research, seek Registrations for, or Commercialize a Product.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Intellectual Property Rights</w:t>
      </w:r>
      <w:r>
        <w:rPr>
          <w:rFonts w:ascii="Times New Roman" w:cs="Times New Roman" w:eastAsia="Times New Roman" w:hAnsi="Times New Roman"/>
          <w:sz w:val="18"/>
          <w:szCs w:val="18"/>
          <w:color w:val="auto"/>
        </w:rPr>
        <w:t>” means (a) the Product Patents and (b) any and all Intellectual Property Rights owned by or exclusively licensed to, or purported to be owned by or exclusively licensed to, Borrower or its Affiliates relating to any Product.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Patents</w:t>
      </w:r>
      <w:r>
        <w:rPr>
          <w:rFonts w:ascii="Times New Roman" w:cs="Times New Roman" w:eastAsia="Times New Roman" w:hAnsi="Times New Roman"/>
          <w:sz w:val="18"/>
          <w:szCs w:val="18"/>
          <w:color w:val="auto"/>
        </w:rPr>
        <w:t>” means the U.S. and foreign Patents owned or in-licensed by Borrower or any of its Subsidiaries, now or in the future, that are necessary or material to the research, development, manufacture, use, or Commercialization of one or more of the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Laws</w:t>
      </w:r>
      <w:r>
        <w:rPr>
          <w:rFonts w:ascii="Times New Roman" w:cs="Times New Roman" w:eastAsia="Times New Roman" w:hAnsi="Times New Roman"/>
          <w:sz w:val="18"/>
          <w:szCs w:val="18"/>
          <w:color w:val="auto"/>
        </w:rPr>
        <w:t>” means all Requirements of Law relating to the procurement, development, clinical and non-clinical evaluation, product approval or licensure, manufacture, production, analysis, wholesale, distribution, dispensing, importation, exportation, use, handling, quality, sale, labeling, promotion, clinical trial registration or post market requirements of any drug products (including, without limitation, any ingredient or component of the foregoing products) subject to regulation under the Federal Food, Drug, and Cosmetic Act (21 U.S.C. § 301 et seq.) or Public Health Service Act (42 U.S.C. §262 et seq.), including without limitation the regulations promulgated by the FDA at Title 21 of the Code of Federal Regulations, and comparable foreign legislation issued by other comparable Governmental Authorities, including foreign Governmental Authorities, as well as applicable Requirements of Law relating to the licensure of entities that manufacture or distribute drug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Purple Book Patents</w:t>
      </w:r>
      <w:r>
        <w:rPr>
          <w:rFonts w:ascii="Times New Roman" w:cs="Times New Roman" w:eastAsia="Times New Roman" w:hAnsi="Times New Roman"/>
          <w:sz w:val="18"/>
          <w:szCs w:val="18"/>
          <w:color w:val="auto"/>
        </w:rPr>
        <w:t>” means any Product Patents provided to a biosimilar applicant pursuant to 42 U.S.C. § 262, as such patent listing may be amended from time to time, together with all foreign counterpart patents.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with respect to any Person, all Capital Stock of such Person that are not Disqualified Capital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Cash</w:t>
      </w:r>
      <w:r>
        <w:rPr>
          <w:rFonts w:ascii="Times New Roman" w:cs="Times New Roman" w:eastAsia="Times New Roman" w:hAnsi="Times New Roman"/>
          <w:sz w:val="18"/>
          <w:szCs w:val="18"/>
          <w:color w:val="auto"/>
        </w:rPr>
        <w:t xml:space="preserve">” means, as of any date of determination, the amount of unrestricted Cash and Cash Equivalents (other than restrictions created by the Collateral Documents) of the Loan Parties that is in Deposit Accounts or in Securities Accounts, or any combination thereof, which such Deposit Accounts or Securities Accounts are (after the post-closing period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subject to a Control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Asset</w:t>
      </w:r>
      <w:r>
        <w:rPr>
          <w:rFonts w:ascii="Times New Roman" w:cs="Times New Roman" w:eastAsia="Times New Roman" w:hAnsi="Times New Roman"/>
          <w:sz w:val="18"/>
          <w:szCs w:val="18"/>
          <w:color w:val="auto"/>
        </w:rPr>
        <w:t>” means, at any time of determination, any Real Property owned by a Loan Party, but only to the extent such Real Property constitutes Collateral and is encumbered by a Mortgage pursuant to the terms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any real property (including all buildings, fixtures or other improvements located thereon) now, hereafter or heretofore owned, leased, operated or used by Borrower or any of its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registrations, listings, certificates, or exemptions of or issued by any Governmental Authority (including marketing approvals, investigational new drug applications, product recertifications, manufacturing approvals and authorizations,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of Governors of the Federal Reserve System, as in effect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Action</w:t>
      </w:r>
      <w:r>
        <w:rPr>
          <w:rFonts w:ascii="Times New Roman" w:cs="Times New Roman" w:eastAsia="Times New Roman" w:hAnsi="Times New Roman"/>
          <w:sz w:val="18"/>
          <w:szCs w:val="18"/>
          <w:color w:val="auto"/>
        </w:rPr>
        <w:t>” 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or a comparable Governmental Authority in any other regulatory jurisdiction.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Federal Reserve Bank of New York, or a committee officially endorsed or convened by the Federal Reserve Board or the Federal Reserve Bank of New York or any successor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as of any date of determination, Lenders whose Pro Rata Share (calculated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thereof) aggregate at least 50.1%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Required Lenders shall include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color w:val="auto"/>
        </w:rPr>
        <w:t xml:space="preserve"> each Blue Owl Affiliated Lender if, as of such date, Blue Owl and its Affiliates and Related Funds collectively hold at least [***]% of the outstanding principal amount of the Term Loans </w:t>
      </w:r>
      <w:r>
        <w:rPr>
          <w:rFonts w:ascii="Times New Roman" w:cs="Times New Roman" w:eastAsia="Times New Roman" w:hAnsi="Times New Roman"/>
          <w:sz w:val="18"/>
          <w:szCs w:val="18"/>
          <w:color w:val="FF0000"/>
        </w:rPr>
        <w:t>and (y)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each HCR Affiliated Lender if, as of such date, HCR and its Affiliates and Related Funds holds at least [***]% of the outstanding principal amount of the Term Loans</w:t>
      </w:r>
      <w:r>
        <w:rPr>
          <w:rFonts w:ascii="Times New Roman" w:cs="Times New Roman" w:eastAsia="Times New Roman" w:hAnsi="Times New Roman"/>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6767830</wp:posOffset>
            </wp:positionH>
            <wp:positionV relativeFrom="paragraph">
              <wp:posOffset>-360045</wp:posOffset>
            </wp:positionV>
            <wp:extent cx="3638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3855"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and binding upon such Person or any of its property or to which such Person or any of its property is subject.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Junior Payment</w:t>
      </w:r>
      <w:r>
        <w:rPr>
          <w:rFonts w:ascii="Times New Roman" w:cs="Times New Roman" w:eastAsia="Times New Roman" w:hAnsi="Times New Roman"/>
          <w:sz w:val="18"/>
          <w:szCs w:val="18"/>
          <w:color w:val="auto"/>
        </w:rPr>
        <w:t xml:space="preserve">” 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(d) [reserved], and (e) any payment or prepayment of principal of, premium, if any, or interest on, or redemption, purchase, retirement, defeasance (including in substance or legal defeasance), sinking fund or similar payment with respect to, any Indebtedness that is contractually subordinated to the Obligations.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License</w:t>
      </w:r>
      <w:r>
        <w:rPr>
          <w:rFonts w:ascii="Times New Roman" w:cs="Times New Roman" w:eastAsia="Times New Roman" w:hAnsi="Times New Roman"/>
          <w:sz w:val="18"/>
          <w:szCs w:val="18"/>
          <w:color w:val="auto"/>
        </w:rPr>
        <w:t xml:space="preserve">” means any Product Agreement (excluding any Product Agreement in the ordinary course of business granting only non-exclusive rights, and that does not materially interfere with, and is not material to, the conduct of the business of Borrower or any of its Subsidiaries in the ordinary course and that is otherwise permitted under this Agreement) that (a) cannot be collaterally assigned to secure the Obligations or otherwise contains provisions that restrict or penalize the granting of a security interest in or Lien on such Product Agreement or the related Product Intellectual Property Rights, (b)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(c) does not permit the disclosure of information to be provided thereunder to Administrative Agent and the Lenders, any purchaser or prospective purchaser in a foreclosure or other Asset Sale of all or any portion of the Collateral (subject to customary confidentiality obligations); provided a Product Agreement shall not be a “Restricted Licenses” by virtue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if Borrower or the applicable Subsidiary has used commercially reasonable efforts to permit, or other obtain permission for, such disclosure.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Monetization Transaction</w:t>
      </w:r>
      <w:r>
        <w:rPr>
          <w:rFonts w:ascii="Times New Roman" w:cs="Times New Roman" w:eastAsia="Times New Roman" w:hAnsi="Times New Roman"/>
          <w:sz w:val="18"/>
          <w:szCs w:val="18"/>
          <w:color w:val="auto"/>
        </w:rPr>
        <w:t>” means any monetization or financing transaction involving (a) the sale, transfer, option or collateralization of</w:t>
      </w:r>
    </w:p>
    <w:p>
      <w:pPr>
        <w:spacing w:after="0" w:line="27" w:lineRule="exact"/>
        <w:rPr>
          <w:sz w:val="20"/>
          <w:szCs w:val="20"/>
          <w:color w:val="auto"/>
        </w:rPr>
      </w:pPr>
    </w:p>
    <w:p>
      <w:pPr>
        <w:jc w:val="both"/>
        <w:ind w:firstLine="8"/>
        <w:spacing w:after="0" w:line="253" w:lineRule="auto"/>
        <w:tabs>
          <w:tab w:leader="none" w:pos="2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monetary payments (contingent or otherwise) payable to Borrower or its Subsidiaries by a counterparty under a Product Agreement, or (ii) any revenues generated through the commercial sale of the Product to third parties, in each case whether in whole or in part or (b) the provision of financing for the development, manufacture or Commercialization of any Product in exchange for the future payment of royalties, milestones and other amounts (whether or not contingent), including sales of royalty streams, royalty bonds and other royalty financings, synthetic royalty, development financing, and revenue interest transactions (including clinical trial funding arrangements), and hybrid monetization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The McGraw Hill Corporation.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Entity</w:t>
      </w:r>
      <w:r>
        <w:rPr>
          <w:rFonts w:ascii="Times New Roman" w:cs="Times New Roman" w:eastAsia="Times New Roman" w:hAnsi="Times New Roman"/>
          <w:sz w:val="18"/>
          <w:szCs w:val="18"/>
          <w:color w:val="auto"/>
        </w:rPr>
        <w:t xml:space="preserve">” means (a) a country or territory or a government of a country or territory, (b) an agency of the government of a country or territory, (c) an organization directly or indirectly controlled by the government of a country or territory, or (d) a Person resident in or determined to be resident in a country or territory,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that is itself the target of Sanctions, including a target of any country or territory-based comprehensive sanctions or embargo program administered and enforced by OFAC (as of the date of this Agreement, Cuba, Iran, North Korea, Syria, the Crimea region of Ukraine, and the so-called Donetsk People’s Republic (DNR) and Luhansk People’s Republic (LNR) regions of Ukraine).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named on the list of Specially Designated Nationals and Blocked Persons maintained by OFAC, OFAC’s consolidated Non-SDN list or any other Sanctions-related list maintained by any Governmental Authority, (b) a Person or legal entity that is itself the target of Sanctions, (c) any Person operating, organized or resident in a country or territory subject to an OFAC comprehensive sanctions or embargo program (as of the date of this Agreement, Cuba, Iran, North Korea, Syria, the Crimea region of Ukraine, and the so-called Donetsk People’s Republic (DNR) and Luhansk People’s Republic (LNR) regions of Ukraine), or (d) any Person directly or indirectly owned 50.0% or more or controlled (individually or in the aggregate) by or acting on behalf of any such Person or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assigned to that term in the Pledge and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w:t>
      </w:r>
      <w:r>
        <w:rPr>
          <w:rFonts w:ascii="Times New Roman" w:cs="Times New Roman" w:eastAsia="Times New Roman" w:hAnsi="Times New Roman"/>
          <w:sz w:val="18"/>
          <w:szCs w:val="18"/>
          <w:color w:val="auto"/>
        </w:rPr>
        <w:t>” means a securities account (as defined in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 Loan bearing interest at a rate determined by reference to Term SOFR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means a Solvency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(iii) such Loan Party has not incurred and does not intend to incur, or believe (nor should it reasonably believe) that it will incur, debts beyond its ability to pay such debts as they become due (whether at maturity or otherwise) and (b) such Person is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Jurisdiction</w:t>
      </w:r>
      <w:r>
        <w:rPr>
          <w:rFonts w:ascii="Times New Roman" w:cs="Times New Roman" w:eastAsia="Times New Roman" w:hAnsi="Times New Roman"/>
          <w:sz w:val="18"/>
          <w:szCs w:val="18"/>
          <w:color w:val="auto"/>
        </w:rPr>
        <w:t>” means, each of [***].</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determining the percentage of ownership interests of any Person controlled by another Person, no ownership interest in the nature of a “qualifying share” of the former Person shall be deemed to be outstanding. When used herein, “Subsidiary” shall mean a Subsidiary of Borrower unless otherwise specified.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present or future tax, levy, impost, duty, withholding (including backup withholding) assessment, fee or other charge imposed by any Governmental Authority, and any interest, penalties, additions to tax or other liabilities with respect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means, collectively, the Initial Term Loan</w:t>
      </w:r>
      <w:r>
        <w:rPr>
          <w:rFonts w:ascii="Times New Roman" w:cs="Times New Roman" w:eastAsia="Times New Roman" w:hAnsi="Times New Roman"/>
          <w:sz w:val="18"/>
          <w:szCs w:val="18"/>
          <w:u w:val="single" w:color="auto"/>
          <w:color w:val="0000FF"/>
        </w:rPr>
        <w:t>, the 2026 Term Loan</w:t>
      </w:r>
      <w:r>
        <w:rPr>
          <w:rFonts w:ascii="Times New Roman" w:cs="Times New Roman" w:eastAsia="Times New Roman" w:hAnsi="Times New Roman"/>
          <w:sz w:val="18"/>
          <w:szCs w:val="18"/>
          <w:color w:val="auto"/>
        </w:rPr>
        <w:t xml:space="preserve"> and each Incremental Term Loan (if 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38761D"/>
        </w:rPr>
        <w:t>the commitment of a Lender to make or otherwise fund</w:t>
      </w:r>
      <w:r>
        <w:rPr>
          <w:rFonts w:ascii="Times New Roman" w:cs="Times New Roman" w:eastAsia="Times New Roman" w:hAnsi="Times New Roman"/>
          <w:sz w:val="18"/>
          <w:szCs w:val="18"/>
          <w:u w:val="single" w:color="auto"/>
          <w:color w:val="0000FF"/>
        </w:rPr>
        <w:t>, collectively,</w:t>
      </w:r>
      <w:r>
        <w:rPr>
          <w:rFonts w:ascii="Times New Roman" w:cs="Times New Roman" w:eastAsia="Times New Roman" w:hAnsi="Times New Roman"/>
          <w:sz w:val="18"/>
          <w:szCs w:val="18"/>
          <w:color w:val="auto"/>
        </w:rPr>
        <w:t xml:space="preserve"> the Initial Term Loan </w:t>
      </w:r>
      <w:r>
        <w:rPr>
          <w:rFonts w:ascii="Times New Roman" w:cs="Times New Roman" w:eastAsia="Times New Roman" w:hAnsi="Times New Roman"/>
          <w:sz w:val="18"/>
          <w:szCs w:val="18"/>
          <w:u w:val="single" w:color="auto"/>
          <w:color w:val="0000FF"/>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2026 Term Loan 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00"/>
        </w:rPr>
        <w:t>Term Loan Commitments</w:t>
      </w:r>
      <w:r>
        <w:rPr>
          <w:rFonts w:ascii="Times New Roman" w:cs="Times New Roman" w:eastAsia="Times New Roman" w:hAnsi="Times New Roman"/>
          <w:sz w:val="18"/>
          <w:szCs w:val="18"/>
          <w:color w:val="000000"/>
        </w:rPr>
        <w:t>” means such commitments of all such Lenders in the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The amount of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Lender’s Term Loan Commitment</w:t>
      </w:r>
      <w:r>
        <w:rPr>
          <w:rFonts w:ascii="Times New Roman" w:cs="Times New Roman" w:eastAsia="Times New Roman" w:hAnsi="Times New Roman"/>
          <w:sz w:val="18"/>
          <w:szCs w:val="18"/>
          <w:color w:val="38761D"/>
          <w:strike w:val="1"/>
        </w:rPr>
        <w:t>, if any, is set forth 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38761D"/>
          <w:strike w:val="1"/>
        </w:rPr>
        <w:t>Appendix A</w:t>
      </w:r>
      <w:r>
        <w:rPr>
          <w:rFonts w:ascii="Times New Roman" w:cs="Times New Roman" w:eastAsia="Times New Roman" w:hAnsi="Times New Roman"/>
          <w:sz w:val="18"/>
          <w:szCs w:val="18"/>
          <w:color w:val="38761D"/>
          <w:strike w:val="1"/>
        </w:rPr>
        <w:t>. The aggregate amount of the</w:t>
      </w:r>
      <w:r>
        <w:rPr>
          <w:rFonts w:ascii="Times New Roman" w:cs="Times New Roman" w:eastAsia="Times New Roman" w:hAnsi="Times New Roman"/>
          <w:sz w:val="18"/>
          <w:szCs w:val="18"/>
          <w:color w:val="FF0000"/>
          <w:strike w:val="1"/>
        </w:rPr>
        <w:t xml:space="preserve"> Term Loan Commitments as of the Closing Date is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-499745</wp:posOffset>
            </wp:positionV>
            <wp:extent cx="262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2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-362585</wp:posOffset>
            </wp:positionV>
            <wp:extent cx="9734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earlier of (a) </w:t>
      </w:r>
      <w:r>
        <w:rPr>
          <w:rFonts w:ascii="Times New Roman" w:cs="Times New Roman" w:eastAsia="Times New Roman" w:hAnsi="Times New Roman"/>
          <w:sz w:val="18"/>
          <w:szCs w:val="18"/>
          <w:color w:val="FF0000"/>
          <w:strike w:val="1"/>
        </w:rPr>
        <w:t>August [2], 2029</w:t>
      </w:r>
      <w:r>
        <w:rPr>
          <w:rFonts w:ascii="Times New Roman" w:cs="Times New Roman" w:eastAsia="Times New Roman" w:hAnsi="Times New Roman"/>
          <w:sz w:val="18"/>
          <w:szCs w:val="18"/>
          <w:u w:val="single" w:color="auto"/>
          <w:color w:val="0000FF"/>
        </w:rPr>
        <w:t>March 18, 2031</w:t>
      </w:r>
      <w:r>
        <w:rPr>
          <w:rFonts w:ascii="Times New Roman" w:cs="Times New Roman" w:eastAsia="Times New Roman" w:hAnsi="Times New Roman"/>
          <w:sz w:val="18"/>
          <w:szCs w:val="18"/>
          <w:color w:val="auto"/>
        </w:rPr>
        <w:t xml:space="preserve"> and (b) the date that the Term Loan shall become due and payable in full hereunder, whether by acceleration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firstLine="1304"/>
        <w:spacing w:after="0" w:line="254" w:lineRule="auto"/>
        <w:tabs>
          <w:tab w:leader="none" w:pos="20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three months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Term SOFR determined as provided above (including pursuant to the proviso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ever be less than the Floor, then Term SOFR shall be deemed to be the Floor.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has the meaning specified in the definition of Excluded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 xml:space="preserve">“Total 2026 </w:t>
      </w:r>
      <w:r>
        <w:rPr>
          <w:rFonts w:ascii="Times New Roman" w:cs="Times New Roman" w:eastAsia="Times New Roman" w:hAnsi="Times New Roman"/>
          <w:sz w:val="18"/>
          <w:szCs w:val="18"/>
          <w:u w:val="single" w:color="auto"/>
          <w:color w:val="38761D"/>
        </w:rPr>
        <w:t>Term Loan Commitment” means the sum of the amounts of the Lenders’</w:t>
      </w:r>
      <w:r>
        <w:rPr>
          <w:rFonts w:ascii="Times New Roman" w:cs="Times New Roman" w:eastAsia="Times New Roman" w:hAnsi="Times New Roman"/>
          <w:sz w:val="18"/>
          <w:szCs w:val="18"/>
          <w:u w:val="single" w:color="auto"/>
          <w:color w:val="0000FF"/>
        </w:rPr>
        <w:t xml:space="preserve"> 2026 Term Loan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-7620</wp:posOffset>
            </wp:positionV>
            <wp:extent cx="285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means, as of any date of determination, the aggregate outstanding principal amount of third party Indebtedness of the Borrower and its Subsidiaries consisting of Indebtedness of the type described in clause (a), (b), (c) or (g) of the definition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xml:space="preserve">” means, as of any date of determination, the ratio of (x) the sum of (i) Total Debt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lesser of (a) Qualified Cash as of such date and (b) $[***], to (y) Adjusted EBITDA for the most recently ended Measurement Period.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38761D"/>
        </w:rPr>
        <w:t>Term Loan Commitment</w:t>
      </w:r>
      <w:r>
        <w:rPr>
          <w:rFonts w:ascii="Times New Roman" w:cs="Times New Roman" w:eastAsia="Times New Roman" w:hAnsi="Times New Roman"/>
          <w:sz w:val="18"/>
          <w:szCs w:val="18"/>
          <w:color w:val="38761D"/>
        </w:rPr>
        <w:t>” means the sum of the amounts of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Term Loan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3124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242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-59055</wp:posOffset>
            </wp:positionV>
            <wp:extent cx="3326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 xml:space="preserve">“Total Net Leverage Ratio Calculation” means the most recent certified calculation of the Total Net Leverage Ratio </w:t>
      </w:r>
      <w:r>
        <w:rPr>
          <w:rFonts w:ascii="Times New Roman" w:cs="Times New Roman" w:eastAsia="Times New Roman" w:hAnsi="Times New Roman"/>
          <w:sz w:val="18"/>
          <w:szCs w:val="18"/>
          <w:u w:val="single" w:color="auto"/>
          <w:color w:val="38761D"/>
        </w:rPr>
        <w:t>delivered to the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38761D"/>
        </w:rPr>
        <w:t>Administrative Agent in the Compliance Certificate accompanying the financial statements delivered pursuant to Section 5.1(b) or (c), as applicable, and Section 5.1(d).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exchanges in the United States are open for the buying and selling of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reasonable and documented fees, costs and expenses payable by the Borrower or any of its Subsidiaries on or before the Closing Date in connection with the transactions contemplated by the Loan Documents (including the Closing Date Refinancing).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 of Loan</w:t>
      </w:r>
      <w:r>
        <w:rPr>
          <w:rFonts w:ascii="Times New Roman" w:cs="Times New Roman" w:eastAsia="Times New Roman" w:hAnsi="Times New Roman"/>
          <w:sz w:val="18"/>
          <w:szCs w:val="18"/>
          <w:color w:val="auto"/>
        </w:rPr>
        <w:t>” means with respect to any Term Loan, a Base Rate Loan or a SOFR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(including all possessions and territories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2.15(d)(i)(B)(3).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that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 Net Sales</w:t>
      </w:r>
      <w:r>
        <w:rPr>
          <w:rFonts w:ascii="Times New Roman" w:cs="Times New Roman" w:eastAsia="Times New Roman" w:hAnsi="Times New Roman"/>
          <w:sz w:val="18"/>
          <w:szCs w:val="18"/>
          <w:color w:val="FF0000"/>
          <w:strike w:val="1"/>
        </w:rPr>
        <w:t>” means, with respect to each Measurement Period, [***].</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US</w:t>
      </w:r>
      <w:r>
        <w:rPr>
          <w:rFonts w:ascii="Times New Roman" w:cs="Times New Roman" w:eastAsia="Times New Roman" w:hAnsi="Times New Roman"/>
          <w:sz w:val="18"/>
          <w:szCs w:val="18"/>
          <w:color w:val="FF0000"/>
          <w:strike w:val="1"/>
        </w:rPr>
        <w:t xml:space="preserve"> Net Sales Calculation” means the most recent certified calculation of US Net Sales </w:t>
      </w:r>
      <w:r>
        <w:rPr>
          <w:rFonts w:ascii="Times New Roman" w:cs="Times New Roman" w:eastAsia="Times New Roman" w:hAnsi="Times New Roman"/>
          <w:sz w:val="18"/>
          <w:szCs w:val="18"/>
          <w:color w:val="38761D"/>
          <w:strike w:val="1"/>
        </w:rPr>
        <w:t>delivered to the Administrative Agent in the Compliance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38761D"/>
          <w:strike w:val="1"/>
        </w:rPr>
        <w:t xml:space="preserve">Certificate accompanying the financial statements delivered pursuant to </w:t>
      </w:r>
      <w:r>
        <w:rPr>
          <w:rFonts w:ascii="Times New Roman" w:cs="Times New Roman" w:eastAsia="Times New Roman" w:hAnsi="Times New Roman"/>
          <w:sz w:val="18"/>
          <w:szCs w:val="18"/>
          <w:u w:val="single" w:color="auto"/>
          <w:color w:val="38761D"/>
          <w:strike w:val="1"/>
        </w:rPr>
        <w:t>Section 5.1(b)</w:t>
      </w:r>
      <w:r>
        <w:rPr>
          <w:rFonts w:ascii="Times New Roman" w:cs="Times New Roman" w:eastAsia="Times New Roman" w:hAnsi="Times New Roman"/>
          <w:sz w:val="18"/>
          <w:szCs w:val="18"/>
          <w:color w:val="38761D"/>
          <w:strike w:val="1"/>
        </w:rPr>
        <w:t xml:space="preserve"> or (c), as applicable, and </w:t>
      </w:r>
      <w:r>
        <w:rPr>
          <w:rFonts w:ascii="Times New Roman" w:cs="Times New Roman" w:eastAsia="Times New Roman" w:hAnsi="Times New Roman"/>
          <w:sz w:val="18"/>
          <w:szCs w:val="18"/>
          <w:u w:val="single" w:color="auto"/>
          <w:color w:val="38761D"/>
          <w:strike w:val="1"/>
        </w:rPr>
        <w:t>Section 5.1(d)</w:t>
      </w:r>
      <w:r>
        <w:rPr>
          <w:rFonts w:ascii="Times New Roman" w:cs="Times New Roman" w:eastAsia="Times New Roman" w:hAnsi="Times New Roman"/>
          <w:sz w:val="18"/>
          <w:szCs w:val="18"/>
          <w:color w:val="38761D"/>
          <w:strike w:val="1"/>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25" w:lineRule="exact"/>
        <w:rPr>
          <w:sz w:val="20"/>
          <w:szCs w:val="20"/>
          <w:color w:val="auto"/>
        </w:rPr>
      </w:pPr>
    </w:p>
    <w:p>
      <w:pPr>
        <w:jc w:val="both"/>
        <w:ind w:firstLine="656"/>
        <w:spacing w:after="0" w:line="266" w:lineRule="auto"/>
        <w:tabs>
          <w:tab w:leader="none" w:pos="130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Event</w:t>
      </w:r>
      <w:r>
        <w:rPr>
          <w:rFonts w:ascii="Times New Roman" w:cs="Times New Roman" w:eastAsia="Times New Roman" w:hAnsi="Times New Roman"/>
          <w:sz w:val="18"/>
          <w:szCs w:val="18"/>
          <w:color w:val="auto"/>
        </w:rPr>
        <w:t>” means (a) any voluntary withdrawal or removal of one or both of (i) BRIUMVI or (ii) any Competing Product (excluding, in each case (i) or (ii), a recall, removal, market withdrawal, or correction of BRIUMVI or a Competing Product that involves a minor violation that would not be subject to legal action by the FDA (or international equivalent thereof) or that involves no violation of FDA Laws), (b) the loss of marketing authorization for any Product (Core), or (c) the Borrower or any of its Subsidiaries receives a notification from a Governmental Authority that it intends to withdraw marketing approval of any Product (Core) or such notification is published in the Federal Register or other equivalent information source (each, a “</w:t>
      </w:r>
      <w:r>
        <w:rPr>
          <w:rFonts w:ascii="Times New Roman" w:cs="Times New Roman" w:eastAsia="Times New Roman" w:hAnsi="Times New Roman"/>
          <w:sz w:val="18"/>
          <w:szCs w:val="18"/>
          <w:u w:val="single" w:color="auto"/>
          <w:color w:val="auto"/>
        </w:rPr>
        <w:t>Regulatory Withdrawal Notice</w:t>
      </w:r>
      <w:r>
        <w:rPr>
          <w:rFonts w:ascii="Times New Roman" w:cs="Times New Roman" w:eastAsia="Times New Roman" w:hAnsi="Times New Roman"/>
          <w:sz w:val="18"/>
          <w:szCs w:val="18"/>
          <w:color w:val="auto"/>
        </w:rPr>
        <w:t>”) [***], in each case of (a), (b) and (c), with respect to a Material Jurisdiction. [***]</w:t>
      </w:r>
      <w:r>
        <w:rPr>
          <w:rFonts w:ascii="Times New Roman" w:cs="Times New Roman" w:eastAsia="Times New Roman" w:hAnsi="Times New Roman"/>
          <w:sz w:val="18"/>
          <w:szCs w:val="18"/>
          <w:color w:val="FF0000"/>
          <w:strike w:val="1"/>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Accounting and Other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1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18"/>
          <w:szCs w:val="18"/>
          <w:u w:val="single" w:color="auto"/>
          <w:color w:val="auto"/>
        </w:rPr>
        <w:t>Sections 5.1(b)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5.1(c)</w:t>
      </w:r>
      <w:r>
        <w:rPr>
          <w:rFonts w:ascii="Times New Roman" w:cs="Times New Roman" w:eastAsia="Times New Roman" w:hAnsi="Times New Roman"/>
          <w:sz w:val="18"/>
          <w:szCs w:val="18"/>
          <w:color w:val="auto"/>
        </w:rPr>
        <w:t xml:space="preserve"> 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1, 2018 shall be applied and (iii) with respect to revenue recognition and the impact of such accounting in accordance with FASB ASC 606 on the definitions and covenants herein, GAAP as in effect on December 31, 2017 shall be applied. Notwithstanding anything to the contrary above or in the definition of “Capital Lease”, all obligations of any Person that are or would have been treated as operating leases for purposes of GAAP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w:t>
      </w:r>
    </w:p>
    <w:p>
      <w:pPr>
        <w:spacing w:after="0" w:line="1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firstLine="1304"/>
        <w:spacing w:after="0" w:line="261" w:lineRule="auto"/>
        <w:tabs>
          <w:tab w:leader="none" w:pos="19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used in this Agreement that are defined in Article 8 or Article 9 of the UCC as in effect from time to time in the State of New York and that are not otherwise defined herein shall have the same meanings herein as set forth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terms used herein that are defined in the UCC as in effect in the State of New York on the date hereof shall continue to have the same meaning notwithstanding any replacement or amendment of such statute except as Administrative Agent may otherwise determine.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Interpretation, Etc.</w:t>
      </w:r>
      <w:r>
        <w:rPr>
          <w:rFonts w:ascii="Times New Roman" w:cs="Times New Roman" w:eastAsia="Times New Roman" w:hAnsi="Times New Roman"/>
          <w:sz w:val="18"/>
          <w:szCs w:val="18"/>
          <w:color w:val="auto"/>
        </w:rPr>
        <w:t xml:space="preserve"> Any of the terms defined herein may, unless the context otherwise requires, be used in the singular or the plural, depending on the reference. Whenever the context may require, any pronoun shall include the corresponding masculine, feminine, and neuter forms. The word “will” shall be construed to have the same meaning and effect as the word “shall.” The word “or” is used in the inclusive sense (and/or).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Whenever this Agreement refers to a number of days, unless otherwise specified, such number refers to calendar days.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Applicable Premium and any Prepayment Premium, (ii) all costs, expenses, or indemnities payable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Section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and (iv)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all Loan Documents.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Time References</w:t>
      </w:r>
      <w:r>
        <w:rPr>
          <w:rFonts w:ascii="Times New Roman" w:cs="Times New Roman" w:eastAsia="Times New Roman" w:hAnsi="Times New Roman"/>
          <w:sz w:val="18"/>
          <w:szCs w:val="18"/>
          <w:color w:val="auto"/>
        </w:rPr>
        <w:t xml:space="preserve">. 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computation of fees or interest payable to Administrative Agent or any Lender, such period shall in any event consist of at least one full day.</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Certain Matters of Construction</w:t>
      </w:r>
      <w:r>
        <w:rPr>
          <w:rFonts w:ascii="Times New Roman" w:cs="Times New Roman" w:eastAsia="Times New Roman" w:hAnsi="Times New Roman"/>
          <w:sz w:val="18"/>
          <w:szCs w:val="18"/>
          <w:color w:val="auto"/>
        </w:rPr>
        <w:t xml:space="preserve">. References in this Agreement to “determination” by Administrative Agent include 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cured or waived in writing pursuant to this Agreement or, in the case of a Default, is cured within any period of cure expressly provided for in this Agreement; and an Event of Default shall “continue” or be “continuing” until such Event of Default has been cured or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 If at any time any action or transaction meets the criteria of one or more than one of the categories of exceptions, thresholds or baskets set forth in any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definition used therein, the Borrower or its Subsidiaries may divide, classify or designate such action or transaction (or any portion thereof), and later (on one or more occasions) may re-divide, re-classify or re-designate such action or transaction (or any portion thereof), as consummated in reliance on one or more of such exceptions, thresholds and baskets within such Section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as the Borrower or any of its Subsidiaries may determine in their sole discretion from time to time. All references to “in the ordinary course of business” of the Borrower or any Subsidiary thereof means (i) in the ordinary course of business of, or in furtherance of an objective that is in the ordinary course of business of the Borrower or such Subsidiary, as applicable, (ii) customary and usual in the industry or industries of the Borrower and its Subsidiaries in the United States or any other jurisdiction in which the Borrower or any Subsidiary does business, as applicable, and (iii) generally consistent with the past or current practice of the Borrower or such Subsidiary, as applicable, or any similarly situated businesses of the United States or any other jurisdiction in which the Borrower or any Subsidiary does business, as applicable.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6" w:name="page157"/>
    <w:bookmarkEnd w:id="15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Administrative Agent does not warrant or accept any responsibility for, and shall not have any 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Borrower.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Financial Metrics</w:t>
      </w:r>
      <w:r>
        <w:rPr>
          <w:rFonts w:ascii="Times New Roman" w:cs="Times New Roman" w:eastAsia="Times New Roman" w:hAnsi="Times New Roman"/>
          <w:sz w:val="18"/>
          <w:szCs w:val="18"/>
          <w:color w:val="auto"/>
        </w:rPr>
        <w:t>. For purposes of determining any financial metric, including, without limitation, Consolidated Total Assets of the Borrower and its Subsidiaries, in connection with any test, requirement, condition or calculation using such metric required hereunder to determine whether any action taken or to be taken by the Borrower is permitted hereunder, the Borrower shall use such number as of the last date for which the Borrower has, or is required to have, delivered financial reporting under Section 5.1 hereof (giving pro forma effect to the proposed action).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auto"/>
        </w:rPr>
        <w:t>. If any of the baskets set forth in Article VI of this Agreement are exceeded solely as a result of currency fluctuations or fluctuations in the Total Net Leverage Ratio or in Consolidated Total Assets for the most recently completed Fiscal Quarter after the last time such baskets were calculated for any purpose under this Agreement, such baskets will not be deemed to have been exceeded solely as a result of such fluctuations.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LOANS</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00" w:hanging="596"/>
        <w:spacing w:after="0"/>
        <w:tabs>
          <w:tab w:leader="none" w:pos="1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Loans</w:t>
      </w:r>
      <w:r>
        <w:rPr>
          <w:rFonts w:ascii="Times New Roman" w:cs="Times New Roman" w:eastAsia="Times New Roman" w:hAnsi="Times New Roman"/>
          <w:sz w:val="18"/>
          <w:szCs w:val="18"/>
          <w:u w:val="single" w:color="auto"/>
          <w:color w:val="0000FF"/>
        </w:rPr>
        <w:t>Loan; 2026 Term Loan</w:t>
      </w:r>
      <w:r>
        <w:rPr>
          <w:rFonts w:ascii="Times New Roman" w:cs="Times New Roman" w:eastAsia="Times New Roman" w:hAnsi="Times New Roman"/>
          <w:sz w:val="18"/>
          <w:szCs w:val="18"/>
          <w:u w:val="single" w:color="auto"/>
          <w:color w:val="auto"/>
        </w:rPr>
        <w:t>; Incremental Term Loans</w:t>
      </w:r>
      <w:r>
        <w:rPr>
          <w:rFonts w:ascii="Times New Roman" w:cs="Times New Roman" w:eastAsia="Times New Roman" w:hAnsi="Times New Roman"/>
          <w:sz w:val="18"/>
          <w:szCs w:val="18"/>
          <w:color w:val="auto"/>
        </w:rPr>
        <w:t>. Subject to the terms and conditions hereof:</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3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severally agrees to make, on the Initial Funding Date, an Initial Term Loan to Borrower in an amount equal to such Lender’s </w:t>
      </w:r>
      <w:r>
        <w:rPr>
          <w:rFonts w:ascii="Times New Roman" w:cs="Times New Roman" w:eastAsia="Times New Roman" w:hAnsi="Times New Roman"/>
          <w:sz w:val="18"/>
          <w:szCs w:val="18"/>
          <w:u w:val="single" w:color="auto"/>
          <w:color w:val="0000FF"/>
        </w:rPr>
        <w:t>Initial</w:t>
      </w:r>
      <w:r>
        <w:rPr>
          <w:rFonts w:ascii="Times New Roman" w:cs="Times New Roman" w:eastAsia="Times New Roman" w:hAnsi="Times New Roman"/>
          <w:sz w:val="18"/>
          <w:szCs w:val="18"/>
          <w:color w:val="auto"/>
        </w:rPr>
        <w:t xml:space="preserve"> Term Loan Commitment; </w:t>
      </w:r>
      <w:r>
        <w:rPr>
          <w:rFonts w:ascii="Times New Roman" w:cs="Times New Roman" w:eastAsia="Times New Roman" w:hAnsi="Times New Roman"/>
          <w:sz w:val="18"/>
          <w:szCs w:val="18"/>
          <w:color w:val="FF0000"/>
          <w:strike w:val="1"/>
        </w:rPr>
        <w:t>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663" w:val="left"/>
        </w:tabs>
        <w:numPr>
          <w:ilvl w:val="1"/>
          <w:numId w:val="9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each Lender severally agrees to make, on the First Amendment Effective Date, a 2026 Term Loan to Borrower in an </w:t>
      </w:r>
      <w:r>
        <w:rPr>
          <w:rFonts w:ascii="Times New Roman" w:cs="Times New Roman" w:eastAsia="Times New Roman" w:hAnsi="Times New Roman"/>
          <w:sz w:val="18"/>
          <w:szCs w:val="18"/>
          <w:u w:val="single" w:color="auto"/>
          <w:color w:val="0000FF"/>
        </w:rPr>
        <w:t>amount equal to such Lender’s 2026 Term Loan Commitment; and</w:t>
      </w:r>
    </w:p>
    <w:p>
      <w:pPr>
        <w:spacing w:after="0" w:line="161" w:lineRule="exact"/>
        <w:rPr>
          <w:rFonts w:ascii="Times New Roman" w:cs="Times New Roman" w:eastAsia="Times New Roman" w:hAnsi="Times New Roman"/>
          <w:sz w:val="18"/>
          <w:szCs w:val="18"/>
          <w:color w:val="0000FF"/>
        </w:rPr>
      </w:pPr>
    </w:p>
    <w:p>
      <w:pPr>
        <w:ind w:firstLine="1952"/>
        <w:spacing w:after="0" w:line="282" w:lineRule="auto"/>
        <w:tabs>
          <w:tab w:leader="none" w:pos="2821" w:val="left"/>
        </w:tabs>
        <w:numPr>
          <w:ilvl w:val="1"/>
          <w:numId w:val="9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 the option of Borrower, and subject to the approval of Lenders in their sole discretion, each Lender 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severally and not jointly, make Incremental Term Loans to Borrower in an aggregate amount not to exceed $</w:t>
      </w:r>
      <w:r>
        <w:rPr>
          <w:rFonts w:ascii="Times New Roman" w:cs="Times New Roman" w:eastAsia="Times New Roman" w:hAnsi="Times New Roman"/>
          <w:sz w:val="18"/>
          <w:szCs w:val="18"/>
          <w:color w:val="FF0000"/>
          <w:strike w:val="1"/>
        </w:rPr>
        <w:t>100,000,000.00</w:t>
      </w:r>
      <w:r>
        <w:rPr>
          <w:rFonts w:ascii="Times New Roman" w:cs="Times New Roman" w:eastAsia="Times New Roman" w:hAnsi="Times New Roman"/>
          <w:sz w:val="18"/>
          <w:szCs w:val="18"/>
          <w:u w:val="single" w:color="auto"/>
          <w:color w:val="0000FF"/>
        </w:rPr>
        <w:t>250,000,000</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-579755</wp:posOffset>
            </wp:positionV>
            <wp:extent cx="58953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53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-596900</wp:posOffset>
            </wp:positionV>
            <wp:extent cx="58953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95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30537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53715"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-168275</wp:posOffset>
            </wp:positionV>
            <wp:extent cx="556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6895"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-185420</wp:posOffset>
            </wp:positionV>
            <wp:extent cx="556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Borrower may make only one borrowing under the </w:t>
      </w:r>
      <w:r>
        <w:rPr>
          <w:rFonts w:ascii="Times New Roman" w:cs="Times New Roman" w:eastAsia="Times New Roman" w:hAnsi="Times New Roman"/>
          <w:sz w:val="18"/>
          <w:szCs w:val="18"/>
          <w:u w:val="single" w:color="auto"/>
          <w:color w:val="0000FF"/>
        </w:rPr>
        <w:t>Initial Term Loan Commitment and the 2026</w:t>
      </w:r>
      <w:r>
        <w:rPr>
          <w:rFonts w:ascii="Times New Roman" w:cs="Times New Roman" w:eastAsia="Times New Roman" w:hAnsi="Times New Roman"/>
          <w:sz w:val="18"/>
          <w:szCs w:val="18"/>
          <w:color w:val="auto"/>
        </w:rPr>
        <w:t xml:space="preserve"> Term Loan Commitment, which shall be on the Initial Funding Date </w:t>
      </w:r>
      <w:r>
        <w:rPr>
          <w:rFonts w:ascii="Times New Roman" w:cs="Times New Roman" w:eastAsia="Times New Roman" w:hAnsi="Times New Roman"/>
          <w:sz w:val="18"/>
          <w:szCs w:val="18"/>
          <w:color w:val="0000FF"/>
        </w:rPr>
        <w:t>and the First Amendment Effective Date, respectively</w:t>
      </w:r>
      <w:r>
        <w:rPr>
          <w:rFonts w:ascii="Times New Roman" w:cs="Times New Roman" w:eastAsia="Times New Roman" w:hAnsi="Times New Roman"/>
          <w:sz w:val="18"/>
          <w:szCs w:val="18"/>
          <w:color w:val="auto"/>
        </w:rPr>
        <w:t xml:space="preserve">. Any amount borrowed under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subsequently repaid or prepaid may not be reborrowed.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all amounts owed hereunder with respect to the Term Loan shall be paid in full no later than the Term Loan Maturity Date. Each Lender’s Term Loan Commitment shall terminate immediately and without further action on the Credit Date on which such Lender funds Initial Term Loans after giving effect to the funding of such Term Loans on such Credit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-428625</wp:posOffset>
            </wp:positionV>
            <wp:extent cx="25431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317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wp:posOffset>
            </wp:positionH>
            <wp:positionV relativeFrom="paragraph">
              <wp:posOffset>-445770</wp:posOffset>
            </wp:positionV>
            <wp:extent cx="25431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3175" cy="8890"/>
                    </a:xfrm>
                    <a:prstGeom prst="rect">
                      <a:avLst/>
                    </a:prstGeom>
                    <a:noFill/>
                  </pic:spPr>
                </pic:pic>
              </a:graphicData>
            </a:graphic>
          </wp:anchor>
        </w:drawing>
      </w:r>
    </w:p>
    <w:p>
      <w:pPr>
        <w:spacing w:after="0" w:line="163" w:lineRule="exact"/>
        <w:rPr>
          <w:sz w:val="20"/>
          <w:szCs w:val="20"/>
          <w:color w:val="auto"/>
        </w:rPr>
      </w:pPr>
    </w:p>
    <w:p>
      <w:pPr>
        <w:ind w:left="1920" w:hanging="616"/>
        <w:spacing w:after="0"/>
        <w:tabs>
          <w:tab w:leader="none" w:pos="1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4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Administrative Agent a fully executed Funding Notice no later than three Business Days prior to the Initial Funding Date (or such shorter period permitted by Administrative Agent), with respect to Term Loans made on the Initial Funding Date. Except as otherwise provided herein, a Funding Notice for a Term Loan that is a SOFR Loan shall be irrevocable on and after the related Interest Rate Determination Date, and Borrower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Borrower (or from any Authorized Officer thereof designated in writing purportedly from Borrower to Administrative Agent), (B) shall be entitled to rely conclusively on any Authorized Officer’s authority to request a Term Loan on behalf of Borrower until Administrative Agent receives written notice to the contrary, and (C) shall have no duty to verify the authenticity of the signature appearing on any written Funding Notice.</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6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Borrower on the applicable Credit Date by causing an amount of same day funds in Dollars equal to the proceeds of all such Loans received by Administrative Agent from Lenders to be credited to the account of Borrower at Administrative Agent’s Principal Office or to such other account as may be designated in writing to Administrative Agent by Borrower.</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jc w:val="both"/>
        <w:ind w:firstLine="1952"/>
        <w:spacing w:after="0" w:line="258" w:lineRule="auto"/>
        <w:tabs>
          <w:tab w:leader="none" w:pos="268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Funding Notice requesting Incremental Term Loans, (a) the Administrative Agent shall promptly forward such Funding Notice to each Lender and (b) each Lender shall, within fifteen (15) U.S. Government Securities Business Days of receipt of such Funding Notice, elect or decline to commit, on the applicable Credit Date, to provide its Pro Rata Share of such Term Loans. During such fifteen (15) U.S. Government Securities Business Days period, Borrower shall provide to Administrative Agent, for distribution to the Lenders, such information as reasonably requested by Lenders, including, without limitation any information related to the use of funds of such Incremental Term Loans.</w:t>
      </w:r>
    </w:p>
    <w:p>
      <w:pPr>
        <w:spacing w:after="0" w:line="183"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 Availability of Funds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8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Shares</w:t>
      </w:r>
      <w:r>
        <w:rPr>
          <w:rFonts w:ascii="Times New Roman" w:cs="Times New Roman" w:eastAsia="Times New Roman" w:hAnsi="Times New Roman"/>
          <w:sz w:val="18"/>
          <w:szCs w:val="18"/>
          <w:color w:val="auto"/>
        </w:rPr>
        <w:t>. All Loans (other than the Incremental Term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 any other Lender in such other Lender’s obligation to make a Loan requested hereunder or purchase a participation required hereby.</w:t>
      </w:r>
    </w:p>
    <w:p>
      <w:pPr>
        <w:spacing w:after="0" w:line="180" w:lineRule="exact"/>
        <w:rPr>
          <w:sz w:val="20"/>
          <w:szCs w:val="20"/>
          <w:color w:val="auto"/>
        </w:rPr>
      </w:pPr>
    </w:p>
    <w:p>
      <w:pPr>
        <w:jc w:val="both"/>
        <w:ind w:firstLine="1952"/>
        <w:spacing w:after="0" w:line="253" w:lineRule="auto"/>
        <w:tabs>
          <w:tab w:leader="none" w:pos="27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Borrower and Borrower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18"/>
          <w:szCs w:val="18"/>
          <w:u w:val="single" w:color="auto"/>
          <w:color w:val="auto"/>
        </w:rPr>
        <w:t>Section 2.1(c)(ii)</w:t>
      </w:r>
      <w:r>
        <w:rPr>
          <w:rFonts w:ascii="Times New Roman" w:cs="Times New Roman" w:eastAsia="Times New Roman" w:hAnsi="Times New Roman"/>
          <w:sz w:val="18"/>
          <w:szCs w:val="18"/>
          <w:color w:val="auto"/>
        </w:rPr>
        <w:t xml:space="preserve"> shall be deemed to relieve any Lender from its obligation to fulfill its Term Loan Commitments hereunder or to prejudice any rights that Borrower may have against any Lender as a result of any default by such Lender hereunder.</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Initial Term Loans shall be applied by Borrower (a) to finance the Closing Date Refinancing and to pay the Transaction Costs and (b) for working capital and general corporate purposes of </w:t>
      </w:r>
      <w:r>
        <w:rPr>
          <w:rFonts w:ascii="Times New Roman" w:cs="Times New Roman" w:eastAsia="Times New Roman" w:hAnsi="Times New Roman"/>
          <w:sz w:val="18"/>
          <w:szCs w:val="18"/>
          <w:u w:val="single" w:color="auto"/>
          <w:color w:val="0000FF"/>
        </w:rPr>
        <w:t>the Borrower and its Subsidiaries.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proceeds of the 2026 Term Loans shall be applied by Borrower (a) to refinance, in full, the Initial Term Loans and (b) for working capital and general corporate purposes (including, for the avoidance of dobut, funding Restricted Junior Payments)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Borrower and its Subsidiaries. No portion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Evidence of Debt; Register; Lenders’ Books and Records; Notes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Evidence of Debt</w:t>
      </w:r>
      <w:r>
        <w:rPr>
          <w:rFonts w:ascii="Times New Roman" w:cs="Times New Roman" w:eastAsia="Times New Roman" w:hAnsi="Times New Roman"/>
          <w:sz w:val="18"/>
          <w:szCs w:val="18"/>
          <w:color w:val="auto"/>
        </w:rPr>
        <w:t xml:space="preserve">. Each Lender shall maintain on its internal records an account or accounts evidencing the Obligations of Borrower to such Lender, including the amounts of the Term Loans made by it and each repayment and prepayment in respect thereof. Any such recordation shall be conclusive and binding on Borrower,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to make any such recordation, or any error in such recordation, shall not affect Borrower’s Obligations in respect of any Term Loans; and provided further, in the event of any inconsistency between the Register and any Lender’s records, the recordations in the Register shall govern.</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9" w:name="page160"/>
    <w:bookmarkEnd w:id="159"/>
    <w:p>
      <w:pPr>
        <w:jc w:val="both"/>
        <w:ind w:left="-660" w:firstLine="1304"/>
        <w:spacing w:after="0" w:line="253" w:lineRule="auto"/>
        <w:tabs>
          <w:tab w:leader="none" w:pos="12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Administrative Agent shall maintain at its Principal Office a register for the recordation of the names and addresses of Lenders and the commitments of and principal amount of the Term Loans (and stated interest therein)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Register shall be available for inspection by Borrower at any reasonable time and from time to time upon reasonable prior notice.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any notice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failure to make any such recordation, or any error in such recordation, shall not affect Borrower’s Obligations to repay any Term Loan in accordance with the terms of this Agreement. Borrower hereby designates the entity serving as Administrative Agent to serve as Borrower’s non-fiduciary agent solely for purposes of maintaining the Register as provided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28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If so requested by any Lender by written notice to Borrower (with a copy to Administrative Agent) at least two Business Days prior to the Closing Date, or at any time thereafter, Borrower shall execute and deliver to such Lender (or, if applicable and if so specified in such notice, to any Person who is an assignee of such Lender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on the Closing Date (or, if such notice is delivered after the Closing Date, promptly after Borrower’s receipt of such notice) a Note or Notes.</w:t>
      </w:r>
    </w:p>
    <w:p>
      <w:pPr>
        <w:spacing w:after="0" w:line="1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33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or (ii) if a SOFR Loan, at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58" w:lineRule="auto"/>
        <w:tabs>
          <w:tab w:leader="none" w:pos="13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determining the rate of interest with respect to any Loan, and the Interest Period with respect to any SOFR Loan, shall be selected by Borrower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4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SOFR Loans there shall be no more than five (5) Interest Periods outstanding at any time. In the event Borrower fails to specify between a Base Rate Loan or a SOFR Loan in the applicable Funding Notice or Conversion/Continuation Notice, such Loan (if outstanding as a SOFR Loan) will automatically continue as a SOFR Loan on the last day of the then current Interest Period for such Loan (or if outstanding as a Base Rate Loan will remain as, or (if not then outstanding) will be made as, a Base Rate Loan). At any time that an Event of Default has occurred and is continuing, Borrower no longer shall have the option to request that any portion of the Loans be a SOFR Loan and such SOFR Loans shall automatically convert to Base Rate Loans on the last day of the then current Interest Period. As soon as practicable after 1:00 p.m.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Borrower and each Lender.</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0" w:name="page161"/>
    <w:bookmarkEnd w:id="160"/>
    <w:p>
      <w:pPr>
        <w:jc w:val="both"/>
        <w:ind w:firstLine="1304"/>
        <w:spacing w:after="0" w:line="256" w:lineRule="auto"/>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payable hereunder shall be computed on the basis of a 360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 Loan is repaid on the same day on which it is made, one day’s interest shall be paid on that Loan.</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20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interest on each Term Loan shall be payable in cash and in arrears (i) on each Interest Payment Date and (ii) upon any prepayment of that Term Loan, whether voluntary or mandatory, to the extent accrued on the amount being prepaid.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Conversion/Continuation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so long as no Event of Default shall have occurred and then be continuing, Borrower shall have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207" w:lineRule="exact"/>
        <w:rPr>
          <w:sz w:val="20"/>
          <w:szCs w:val="20"/>
          <w:color w:val="auto"/>
        </w:rPr>
      </w:pPr>
    </w:p>
    <w:p>
      <w:pPr>
        <w:jc w:val="both"/>
        <w:ind w:firstLine="1952"/>
        <w:spacing w:after="0" w:line="266" w:lineRule="auto"/>
        <w:tabs>
          <w:tab w:leader="none" w:pos="264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SOFR Loan may only be converted on the expiration of the Interest Period applicable to such SOFR Loan unless Borrower shall pay all amounts due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 connection with any such conversion; or</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6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Interest Period applicable to any SOFR Loan, to continue all or any portion of such Loan equal to $5,000,000 and integral multiples of $5,000,000 in excess of that amount as a SOFR Loan.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a Conversion/Continuation Notice to Administrative Agent no later than 1:00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Borrower shall be bound to effect a conversion or continuation in accordance therewith.</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Upon the occurrence and during the continuance of an Event of Default under </w:t>
      </w:r>
      <w:r>
        <w:rPr>
          <w:rFonts w:ascii="Times New Roman" w:cs="Times New Roman" w:eastAsia="Times New Roman" w:hAnsi="Times New Roman"/>
          <w:sz w:val="18"/>
          <w:szCs w:val="18"/>
          <w:u w:val="single" w:color="auto"/>
          <w:color w:val="auto"/>
        </w:rPr>
        <w:t>Sections 8.1(a)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and after written notice from the Administrative Agent acting at the direction of the Required Lenders, after the occurrence and during the continuance of any other Event of Default, the principal amount of all Term Loans outstanding and, to the extent permitted by applicable law, any interest payments on the Term Loans or any fees or other amounts owed hereunder (including any Applicable Premium and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is not a permitted alternative to timely payment and shall not constitute a waiver of any Default or Event of Default or otherwise prejudice or limit any rights or remedies of Administrative Agent or any Lender.</w:t>
      </w:r>
    </w:p>
    <w:p>
      <w:pPr>
        <w:spacing w:after="0" w:line="18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Fees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pay </w:t>
      </w:r>
      <w:r>
        <w:rPr>
          <w:rFonts w:ascii="Times New Roman" w:cs="Times New Roman" w:eastAsia="Times New Roman" w:hAnsi="Times New Roman"/>
          <w:sz w:val="18"/>
          <w:szCs w:val="18"/>
          <w:color w:val="FF0000"/>
          <w:strike w:val="1"/>
        </w:rPr>
        <w:t>to Administrative Agent</w:t>
      </w:r>
      <w:r>
        <w:rPr>
          <w:rFonts w:ascii="Times New Roman" w:cs="Times New Roman" w:eastAsia="Times New Roman" w:hAnsi="Times New Roman"/>
          <w:sz w:val="18"/>
          <w:szCs w:val="18"/>
          <w:color w:val="auto"/>
        </w:rPr>
        <w:t xml:space="preserve"> all fees payable by it in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Fee Letters in the amounts and at the times specified therein.</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calculated on the basis of a 360 day year and the actual number of days elapsed.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Repayment of Term Loans</w:t>
      </w:r>
      <w:r>
        <w:rPr>
          <w:rFonts w:ascii="Times New Roman" w:cs="Times New Roman" w:eastAsia="Times New Roman" w:hAnsi="Times New Roman"/>
          <w:sz w:val="18"/>
          <w:szCs w:val="18"/>
          <w:color w:val="auto"/>
        </w:rPr>
        <w:t>. The principal amounts of the Term Loans shall be repaid in quarterly installments (each, an “</w:t>
      </w:r>
      <w:r>
        <w:rPr>
          <w:rFonts w:ascii="Times New Roman" w:cs="Times New Roman" w:eastAsia="Times New Roman" w:hAnsi="Times New Roman"/>
          <w:sz w:val="18"/>
          <w:szCs w:val="18"/>
          <w:u w:val="single" w:color="auto"/>
          <w:color w:val="auto"/>
        </w:rPr>
        <w:t>Installment</w:t>
      </w:r>
      <w:r>
        <w:rPr>
          <w:rFonts w:ascii="Times New Roman" w:cs="Times New Roman" w:eastAsia="Times New Roman" w:hAnsi="Times New Roman"/>
          <w:sz w:val="18"/>
          <w:szCs w:val="18"/>
          <w:color w:val="auto"/>
        </w:rPr>
        <w:t>”) in the amounts set forth opposite each installment payment date in the table below:</w:t>
      </w:r>
    </w:p>
    <w:p>
      <w:pPr>
        <w:spacing w:after="0" w:line="157"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3420" w:type="dxa"/>
            <w:vAlign w:val="bottom"/>
            <w:tcBorders>
              <w:top w:val="single" w:sz="8" w:color="auto"/>
              <w:left w:val="single" w:sz="8" w:color="auto"/>
              <w:bottom w:val="single" w:sz="8" w:color="auto"/>
              <w:right w:val="single" w:sz="8" w:color="auto"/>
            </w:tcBorders>
            <w:shd w:val="clear" w:color="auto" w:fill="E6E6E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Installment Payment Date</w:t>
            </w:r>
          </w:p>
        </w:tc>
        <w:tc>
          <w:tcPr>
            <w:tcW w:w="332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Loan Installments</w:t>
            </w:r>
          </w:p>
        </w:tc>
      </w:tr>
      <w:tr>
        <w:trPr>
          <w:trHeight w:val="193"/>
        </w:trPr>
        <w:tc>
          <w:tcPr>
            <w:tcW w:w="3420" w:type="dxa"/>
            <w:vAlign w:val="bottom"/>
            <w:tcBorders>
              <w:bottom w:val="single" w:sz="8" w:color="auto"/>
              <w:right w:val="single" w:sz="8" w:color="auto"/>
            </w:tcBorders>
          </w:tcPr>
          <w:p>
            <w:pPr>
              <w:jc w:val="right"/>
              <w:ind w:right="2930"/>
              <w:spacing w:after="0" w:line="193" w:lineRule="exact"/>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3420" w:type="dxa"/>
            <w:vAlign w:val="bottom"/>
            <w:tcBorders>
              <w:bottom w:val="single" w:sz="8" w:color="auto"/>
              <w:right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w w:val="97"/>
              </w:rPr>
              <w: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(x) [***], (y) the outstanding unpaid principal balance, together with all other amounts owed hereunder with respect thereto, shall, in any event, be paid in full in cash no later than the Term Loan Maturity Date; and (z) any Incremental Term Loans shall be repaid in accordance with the amortization schedule for such Incremental Term Loans in the Incremental Amendment applicable thereto.</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Voluntary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Fee Letter, Borrower may prepay at any time the Term Loan on any Business Day in whole or in part (together with any amounts due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in an aggregate minimum amount of $10,000,000 and integral multiples of $5,000,000 in excess of that amount.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prepayments shall be made upon not less than three (3) Business Day’s prior written notice, in each case given to Administrative Agent by 1:00 p.m.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rescind any notice if (i) such prepayment would have resulted from a refinancing of the Term Loans or other contingent transaction and such refinancing or transaction shall not be consummated or shall otherwise be delayed, and (ii) such prior written notice states that such prepayment is conditioned upon the closing on the proposed date of prepayment of a refinancing of the Term Loans or other contingent transaction. Any such voluntary prepayment shall be applied as specified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with respect to the Term Loans.</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ind w:left="652"/>
        <w:spacing w:after="0"/>
        <w:tabs>
          <w:tab w:leader="none" w:pos="1932"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Mandatory Prepayment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92" w:hanging="596"/>
        <w:spacing w:after="0"/>
        <w:tabs>
          <w:tab w:leader="none" w:pos="1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952"/>
        <w:spacing w:after="0" w:line="253" w:lineRule="auto"/>
        <w:tabs>
          <w:tab w:leader="none" w:pos="2531"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[***]following the date of receipt by any Loan Party of any Net Proceeds from Asset Sales (other than any Asset Sale described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(solely with respect to an Asset Sale of Product (Core) pursuant to an agreement that satisfies the conditions of clause (b) of the definition of Permitted Product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in excess of (x) $[***] in the aggregate with respect to Asset Sales of Product and (y) $[***] in the aggregate with respect to any other Asset Sales (including, for the avoidance of doubt, any priority review voucher);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prepayment shall not be required so long as (i) no Default or Event of Default shall have occurred and be continuing, (ii) Borrower has delivered Administrative Agent written notice of Borrower’s intention to reinvest such monies in long-term or capital assets used or useful in the business of the Loan Parties, (iii) the Net Proceeds are held in a Deposit Account in which Administrative Agent has a perfected first-priority security interest, and (iv) the Loan Parties complete such reinvestment or purchase within [***] days after the initial receipt of such monies;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day period,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 amount equal to any such Net Proceeds shall, within [***]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8" w:firstLine="1952"/>
        <w:spacing w:after="0" w:line="282" w:lineRule="auto"/>
        <w:tabs>
          <w:tab w:leader="none" w:pos="2561"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201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No later than the [***]following the date of receipt by any Loan Party, or Administrative Agent as loss payee, of any Net Proceeds from insurance or any condemnation, taking or other casualty in excess of $[***], Borrower shall, subject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prepay the Term Loan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in an aggregate amount equal to such Net Proceeds in excess of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such prepayment shall not be required so long as (i) no Default or Event of Default shall have occurred and be continuing, (ii) Borrower has delivered Administrative Agent prior written notice of Borrower’s intention to [***] reinvest such monies in long-term or capital assets used or useful in the business of the Loan Parties, (iii) the Net Proceeds are held in a Deposit Account in which Administrative Agent has a perfected first-priority security interest, and</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complete such reinvestment or purchase within [***] days after the initial receipt of such monies;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Net Proceeds are no longer intended to be or cannot be so reinvested or applied during the applicable [***] day period, and subject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 amount equal to any such Net Proceeds shall, within [***] after Borrower reasonably determines that such Net Proceeds are no longer intended to be or cannot be so reinvested or applied, be applied to the prepayment of the Term Loans as set forth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91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Borrower shall prepay the Loans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79"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63" w:name="page164"/>
    <w:bookmarkEnd w:id="163"/>
    <w:p>
      <w:pPr>
        <w:ind w:left="1260" w:hanging="616"/>
        <w:spacing w:after="0"/>
        <w:tabs>
          <w:tab w:leader="none" w:pos="1260" w:val="left"/>
        </w:tabs>
        <w:numPr>
          <w:ilvl w:val="0"/>
          <w:numId w:val="110"/>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w:t>
      </w:r>
    </w:p>
    <w:p>
      <w:pPr>
        <w:spacing w:after="0" w:line="225" w:lineRule="exact"/>
        <w:rPr>
          <w:rFonts w:ascii="Times New Roman" w:cs="Times New Roman" w:eastAsia="Times New Roman" w:hAnsi="Times New Roman"/>
          <w:sz w:val="18"/>
          <w:szCs w:val="18"/>
          <w:color w:val="0000FF"/>
        </w:rPr>
      </w:pPr>
    </w:p>
    <w:p>
      <w:pPr>
        <w:jc w:val="both"/>
        <w:ind w:left="-660" w:firstLine="1304"/>
        <w:spacing w:after="0" w:line="256" w:lineRule="auto"/>
        <w:tabs>
          <w:tab w:leader="none" w:pos="1348" w:val="left"/>
        </w:tabs>
        <w:numPr>
          <w:ilvl w:val="0"/>
          <w:numId w:val="110"/>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Prepayment Certificate</w:t>
      </w:r>
      <w:r>
        <w:rPr>
          <w:rFonts w:ascii="Times New Roman" w:cs="Times New Roman" w:eastAsia="Times New Roman" w:hAnsi="Times New Roman"/>
          <w:sz w:val="18"/>
          <w:szCs w:val="18"/>
          <w:color w:val="000000"/>
        </w:rPr>
        <w:t>. Concurrently with any prepayment of the Term Loan pursuant to Section 2.10(a) through Section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2.10(</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xml:space="preserve">), Borrower shall deliver to Administrative Agent a certificate of an Authorized Officer demonstrating the calculation of the amount of the applicable net proceeds and compensation owing to Lenders pursuant to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Fee Letter, if any, as the case may be. In the event that Borrower shall subsequently determine that the actual amount received exceeded the amount set forth in such certificate, Borrower shall promptly make an additional prepayment of the Loans, and Borrower shall concurrently therewith deliver to Administrative Agent a certificate of an Authorized Officer demonstrating the derivation of such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-974725</wp:posOffset>
            </wp:positionV>
            <wp:extent cx="6661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6115"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-991870</wp:posOffset>
            </wp:positionV>
            <wp:extent cx="6661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6115"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-700405</wp:posOffset>
            </wp:positionV>
            <wp:extent cx="4521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2120"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-717550</wp:posOffset>
            </wp:positionV>
            <wp:extent cx="4521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16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u w:val="single" w:color="auto"/>
          <w:color w:val="auto"/>
        </w:rPr>
        <w:t>Application of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3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Prepayments of Term Loans</w:t>
      </w:r>
      <w:r>
        <w:rPr>
          <w:rFonts w:ascii="Times New Roman" w:cs="Times New Roman" w:eastAsia="Times New Roman" w:hAnsi="Times New Roman"/>
          <w:sz w:val="18"/>
          <w:szCs w:val="18"/>
          <w:color w:val="auto"/>
        </w:rPr>
        <w:t xml:space="preserve">. (i) Any prepayment of the Term Loan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(ii) except in connection with any Waivable Mandatory Prepayment provided for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so long as no Application Event has occurred and is continuing, any mandatory prepayment of any Loan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in each case, shall be applied as follows: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first, </w:t>
      </w:r>
      <w:r>
        <w:rPr>
          <w:rFonts w:ascii="Times New Roman" w:cs="Times New Roman" w:eastAsia="Times New Roman" w:hAnsi="Times New Roman"/>
          <w:sz w:val="18"/>
          <w:szCs w:val="18"/>
          <w:color w:val="auto"/>
        </w:rPr>
        <w:t>to prepay accrued and unpaid interest on the Term Loan;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second, </w:t>
      </w:r>
      <w:r>
        <w:rPr>
          <w:rFonts w:ascii="Times New Roman" w:cs="Times New Roman" w:eastAsia="Times New Roman" w:hAnsi="Times New Roman"/>
          <w:sz w:val="18"/>
          <w:szCs w:val="18"/>
          <w:color w:val="auto"/>
        </w:rPr>
        <w:t>to pay any Prepayment Premium and any Applicable Premium payable thereon; and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third, </w:t>
      </w:r>
      <w:r>
        <w:rPr>
          <w:rFonts w:ascii="Times New Roman" w:cs="Times New Roman" w:eastAsia="Times New Roman" w:hAnsi="Times New Roman"/>
          <w:sz w:val="18"/>
          <w:szCs w:val="18"/>
          <w:color w:val="auto"/>
        </w:rPr>
        <w:t>to prepay the principal of the (i) Initial Term Loan, subject to Section 2.8, ratably, and (ii) Incremental Term Loans, ratably.</w:t>
      </w:r>
    </w:p>
    <w:p>
      <w:pPr>
        <w:spacing w:after="0" w:line="227" w:lineRule="exact"/>
        <w:rPr>
          <w:sz w:val="20"/>
          <w:szCs w:val="20"/>
          <w:color w:val="auto"/>
        </w:rPr>
      </w:pPr>
    </w:p>
    <w:p>
      <w:pPr>
        <w:jc w:val="both"/>
        <w:ind w:left="-660" w:firstLine="1304"/>
        <w:spacing w:after="0" w:line="253" w:lineRule="auto"/>
        <w:tabs>
          <w:tab w:leader="none" w:pos="12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Anything contained herein to the contrary notwithstanding, in the event Borrower is required to make any mandatory prepayment (a “</w:t>
      </w:r>
      <w:r>
        <w:rPr>
          <w:rFonts w:ascii="Times New Roman" w:cs="Times New Roman" w:eastAsia="Times New Roman" w:hAnsi="Times New Roman"/>
          <w:sz w:val="18"/>
          <w:szCs w:val="18"/>
          <w:u w:val="single" w:color="auto"/>
          <w:color w:val="auto"/>
        </w:rPr>
        <w:t>Waivable Mandatory Prepayment</w:t>
      </w:r>
      <w:r>
        <w:rPr>
          <w:rFonts w:ascii="Times New Roman" w:cs="Times New Roman" w:eastAsia="Times New Roman" w:hAnsi="Times New Roman"/>
          <w:sz w:val="18"/>
          <w:szCs w:val="18"/>
          <w:color w:val="auto"/>
        </w:rPr>
        <w:t xml:space="preserve">”) of the Term Loans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not less than [***] prior to the date (the “</w:t>
      </w:r>
      <w:r>
        <w:rPr>
          <w:rFonts w:ascii="Times New Roman" w:cs="Times New Roman" w:eastAsia="Times New Roman" w:hAnsi="Times New Roman"/>
          <w:sz w:val="18"/>
          <w:szCs w:val="18"/>
          <w:u w:val="single" w:color="auto"/>
          <w:color w:val="auto"/>
        </w:rPr>
        <w:t>Required Prepayment Date</w:t>
      </w:r>
      <w:r>
        <w:rPr>
          <w:rFonts w:ascii="Times New Roman" w:cs="Times New Roman" w:eastAsia="Times New Roman" w:hAnsi="Times New Roman"/>
          <w:sz w:val="18"/>
          <w:szCs w:val="18"/>
          <w:color w:val="auto"/>
        </w:rPr>
        <w:t xml:space="preserve">”) on which Borrower is required to make such Waivable Mandatory Prepayment, Borrower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Borrower and Administrative Agent of its election to do so on or before the [***] prior to the Required Prepayment Date (it being understood that any Lender which does not notify Borrower and Administrative Agent of its election to exercise such option on or before the [***] prior to the Required Prepayment Date shall be deemed to have elected, as of such date, not to exercise such option). On the Required Prepayment Date, Borrower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and (ii) to the extent of any excess, to Borrower for working capital and general corporate purposes.</w:t>
      </w:r>
    </w:p>
    <w:p>
      <w:pPr>
        <w:spacing w:after="0" w:line="189"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all payments shall be applied pursuant to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Nothing contained herein shall modify the provisions of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regarding the requirement that all prepayments be accompanied by accrued interest and fees on the principal amount being prepaid to the date of such prepayment and the applicable Applicable Premium, Prepayment Premium, or any requirement otherwise contained herein to pay all other amounts as the same become due and payable.</w:t>
      </w:r>
    </w:p>
    <w:p>
      <w:pPr>
        <w:spacing w:after="0" w:line="17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4" w:name="page165"/>
    <w:bookmarkEnd w:id="164"/>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General Provisions Regarding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Borrower of principal, interest, fees and other Obligations shall be made in Dollars in immediately available funds, without defense, recoupment, setoff or counterclaim, free of any restriction or condition, and delivered to Administrative Agent, for the account of Lenders, not later than 1:00 p.m. (or such later time as the Administrative Agent may agree) on the date such payment is due and payable to Administrative Agent’s Account. Funds received by Administrative Agent after that time on such due date may be deemed to have been paid by Borrower on the next Business Day.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Term Loan shall be accompanied by payment of accrued interest on the principal amount being repaid or prepaid, any Prepayment Premium, any Applicable Premium, and all other amounts payable with respect to the principal amount being repaid or prepaid.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19" w:lineRule="exact"/>
        <w:tabs>
          <w:tab w:leader="none" w:pos="189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shall deem any payment by or on behalf of Borrower hereunder that is not made in same day funds prior to 1:00 p.m. (or such later time as the Administrative Agent may agree) to be a non-conforming payment. Any such payment shall be deemed not to have been received by Administrative Agent until the later of (i) the time such funds become available funds, and (ii) the applicable next Business Day. Administrative Agent shall give prompt telephonic notice to Borrower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Interest shall continue to accrue on any principal as to which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from the date such amount was due and payable until the date such amount is paid in full.</w:t>
      </w:r>
    </w:p>
    <w:p>
      <w:pPr>
        <w:spacing w:after="0" w:line="19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17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Obligations in respect of any fees (other than any Prepayment Premium and Applicable Premium),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reimbursements, indemnities and other amounts then due and payable to Administrative Agent until paid in full;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5" w:name="page166"/>
    <w:bookmarkEnd w:id="165"/>
    <w:p>
      <w:pPr>
        <w:ind w:left="1300"/>
        <w:spacing w:after="0"/>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interest then due and payable in respect of Protective Advances until paid in full;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principal of Protective Advances then due and payable until paid in full;</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the Obligations in respect of any fees (other than any Prepayment Premium and Applicable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indemnities then due and payable to the Lenders with a Term Loan Commitment until paid in full;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interest then due and payable in respect of the Term Loan until paid in full;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ratably to pay the principal of the Term Loan until paid in full;</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ratably to pay the Obligations in respect of any Prepayment Premium and Applicable Premium then due and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with a Term Loan Commitment until paid in full; 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to the ratable payment of all other Obligations then due and payable until paid in full.</w:t>
      </w:r>
    </w:p>
    <w:p>
      <w:pPr>
        <w:spacing w:after="0" w:line="225" w:lineRule="exact"/>
        <w:rPr>
          <w:sz w:val="20"/>
          <w:szCs w:val="20"/>
          <w:color w:val="auto"/>
        </w:rPr>
      </w:pPr>
    </w:p>
    <w:p>
      <w:pPr>
        <w:jc w:val="both"/>
        <w:ind w:firstLine="1304"/>
        <w:spacing w:after="0" w:line="254" w:lineRule="auto"/>
        <w:tabs>
          <w:tab w:leader="none" w:pos="19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(other than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clause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90"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direct conflict between the priority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shall control and govern.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Borrower hereby authorize Administrative Agent to, and Administrative Agent may, from time to time, charge the Loan Account with any amount then due and payable by Borrower under any Loan Document. Each of the Lenders and Borrower agrees that Administrative Agent shall have the right to make such charges whether or not any Default or Event of Default shall have occurred and be continuing or whether any of the conditions precedent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have been satisfied. Any amount charged to the Loan Account shall be deemed a Loan hereunder made by the Lenders to Borrower, funded by Administrative Agent on behalf of the Lenders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Lenders and Borrower confirm that any charges that Administrative Agent may so make to the Loan Account as herein provided will be made as an accommodation to Borrower and solely at Administrative Agent’s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Administrative Agent shall from time to time in its discretion or upon the request of the Required Lenders, charge the Loan Account of Borrower with any amount due and payable under any Loan Document. The Administrative Agent shall provide a reasonably detailed invoice for any amounts charged to the Loan Account (unless such charge is made at the Borrower’s request) promptly upon request by the Borrower.</w:t>
      </w:r>
    </w:p>
    <w:p>
      <w:pPr>
        <w:spacing w:after="0" w:line="1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66" w:name="page167"/>
    <w:bookmarkEnd w:id="166"/>
    <w:p>
      <w:pPr>
        <w:jc w:val="both"/>
        <w:ind w:firstLine="1304"/>
        <w:spacing w:after="0" w:line="266" w:lineRule="auto"/>
        <w:tabs>
          <w:tab w:leader="none" w:pos="18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 Lenders hereby agree among themselves that, except as otherwise provided in the Collateral 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18"/>
          <w:szCs w:val="18"/>
          <w:u w:val="single" w:color="auto"/>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all or part of such proportionately greater payment received by such purchasing Lender is thereafter recovered from such Lender upon the bankruptcy or reorganization of Borrower or otherwise, those purchases shall be rescinded and the purchase prices paid for such participations shall be returned to such purchasing Lender ratably to the extent of such recovery, but without interest. Borrower expressly consents to the foregoing arrangement and agrees that any holder of a participation so purchased may exercise any and all rights of banker’s lien, set off or counterclaim with respect to any and all monies owing by Borrower to that holder with respect thereto as fully as if that holder were owed the amount of the participation held by that holder.</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Increased Costs; Capital Adequacy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0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Increased Costs and Taxes</w:t>
      </w:r>
      <w:r>
        <w:rPr>
          <w:rFonts w:ascii="Times New Roman" w:cs="Times New Roman" w:eastAsia="Times New Roman" w:hAnsi="Times New Roman"/>
          <w:sz w:val="18"/>
          <w:szCs w:val="18"/>
          <w:color w:val="auto"/>
        </w:rPr>
        <w:t xml:space="preserve">.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with respect to its Loans, commitments, or other obligations, or its deposits, reserves, other liabilities or capital attributable thereto;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Borrower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Borrower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which statement shall be conclusive and binding upon all parties hereto absent manifest error.</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left="-660" w:firstLine="1304"/>
        <w:spacing w:after="0" w:line="253" w:lineRule="auto"/>
        <w:tabs>
          <w:tab w:leader="none" w:pos="13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Adequacy Adjustment</w:t>
      </w:r>
      <w:r>
        <w:rPr>
          <w:rFonts w:ascii="Times New Roman" w:cs="Times New Roman" w:eastAsia="Times New Roman" w:hAnsi="Times New Roman"/>
          <w:sz w:val="18"/>
          <w:szCs w:val="18"/>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Borrower from such Lender of the statement referred to in the next sentence, Borrower shall pay to such Lender such additional amount or amounts as will compensate such Lender or such controlling corporation on an after tax basis for such reduction. Such Lender shall deliver to Borrower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which statement shall be conclusive and binding upon all parties hereto absent manifest error.</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u w:val="single" w:color="auto"/>
          <w:color w:val="auto"/>
        </w:rPr>
        <w:t>Taxes; Withholding, Etc.</w:t>
      </w:r>
    </w:p>
    <w:p>
      <w:pPr>
        <w:spacing w:after="0" w:line="200" w:lineRule="exact"/>
        <w:rPr>
          <w:sz w:val="20"/>
          <w:szCs w:val="20"/>
          <w:color w:val="auto"/>
        </w:rPr>
      </w:pPr>
    </w:p>
    <w:p>
      <w:pPr>
        <w:spacing w:after="0" w:line="241" w:lineRule="exact"/>
        <w:rPr>
          <w:sz w:val="20"/>
          <w:szCs w:val="20"/>
          <w:color w:val="auto"/>
        </w:rPr>
      </w:pPr>
    </w:p>
    <w:p>
      <w:pPr>
        <w:jc w:val="both"/>
        <w:ind w:left="-660" w:firstLine="1304"/>
        <w:spacing w:after="0" w:line="252" w:lineRule="auto"/>
        <w:tabs>
          <w:tab w:leader="none" w:pos="12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xml:space="preserve">. All sums payable by any Loan Party hereunder and under the other Loan Documents shall (except to the extent required by applicable law) be paid free and clear of, and without any deduction or withholding on account of, any Tax. If any Loan Party or any other Person is required by law to make any deduction or withholding on account of any Tax with respect to any sum paid or payable by any Loan Party to Administrative Agent or any Lender under any of the Loan Documents: (1) Borrower shall notify Administrative Agent of any such requirement or any change in any such requirement as soon as Borrower becomes aware of it; (2) Borrower or the applicable Loan Party, if it is the applicable withholding agent, shall pay any such Tax before the date on which penalties attach thereto, such payment to be made (if the liability to pay is imposed on any Loan Party) for its own account or (if that liability is imposed on Administrative Agent or such Lender, as the case may be) on behalf of and in the name of Administrative Agent or such Lender; (3) if such Tax is an Indemnified Tax, then the sum payable by the applicable Loan Party shall be increased to the extent necessary to ensure that, after all such deductions or withholdings have been made by any applicable withholding agent (including any such deductions or withholdings applicable to additional sums payable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applicable Lender (or, in the case of payments made to the Administrative Agent for its own account, the Administrative Agent) receives on the due date a net sum equal to what it would have received had no such deduction or withholding been required or made; and (4) within [***] days after paying any sum from which Borrower or any other Loan Party is required by law to make any deduction or withholding, Borrower shall deliver to Administrative Agent evidence satisfactory to Administrative Agent of such deduction or withholding and of the remittance thereof to the relevant Governmental Authority.</w:t>
      </w:r>
    </w:p>
    <w:p>
      <w:pPr>
        <w:spacing w:after="0" w:line="197"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68" w:name="page169"/>
    <w:bookmarkEnd w:id="168"/>
    <w:p>
      <w:pPr>
        <w:jc w:val="both"/>
        <w:ind w:left="-1120" w:firstLine="1304"/>
        <w:spacing w:after="0" w:line="255" w:lineRule="auto"/>
        <w:tabs>
          <w:tab w:leader="none" w:pos="89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The Loan Parties shall pay to the relevant Governmental Authorities (or, at the option of Administrative Agent, timely reimburse it for the payment of) any present or future stamp, court, documentary, intangible, recording, filing or similar Taxes or any other property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Within [***] days after paying any such Other Taxes, each Loan Party shall deliver to Administrative Agent evidence satisfactory to Administrative Agent that such Other Taxes have been paid to the relevant Governmental Authority.</w:t>
      </w:r>
    </w:p>
    <w:p>
      <w:pPr>
        <w:spacing w:after="0" w:line="188" w:lineRule="exact"/>
        <w:rPr>
          <w:rFonts w:ascii="Times New Roman" w:cs="Times New Roman" w:eastAsia="Times New Roman" w:hAnsi="Times New Roman"/>
          <w:sz w:val="18"/>
          <w:szCs w:val="18"/>
          <w:color w:val="auto"/>
        </w:rPr>
      </w:pPr>
    </w:p>
    <w:p>
      <w:pPr>
        <w:ind w:left="780" w:hanging="596"/>
        <w:spacing w:after="0"/>
        <w:tabs>
          <w:tab w:leader="none" w:pos="7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6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hereby jointly and severally agree to indemnify and hold Administrative Agent and any Lender harmless from and against all Indemnified Taxes (including, without limitation, Indemnified Taxes imposed or asserted on or attributable to any amounts payable under this Section 2.15) payable or paid by such Person or required to be withheld or deducted with respect to any payment to such Person and any reasonable expenses arising therefrom or with respect thereto, whether or not such Indemnified Taxes were correctly or legally imposed or asserted;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reasonably believes that such Taxes were not correctly or legally asserted, the Administrative Agent or such Lender, as applicable, will, at the Borrower’s request, use reasonable efforts to cooperate with the Borrower to obtain a refund of such Taxes (which shall be repaid to the Borrower in accordance with Section 2.15(e)) so long as such efforts would not, in the sole determination of the Administrative Agent or such Lender, result in any additional out-of-pocket costs or expenses not reimbursed by such Loan Party or be otherwise materially disadvantageous to the Administrative Agent or such Lender, as applicable. Such indemnification shall be paid within [***] days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91"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severally indemnify Administrative Agent, within [***] days after written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10.6(h)(ii)</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9" w:name="page170"/>
    <w:bookmarkEnd w:id="169"/>
    <w:p>
      <w:pPr>
        <w:ind w:left="800" w:hanging="616"/>
        <w:spacing w:after="0"/>
        <w:tabs>
          <w:tab w:leader="none" w:pos="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Exemption From Withholding 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3" w:lineRule="auto"/>
        <w:tabs>
          <w:tab w:leader="none" w:pos="144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any exemption from or reduction of withholding Tax with respect to any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(iii))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w:t>
      </w:r>
    </w:p>
    <w:p>
      <w:pPr>
        <w:spacing w:after="0" w:line="194"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208"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2209"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480" w:firstLine="648"/>
        <w:spacing w:after="0" w:line="266" w:lineRule="auto"/>
        <w:tabs>
          <w:tab w:leader="none" w:pos="2878"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executed copies of IRS Form W-8BEN or IRS Form W-8BEN-E establishing an exemption from, or reduction of, U.S. federal withholding Tax pursuant to such tax treaty;</w:t>
      </w:r>
    </w:p>
    <w:p>
      <w:pPr>
        <w:spacing w:after="0" w:line="175" w:lineRule="exact"/>
        <w:rPr>
          <w:rFonts w:ascii="Times New Roman" w:cs="Times New Roman" w:eastAsia="Times New Roman" w:hAnsi="Times New Roman"/>
          <w:sz w:val="18"/>
          <w:szCs w:val="18"/>
          <w:color w:val="auto"/>
        </w:rPr>
      </w:pPr>
    </w:p>
    <w:p>
      <w:pPr>
        <w:ind w:left="2740" w:hanging="612"/>
        <w:spacing w:after="0"/>
        <w:tabs>
          <w:tab w:leader="none" w:pos="2740"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1480" w:firstLine="648"/>
        <w:spacing w:after="0" w:line="255" w:lineRule="auto"/>
        <w:tabs>
          <w:tab w:leader="none" w:pos="2869" w:val="left"/>
        </w:tabs>
        <w:numPr>
          <w:ilvl w:val="3"/>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871(h)(3)(B) of the Internal Revenue Code, or a “controlled foreign corporation” related to any Loan Party described in Section 881(c)(3)(C) of the Internal Revenue Code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4"/>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0" w:name="page171"/>
    <w:bookmarkEnd w:id="170"/>
    <w:p>
      <w:pPr>
        <w:jc w:val="both"/>
        <w:ind w:left="1480" w:firstLine="648"/>
        <w:spacing w:after="0" w:line="255" w:lineRule="auto"/>
        <w:tabs>
          <w:tab w:leader="none" w:pos="275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(for example, where the Foreign Lender is a partnership or a participating Lender), executed copies of IRS Form W-8IMY, accompanied by IRS Form W-8ECI, IRS Form W-8BEN, IRS Form W-8BEN-E, a U.S. Tax Compliance Certificate substantially in the form of Exhibit G-2 or Exhibit G-3, IRS Form W-9, 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G-4 on behalf of such direct and indirect partner(s);</w:t>
      </w:r>
    </w:p>
    <w:p>
      <w:pPr>
        <w:spacing w:after="0" w:line="188"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49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eligible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5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2.15(d)(iii)</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1" w:lineRule="exact"/>
        <w:rPr>
          <w:rFonts w:ascii="Times New Roman" w:cs="Times New Roman" w:eastAsia="Times New Roman" w:hAnsi="Times New Roman"/>
          <w:sz w:val="18"/>
          <w:szCs w:val="18"/>
          <w:color w:val="auto"/>
        </w:rPr>
      </w:pPr>
    </w:p>
    <w:p>
      <w:pPr>
        <w:ind w:left="-1120" w:firstLine="1952"/>
        <w:spacing w:after="0" w:line="282" w:lineRule="auto"/>
        <w:tabs>
          <w:tab w:leader="none" w:pos="174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2.15(d), a Lender shall not be required to deliver any documentation pursuant to this Section 2.15(d) that such Lender is not legally eligible to deliver.</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46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ineligibility to do so.</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2.15(e) (plus any penalties, interest or other charges imposed by the relevant Governmental Authority) in the event that such indemnified party is required to repay such refund to such Governmental Authority. Notwithstanding anything to the contrary in this Section 2.15(e), in no event will the indemnified party be required to pay any amount to an indemnifying party pursuant to this Section 2.15(e)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3"/>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1" w:name="page172"/>
    <w:bookmarkEnd w:id="1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Obligation to Mitigate</w:t>
      </w:r>
      <w:r>
        <w:rPr>
          <w:rFonts w:ascii="Times New Roman" w:cs="Times New Roman" w:eastAsia="Times New Roman" w:hAnsi="Times New Roman"/>
          <w:sz w:val="18"/>
          <w:szCs w:val="18"/>
          <w:color w:val="auto"/>
        </w:rPr>
        <w:t xml:space="preserve">. Each Lender agrees that, as promptly as practicable after the officer of such Lender 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that would cause such Lender to be an Affected Lender would cease to exist or the additional amounts that would otherwise be required to be paid to such Lender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Lender will not be obligated to take any of the foregoing measures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Borrower agrees to pay all incremental expenses incurred by such Lender as a result of taking such actions as described above. A certificate as to the amount of any such expenses payable by Borrower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(setting forth in reasonable detail the basis for requesting such amount) submitted by such Lender to Borrower (with a copy to Administrative Agent) shall be conclusive absent manifest error.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xml:space="preserve">. Anything contained herein to the contrary notwithstanding, in the event that any Lender becomes the subject of a Bail-in Action or violates any provision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or, other than at the direction or request of any regulatory agency or authority, defaults (in each case, a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in its obligation to fund (a “</w:t>
      </w:r>
      <w:r>
        <w:rPr>
          <w:rFonts w:ascii="Times New Roman" w:cs="Times New Roman" w:eastAsia="Times New Roman" w:hAnsi="Times New Roman"/>
          <w:sz w:val="18"/>
          <w:szCs w:val="18"/>
          <w:u w:val="single" w:color="auto"/>
          <w:color w:val="auto"/>
        </w:rPr>
        <w:t>Funding Default</w:t>
      </w:r>
      <w:r>
        <w:rPr>
          <w:rFonts w:ascii="Times New Roman" w:cs="Times New Roman" w:eastAsia="Times New Roman" w:hAnsi="Times New Roman"/>
          <w:sz w:val="18"/>
          <w:szCs w:val="18"/>
          <w:color w:val="auto"/>
        </w:rPr>
        <w:t>”) a Term Loan (in each case, a “</w:t>
      </w:r>
      <w:r>
        <w:rPr>
          <w:rFonts w:ascii="Times New Roman" w:cs="Times New Roman" w:eastAsia="Times New Roman" w:hAnsi="Times New Roman"/>
          <w:sz w:val="18"/>
          <w:szCs w:val="18"/>
          <w:u w:val="single" w:color="auto"/>
          <w:color w:val="auto"/>
        </w:rPr>
        <w:t>Defaulted Loan</w:t>
      </w:r>
      <w:r>
        <w:rPr>
          <w:rFonts w:ascii="Times New Roman" w:cs="Times New Roman" w:eastAsia="Times New Roman" w:hAnsi="Times New Roman"/>
          <w:sz w:val="18"/>
          <w:szCs w:val="18"/>
          <w:color w:val="auto"/>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Borrower shall be entitled to retain any portion of any mandatory prepayment of the Term Loans that is not paid to such Defaulting Lender solely as a result of the operation of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No Term Loan Commitment of any Lender shall be increased or otherwise affected, and, except as otherwise expressly provided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performance by Borrower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rights and remedies against a Defaulting Lender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are in addition to other rights and remedies that Borrower may have against such Defaulting Lender with respect to any Funding Default and that Administrative Agent or any Lender may have against such Defaulting Lender with respect to any Funding Default or violation of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Making or Maintaining SOFR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00" w:hanging="596"/>
        <w:spacing w:after="0"/>
        <w:tabs>
          <w:tab w:leader="none" w:pos="1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if, on or prior to the first day of any Interest Period for any SOFR Loan: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9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reasonable and adequate means do not exist for ascertaining “Term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5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 then the Administrative Agent will promptly so notify Borrower and each Lender.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Borrower, any obligation of the Lenders to make SOFR Loans, and any right of Borrower to continue SOFR Loans or to convert Base Rate Loans to SOFR Loans, shall be suspended (to the extent of the affected SOFR Loans or affected Interest Periods) until the Administrative Agent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at the instruction of the Required Lenders) revokes such notice. Upon receipt of such notice, (i) Borrower may revoke any pending request for a borrowing of, conversion to or continuation of SOFR Loans (to the extent of the affected SOFR Loans or affected Interest Periods) or, failing that,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Borrower shall also pay accrued interest on the amount so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until the Administrative Agent revokes such determination.</w:t>
      </w:r>
    </w:p>
    <w:p>
      <w:pPr>
        <w:spacing w:after="0" w:line="192" w:lineRule="exact"/>
        <w:rPr>
          <w:sz w:val="20"/>
          <w:szCs w:val="20"/>
          <w:color w:val="auto"/>
        </w:rPr>
      </w:pPr>
    </w:p>
    <w:p>
      <w:pPr>
        <w:jc w:val="both"/>
        <w:ind w:firstLine="1304"/>
        <w:spacing w:after="0" w:line="252" w:lineRule="auto"/>
        <w:tabs>
          <w:tab w:leader="none" w:pos="19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18"/>
          <w:szCs w:val="18"/>
          <w:u w:val="single" w:color="auto"/>
          <w:color w:val="auto"/>
        </w:rPr>
        <w:t>Affected Loans</w:t>
      </w:r>
      <w:r>
        <w:rPr>
          <w:rFonts w:ascii="Times New Roman" w:cs="Times New Roman" w:eastAsia="Times New Roman" w:hAnsi="Times New Roman"/>
          <w:sz w:val="18"/>
          <w:szCs w:val="18"/>
          <w:color w:val="auto"/>
        </w:rPr>
        <w:t>”), or to determine or charge interest based upon SOFR, the Term SOFR Reference Rate or Term SOFR, then, upon notice thereof by such Lender (an “</w:t>
      </w:r>
      <w:r>
        <w:rPr>
          <w:rFonts w:ascii="Times New Roman" w:cs="Times New Roman" w:eastAsia="Times New Roman" w:hAnsi="Times New Roman"/>
          <w:sz w:val="18"/>
          <w:szCs w:val="18"/>
          <w:u w:val="single" w:color="auto"/>
          <w:color w:val="auto"/>
        </w:rPr>
        <w:t>Affected Lender</w:t>
      </w:r>
      <w:r>
        <w:rPr>
          <w:rFonts w:ascii="Times New Roman" w:cs="Times New Roman" w:eastAsia="Times New Roman" w:hAnsi="Times New Roman"/>
          <w:sz w:val="18"/>
          <w:szCs w:val="18"/>
          <w:color w:val="auto"/>
        </w:rPr>
        <w:t>”) to Borrower (through the Administrative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xml:space="preserve">”), (a) any obligation of the Lenders to make SOFR Loans, and any right of Borrower to continue SOFR Loans or to convert Base Rate Loans to SOFR Loans, shall be suspended, and (b)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in each case until each Affected Lender notifies the Administrative Agent and Borrower that the circumstances giving rise to such determination no longer exist. Upon receipt of an Illegality Notice, Borrower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3" w:name="page174"/>
    <w:bookmarkEnd w:id="173"/>
    <w:p>
      <w:pPr>
        <w:jc w:val="both"/>
        <w:ind w:left="-660" w:firstLine="1304"/>
        <w:spacing w:after="0" w:line="254" w:lineRule="auto"/>
        <w:tabs>
          <w:tab w:leader="none" w:pos="13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Breakage or Non-Commencement of Interest Periods</w:t>
      </w:r>
      <w:r>
        <w:rPr>
          <w:rFonts w:ascii="Times New Roman" w:cs="Times New Roman" w:eastAsia="Times New Roman" w:hAnsi="Times New Roman"/>
          <w:sz w:val="18"/>
          <w:szCs w:val="18"/>
          <w:color w:val="auto"/>
        </w:rPr>
        <w:t>. Borrower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that such Lender actually sustains: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 or (ii) if any prepayment or other principal payment of, or any conversion of, any of its SOFR Loans occurs on any day other than the last day of an Interest Period applicable to that Loan (whether voluntary, mandatory, automatic, by reason of acceleration, or otherwise).</w:t>
      </w:r>
    </w:p>
    <w:p>
      <w:pPr>
        <w:spacing w:after="0" w:line="188" w:lineRule="exact"/>
        <w:rPr>
          <w:rFonts w:ascii="Times New Roman" w:cs="Times New Roman" w:eastAsia="Times New Roman" w:hAnsi="Times New Roman"/>
          <w:sz w:val="18"/>
          <w:szCs w:val="18"/>
          <w:color w:val="auto"/>
        </w:rPr>
      </w:pPr>
    </w:p>
    <w:p>
      <w:pPr>
        <w:ind w:left="-660" w:firstLine="1304"/>
        <w:spacing w:after="0" w:line="282" w:lineRule="auto"/>
        <w:tabs>
          <w:tab w:leader="none" w:pos="13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Booking of SOFR Loans</w:t>
      </w:r>
      <w:r>
        <w:rPr>
          <w:rFonts w:ascii="Times New Roman" w:cs="Times New Roman" w:eastAsia="Times New Roman" w:hAnsi="Times New Roman"/>
          <w:sz w:val="18"/>
          <w:szCs w:val="18"/>
          <w:color w:val="auto"/>
        </w:rPr>
        <w:t>. Any Lender may make, carry or transfer SOFR Loans at, to, or for the account of any of its branch offices or the office of an Affiliate of such Lender.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2.20</w:t>
      </w:r>
      <w:r>
        <w:rPr>
          <w:sz w:val="20"/>
          <w:szCs w:val="20"/>
          <w:color w:val="auto"/>
        </w:rPr>
        <w:tab/>
      </w:r>
      <w:r>
        <w:rPr>
          <w:rFonts w:ascii="Times New Roman" w:cs="Times New Roman" w:eastAsia="Times New Roman" w:hAnsi="Times New Roman"/>
          <w:sz w:val="18"/>
          <w:szCs w:val="18"/>
          <w:u w:val="single" w:color="auto"/>
          <w:color w:val="auto"/>
        </w:rPr>
        <w:t>Benchmark Replacement Setting.</w:t>
      </w:r>
    </w:p>
    <w:p>
      <w:pPr>
        <w:spacing w:after="0" w:line="225" w:lineRule="exact"/>
        <w:rPr>
          <w:sz w:val="20"/>
          <w:szCs w:val="20"/>
          <w:color w:val="auto"/>
        </w:rPr>
      </w:pPr>
    </w:p>
    <w:p>
      <w:pPr>
        <w:jc w:val="both"/>
        <w:ind w:left="-660" w:firstLine="1304"/>
        <w:spacing w:after="0" w:line="256" w:lineRule="auto"/>
        <w:tabs>
          <w:tab w:leader="none" w:pos="126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Administrative Agent and Borrower may amend this Agreement to replace the then-current Benchmark with a Benchmark Replacement. Any such amendment with respect to a Benchmark Transition Event will become effective at 5:00 p.m. on the [***] after Administrative Agent has posted such proposed amendment to all affected Lenders and Borrower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other than the Administrative Agent and the Borrower.</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28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Administrative Agent will promptly notify the Borrower and the Lenders, in writing, of (1) the implementation of any Benchmark Replacement and (2) the effectiveness of any Conforming Changes in connection with the use, administration, adoption or implementation of a Benchmark Replacement. The Administrative Agent will notify Borrower of (x) the removal or reinstatement of any tenor of a Benchmark pursuant to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and (y) the commencement or conclusion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74" w:name="page175"/>
    <w:bookmarkEnd w:id="174"/>
    <w:p>
      <w:pPr>
        <w:jc w:val="both"/>
        <w:ind w:firstLine="1304"/>
        <w:spacing w:after="0" w:line="253" w:lineRule="auto"/>
        <w:tabs>
          <w:tab w:leader="none" w:pos="19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(or any similar or analogous definition) for any Benchmark settings at or after such time to remove such unavailable or non-representative tenor and (2) if a tenor that was removed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Borrower’s receipt of notice of the commencement of a Benchmark Unavailability Period, (1) Borrower may revoke any pending request for a borrowing of, conversion to or continuation of SOFR Loans to be made, converted or continued during any Benchmark Unavailability Period and, failing that,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Section 2.22 . After the Closing Date, the Borrower may, with the prior written consent of the Administrative Agent, on one or more occasions request additional term loans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by delivering notice to the Administrative Agent at least [***] prior to the requested Credit Date; provided, however, that:</w:t>
      </w:r>
    </w:p>
    <w:p>
      <w:pPr>
        <w:spacing w:after="0" w:line="176" w:lineRule="exact"/>
        <w:rPr>
          <w:sz w:val="20"/>
          <w:szCs w:val="20"/>
          <w:color w:val="auto"/>
        </w:rPr>
      </w:pPr>
    </w:p>
    <w:p>
      <w:pPr>
        <w:ind w:left="1900" w:hanging="596"/>
        <w:spacing w:after="0"/>
        <w:tabs>
          <w:tab w:leader="none" w:pos="1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Incremental Term Loans shall not exceed $[***];</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5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making such Incremental Term Loans have received investment committee approval (in such investment committee’s sole discretion) with respect thereto, and no Lender shall be obligated to provide any Incremental Term Loan Commitments or fund any Incremental Term Loan without its consent;</w:t>
      </w:r>
    </w:p>
    <w:p>
      <w:pPr>
        <w:spacing w:after="0" w:line="17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Term Loan shall be in an amount not less than $[***] (or such lesser amount then agreed to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conditions precedent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this Agreement shall have been satisfied as of the date such Incremental Term Loans are incurred (it being understood and agreed that the incurrence of such Incremental Term Loans shall not be subject to any other conditions precedent set forth in Section 3.2 of this Agreement, except to the extent agreed to by the Borrower and the Lenders providing such Incremental Term Loans);</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5" w:name="page176"/>
    <w:bookmarkEnd w:id="175"/>
    <w:p>
      <w:pPr>
        <w:ind w:firstLine="1304"/>
        <w:spacing w:after="0" w:line="282" w:lineRule="auto"/>
        <w:tabs>
          <w:tab w:leader="none" w:pos="19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with respect to any such Incremental Term Loans (including any fees payable in connection therewith) shall be set forth in the applicable Incremental Amendment with respect thereto; provided, however, that:</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Incremental Term Loans shall be no earlier than the Latest Maturity Date of the then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Term Loans;</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1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Incremental Term Loans shall be no shorter than the remaining Weighted Average Life to Maturity of the then outstanding Term Loans (determined without giving effect to any prepayments that reduce amortization or that would otherwise modify the Weighted Average Life to Maturity);</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3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Loans may participate on a pro rata basis or a less than pro rata basis (but not greater than a pro rata basis) in any voluntary or mandatory repayments or prepayments of the Term Loans;</w:t>
      </w:r>
    </w:p>
    <w:p>
      <w:pPr>
        <w:spacing w:after="0" w:line="159" w:lineRule="exact"/>
        <w:rPr>
          <w:rFonts w:ascii="Times New Roman" w:cs="Times New Roman" w:eastAsia="Times New Roman" w:hAnsi="Times New Roman"/>
          <w:sz w:val="18"/>
          <w:szCs w:val="18"/>
          <w:color w:val="auto"/>
        </w:rPr>
      </w:pPr>
    </w:p>
    <w:p>
      <w:pPr>
        <w:ind w:firstLine="1952"/>
        <w:spacing w:after="0" w:line="284" w:lineRule="auto"/>
        <w:tabs>
          <w:tab w:leader="none" w:pos="278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Incremental Term Loans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with respect to security with the Obligations, (B) may not be secured by any assets other than the Collateral and (C) may not be guaranteed by any Person that is not a Loan Party;</w:t>
      </w:r>
    </w:p>
    <w:p>
      <w:pPr>
        <w:spacing w:after="0" w:line="160"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in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except for any terms and conditions with respect to any Incremental Term Loans that are applicable only after the Latest Maturity Date of the then outstanding Term Loans), the terms and conditions with respect to any Incremental Term Loans shall not be (A) materially more favorable to the Lenders of such Incremental Term Loans than the existing terms and conditions contained in the Loan Documents that apply to the Lenders of the then outstanding Term Loans (unless such existing terms and conditions contained in the Loan Documents are amended so as to conform to the materially more favorable terms and conditions that apply to the Lenders of the Incremental Term Loans) or (B) materially adverse to the Lenders of the then outstanding Term Loans (in their capacity as such Lenders);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such Incremental Term Loans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shall become Term Loan Commitments hereunder pursuant to an amendment (an “</w:t>
      </w:r>
      <w:r>
        <w:rPr>
          <w:rFonts w:ascii="Times New Roman" w:cs="Times New Roman" w:eastAsia="Times New Roman" w:hAnsi="Times New Roman"/>
          <w:sz w:val="18"/>
          <w:szCs w:val="18"/>
          <w:u w:val="single" w:color="auto"/>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the Borrower, each existing Lender agreeing to provide such Term Loan Commitment, if any, each additional Lender agreeing to provide such Commitment,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effectivness of this Agreement, and the obligation of each Lender to make a Credit Extension on the Initial Funding Date, is subject to the satisfaction, or waiver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of the following conditions on or before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ind w:left="-1120" w:firstLine="1304"/>
        <w:spacing w:after="0" w:line="282" w:lineRule="auto"/>
        <w:tabs>
          <w:tab w:leader="none" w:pos="79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Administrative Agent shall have received copies of each Loan Document duly executed and delivered by each applicable Loan Party for each Lender.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2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and (iv) a good standing certificate (to the extent such concept exists) from the applicable Governmental Authority of such Loan Party’s jurisdiction of incorporation, organization or formation, each dated a recent date prior to the Closing Date.</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8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and Capital Structure</w:t>
      </w:r>
      <w:r>
        <w:rPr>
          <w:rFonts w:ascii="Times New Roman" w:cs="Times New Roman" w:eastAsia="Times New Roman" w:hAnsi="Times New Roman"/>
          <w:sz w:val="18"/>
          <w:szCs w:val="18"/>
          <w:color w:val="auto"/>
        </w:rPr>
        <w:t xml:space="preserve">. The organizational structure and capital structure of Borrower and its Subsidiaries shall be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97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that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88" w:lineRule="exact"/>
        <w:rPr>
          <w:rFonts w:ascii="Times New Roman" w:cs="Times New Roman" w:eastAsia="Times New Roman" w:hAnsi="Times New Roman"/>
          <w:sz w:val="18"/>
          <w:szCs w:val="18"/>
          <w:color w:val="auto"/>
        </w:rPr>
      </w:pPr>
    </w:p>
    <w:p>
      <w:pPr>
        <w:ind w:left="-1120" w:firstLine="1304"/>
        <w:spacing w:after="0" w:line="282" w:lineRule="auto"/>
        <w:tabs>
          <w:tab w:leader="none" w:pos="92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Property Collateral</w:t>
      </w:r>
      <w:r>
        <w:rPr>
          <w:rFonts w:ascii="Times New Roman" w:cs="Times New Roman" w:eastAsia="Times New Roman" w:hAnsi="Times New Roman"/>
          <w:sz w:val="18"/>
          <w:szCs w:val="18"/>
          <w:color w:val="auto"/>
        </w:rPr>
        <w:t>. In order to create in favor of Administrative Agent, for the benefit of Secured Parties, a valid, perfected First Priority security interest in the personal property Collateral, Administrative Agent shall have received:</w:t>
      </w:r>
    </w:p>
    <w:p>
      <w:pPr>
        <w:spacing w:after="0" w:line="161" w:lineRule="exact"/>
        <w:rPr>
          <w:rFonts w:ascii="Times New Roman" w:cs="Times New Roman" w:eastAsia="Times New Roman" w:hAnsi="Times New Roman"/>
          <w:sz w:val="18"/>
          <w:szCs w:val="18"/>
          <w:color w:val="auto"/>
        </w:rPr>
      </w:pPr>
    </w:p>
    <w:p>
      <w:pPr>
        <w:jc w:val="both"/>
        <w:ind w:left="-1120" w:firstLine="1952"/>
        <w:spacing w:after="0" w:line="219" w:lineRule="exact"/>
        <w:tabs>
          <w:tab w:leader="none" w:pos="157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or securities accounts as provided therein), together with appropriate financing statements on Form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in form for filing in such office or offices as may be necessary or, in the opinion of Administrative Agent, desirable to perfect the security interests purported to be created by each Pledge and Security Agreement and each other Collateral Document;</w:t>
      </w:r>
    </w:p>
    <w:p>
      <w:pPr>
        <w:spacing w:after="0" w:line="202" w:lineRule="exact"/>
        <w:rPr>
          <w:rFonts w:ascii="Times New Roman" w:cs="Times New Roman" w:eastAsia="Times New Roman" w:hAnsi="Times New Roman"/>
          <w:sz w:val="18"/>
          <w:szCs w:val="18"/>
          <w:color w:val="auto"/>
        </w:rPr>
      </w:pPr>
    </w:p>
    <w:p>
      <w:pPr>
        <w:jc w:val="both"/>
        <w:ind w:left="-1120" w:firstLine="1952"/>
        <w:spacing w:after="0" w:line="256" w:lineRule="auto"/>
        <w:tabs>
          <w:tab w:leader="none" w:pos="152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77" w:name="page178"/>
    <w:bookmarkEnd w:id="177"/>
    <w:p>
      <w:pPr>
        <w:ind w:left="2000" w:hanging="696"/>
        <w:spacing w:after="0"/>
        <w:tabs>
          <w:tab w:leader="none" w:pos="2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Forecast</w:t>
      </w:r>
      <w:r>
        <w:rPr>
          <w:rFonts w:ascii="Times New Roman" w:cs="Times New Roman" w:eastAsia="Times New Roman" w:hAnsi="Times New Roman"/>
          <w:sz w:val="18"/>
          <w:szCs w:val="18"/>
          <w:color w:val="auto"/>
        </w:rPr>
        <w:t>. Lenders shall have received from Borrower (i) the Historical Financial Statements and (ii)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w:t>
      </w:r>
    </w:p>
    <w:p>
      <w:pPr>
        <w:spacing w:after="0" w:line="207" w:lineRule="exact"/>
        <w:rPr>
          <w:sz w:val="20"/>
          <w:szCs w:val="20"/>
          <w:color w:val="auto"/>
        </w:rPr>
      </w:pPr>
    </w:p>
    <w:p>
      <w:pPr>
        <w:jc w:val="both"/>
        <w:ind w:firstLine="1304"/>
        <w:spacing w:after="0" w:line="266" w:lineRule="auto"/>
        <w:tabs>
          <w:tab w:leader="none" w:pos="20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xml:space="preserve">. The Administrative Agent shall have received a certificate from Borrower’s insurance broker or other evidence reasonably satisfactory to it that all insurance required to be maintained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is in full force and effect,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to Loan Parties</w:t>
      </w:r>
      <w:r>
        <w:rPr>
          <w:rFonts w:ascii="Times New Roman" w:cs="Times New Roman" w:eastAsia="Times New Roman" w:hAnsi="Times New Roman"/>
          <w:sz w:val="18"/>
          <w:szCs w:val="18"/>
          <w:color w:val="auto"/>
        </w:rPr>
        <w:t>. Lenders and their respective counsel shall have received an executed copy of the favorable written opinions of Ropes &amp; Gray LLP, counsel for Loan Parties, as to such other matters as Administrative Agent may reasonably request, dated the Closing Date and otherwise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Borrower shall have paid to Administrative Agent, the fees and expenses then due and payable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Initial Funding Date, Borrower and its Subsidiaries are and will be Solvent.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Certificate</w:t>
      </w:r>
      <w:r>
        <w:rPr>
          <w:rFonts w:ascii="Times New Roman" w:cs="Times New Roman" w:eastAsia="Times New Roman" w:hAnsi="Times New Roman"/>
          <w:sz w:val="18"/>
          <w:szCs w:val="18"/>
          <w:color w:val="auto"/>
        </w:rPr>
        <w:t>. Borrower shall have delivered to Administrative Agent a duly executed Closing Date Certificate, together with all attachments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8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shall not exist any action, suit, investigation, litigation or proceeding or other legal or regulatory developments, pending or threatened in any court or before any arbitrator or Governmental Authority that singly or in the aggregate materially impairs the transactions contemplated by the Loan Documents or that would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Effect/Material Regulatory Liability</w:t>
      </w:r>
      <w:r>
        <w:rPr>
          <w:rFonts w:ascii="Times New Roman" w:cs="Times New Roman" w:eastAsia="Times New Roman" w:hAnsi="Times New Roman"/>
          <w:sz w:val="18"/>
          <w:szCs w:val="18"/>
          <w:color w:val="auto"/>
        </w:rPr>
        <w:t>. Since [***], no event, circumstance or change shall have occurred that has caused or evidences, either in any case or in the aggregate, a Material Adverse Effect or a Material Regulatory Liability.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Completion of Proceedings</w:t>
      </w:r>
      <w:r>
        <w:rPr>
          <w:rFonts w:ascii="Times New Roman" w:cs="Times New Roman" w:eastAsia="Times New Roman" w:hAnsi="Times New Roman"/>
          <w:sz w:val="18"/>
          <w:szCs w:val="18"/>
          <w:color w:val="auto"/>
        </w:rPr>
        <w:t>. All partnership, corporate and other proceedings taken or to be taken in connection with the transactions contemplated hereby and all documents incidental thereto not previously found acceptable by Administrative Agent and its counsel shall be satisfactory in form and substance to Administrative Agent and such counsel, and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Regulations</w:t>
      </w:r>
      <w:r>
        <w:rPr>
          <w:rFonts w:ascii="Times New Roman" w:cs="Times New Roman" w:eastAsia="Times New Roman" w:hAnsi="Times New Roman"/>
          <w:sz w:val="18"/>
          <w:szCs w:val="18"/>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ind w:left="1920" w:hanging="616"/>
        <w:spacing w:after="0"/>
        <w:tabs>
          <w:tab w:leader="none" w:pos="1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5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event shall have occurred and be continuing or would result from the consummation of the transactions contemplated herein that would constitute an Event of Default or a Default.</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All Registrations from the FDA and EMA in respect of the Products shall be valid and subsisting and in full force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effect.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Conditions to Each Credit Extension</w:t>
      </w:r>
    </w:p>
    <w:p>
      <w:pPr>
        <w:spacing w:after="0" w:line="225" w:lineRule="exact"/>
        <w:rPr>
          <w:sz w:val="20"/>
          <w:szCs w:val="20"/>
          <w:color w:val="auto"/>
        </w:rPr>
      </w:pPr>
    </w:p>
    <w:p>
      <w:pPr>
        <w:ind w:firstLine="1304"/>
        <w:spacing w:after="0" w:line="282" w:lineRule="auto"/>
        <w:tabs>
          <w:tab w:leader="none" w:pos="208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obligation of each Lender to make the Initial Term Loan on the Initial Funding Date or any other Loan on any date following the Closing Date is subject to the satisfaction, or waiver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of the following conditions precedent:</w:t>
      </w:r>
    </w:p>
    <w:p>
      <w:pPr>
        <w:spacing w:after="0" w:line="162" w:lineRule="exact"/>
        <w:rPr>
          <w:sz w:val="20"/>
          <w:szCs w:val="20"/>
          <w:color w:val="auto"/>
        </w:rPr>
      </w:pPr>
    </w:p>
    <w:p>
      <w:pPr>
        <w:ind w:left="1960" w:hanging="656"/>
        <w:spacing w:after="0"/>
        <w:tabs>
          <w:tab w:leader="none" w:pos="1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Notice</w:t>
      </w:r>
      <w:r>
        <w:rPr>
          <w:rFonts w:ascii="Times New Roman" w:cs="Times New Roman" w:eastAsia="Times New Roman" w:hAnsi="Times New Roman"/>
          <w:sz w:val="18"/>
          <w:szCs w:val="18"/>
          <w:color w:val="auto"/>
        </w:rPr>
        <w:t>. Administrative Agent shall have received a fully executed and delivered Funding Notice as and when required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ind w:firstLine="1304"/>
        <w:spacing w:after="0" w:line="282" w:lineRule="auto"/>
        <w:tabs>
          <w:tab w:leader="none" w:pos="192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As of as of the applicable Credit Date, no event shall have occurred and be continuing or would result from the consummation of the applicable Credit Extension that would constitute an Event of Default or a Default;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With respect to the Initial Funding Date, Administrative Agent shall have received evidence reasonably satisfactory to it that the Loan Parties shall have Qualified Cash of at least $[***] on the Initial Funding Date (on a pro forma basis after giving effect to the Credit Extension made on the Initial Funding Date, the Closing Date Refinancing and the payment of all Transaction Costs required to be paid in Cash).</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8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On each Credit Date,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8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Approval</w:t>
      </w:r>
      <w:r>
        <w:rPr>
          <w:rFonts w:ascii="Times New Roman" w:cs="Times New Roman" w:eastAsia="Times New Roman" w:hAnsi="Times New Roman"/>
          <w:sz w:val="18"/>
          <w:szCs w:val="18"/>
          <w:color w:val="auto"/>
        </w:rPr>
        <w:t>. With respect to any Incremental Term Loans, the funding of such Term Loan shall have been approved by each applicable Lender in its sole and absolute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Requisite Power and Authority; Qualification</w:t>
      </w:r>
      <w:r>
        <w:rPr>
          <w:rFonts w:ascii="Times New Roman" w:cs="Times New Roman" w:eastAsia="Times New Roman" w:hAnsi="Times New Roman"/>
          <w:sz w:val="18"/>
          <w:szCs w:val="18"/>
          <w:color w:val="auto"/>
        </w:rPr>
        <w:t xml:space="preserve">. Each of Borrower and its Subsidiaries (a) is duly organized or incorporated, validly existing and in good standing under the laws of its jurisdiction of organization or incorporation as identified in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(b) has all requisite power and authority to own and operate its properties, to carry on its business as now conducted and as proposed to be conducted, to enter into the Loan Documents to which it is a party and to carry out the transactions contemplated thereby and, in the case of Borrower,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 Stock and Ownership</w:t>
      </w:r>
      <w:r>
        <w:rPr>
          <w:rFonts w:ascii="Times New Roman" w:cs="Times New Roman" w:eastAsia="Times New Roman" w:hAnsi="Times New Roman"/>
          <w:sz w:val="18"/>
          <w:szCs w:val="18"/>
          <w:color w:val="auto"/>
        </w:rPr>
        <w:t xml:space="preserve">. The Capital Stock of each of Borrower and its Subsidiaries has been duly authorized and validly issued and is fully paid and non-assessable. Except as set forth on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Closing Date</w:t>
      </w:r>
      <w:r>
        <w:rPr>
          <w:rFonts w:ascii="Times New Roman" w:cs="Times New Roman" w:eastAsia="Times New Roman" w:hAnsi="Times New Roman"/>
          <w:sz w:val="18"/>
          <w:szCs w:val="18"/>
          <w:color w:val="auto"/>
        </w:rPr>
        <w:t xml:space="preserve">, there is no existing option, warrant, call, right, commitment or other agreement to which Borrower or any Subsidiary of Borrower is a party requiring, and there is no membership interest or other Capital Stock of such Subsidiary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correctly sets forth the ownership interest of Borrower and each of its Subsidiaries in their respective Subsidiaries as of the Closing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delivery and performance of the Loan Documents and the consummation by each Loan Party of the transactions contemplated hereby and by the other Loan Documents have been duly authorized by all necessary action on the part of each Loan Party that is a party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Loan Parties of the Loan Documents to which they are parties and the 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w:t>
      </w:r>
      <w:r>
        <w:rPr>
          <w:rFonts w:ascii="Times New Roman" w:cs="Times New Roman" w:eastAsia="Times New Roman" w:hAnsi="Times New Roman"/>
          <w:sz w:val="18"/>
          <w:szCs w:val="18"/>
          <w:u w:val="single" w:color="auto"/>
          <w:color w:val="auto"/>
        </w:rPr>
        <w:t>clauses (a)</w:t>
      </w:r>
    </w:p>
    <w:p>
      <w:pPr>
        <w:spacing w:after="0" w:line="3" w:lineRule="exact"/>
        <w:rPr>
          <w:sz w:val="20"/>
          <w:szCs w:val="20"/>
          <w:color w:val="auto"/>
        </w:rPr>
      </w:pPr>
    </w:p>
    <w:p>
      <w:pPr>
        <w:jc w:val="both"/>
        <w:ind w:firstLine="8"/>
        <w:spacing w:after="0" w:line="252" w:lineRule="auto"/>
        <w:tabs>
          <w:tab w:leader="none" w:pos="222" w:val="left"/>
        </w:tabs>
        <w:numPr>
          <w:ilvl w:val="0"/>
          <w:numId w:val="1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as would not reasonably be expected to result in a Material Adverse Effect;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except for such approvals or consents that will be obtained on or before the Closing Date and disclosed in writing to Lenders.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The execution, delivery and performance by Loan Parties of the Loan Documents to which they are parties and the consummation of the transactions contemplated by the Loan Documents do not and will not require any registration with, consent or approval of, or notice to, or other action to, with or by, any Governmental Authority except for filings and recordings with respect to the Collateral to be made, or otherwise delivered to Administrative Agent for filing or recordation, as of the Closing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Binding Obligation</w:t>
      </w:r>
      <w:r>
        <w:rPr>
          <w:rFonts w:ascii="Times New Roman" w:cs="Times New Roman" w:eastAsia="Times New Roman" w:hAnsi="Times New Roman"/>
          <w:sz w:val="18"/>
          <w:szCs w:val="18"/>
          <w:color w:val="auto"/>
        </w:rPr>
        <w:t>. Each Loan Document has been duly executed and delivered by each Loan Party that is a party 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Historical Financial Statements</w:t>
      </w:r>
      <w:r>
        <w:rPr>
          <w:rFonts w:ascii="Times New Roman" w:cs="Times New Roman" w:eastAsia="Times New Roman" w:hAnsi="Times New Roman"/>
          <w:sz w:val="18"/>
          <w:szCs w:val="18"/>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condition (financial or otherwise) of the Borrower and any of its Subsidiaries taken as a whole.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The revenue forecast of Borrower and its Subsidiaries for the period of [***] through and including [***] (the “</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xml:space="preserve">”) is based on good faith estimates and assumptions made by the management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Forecast is not to be viewed as facts and that actual results during the period or periods covered by the Forecast may differ from such Forecast and that the differences may be material;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management of Borrower believed that the Forecast was reasonable.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 no event, circumstance or change has occurred that has caused or evidences, either in any case or in the aggregate, a Material Adverse Effect.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u w:val="single" w:color="auto"/>
          <w:color w:val="auto"/>
        </w:rPr>
        <w:t>Adverse Proceedings, Etc.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no Adverse Proceedings that (a) relate to any Loan Document or the transactions contemplated hereby or thereby or (b) individually or in the aggregate, would materially impair Administrative Agent’s security interest in the Collateral, Borrower’s and its Subsidiaries’ respective rights, powers or remedies with respect to applicable Products or could otherwise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could not reasonably be expected to result in a Material Adverse Effect.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All U.S. federal income Tax returns and all other material Tax returns and reports required to have been filed by or with respect to Borrower or any of its Subsidiaries have been timely filed, and all U.S. federal income and all other material Taxes imposed on Borrower or any of its Subsidiaries (including in their capacity as a withholding agent), or with respect to their respective properties, assets, income, businesses and franchises, that have become due and payable have been paid when due and payable, except for Taxes that are being contested in good faith by appropriate proceedings diligently conducted and for which adequate reserves are being maintained in accordance with GAAP. Except as otherwise set forth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there is no ongoing or, to the knowledge of Borrower, proposed or threatened Tax assessment, deficiency, audit or other proceeding against Borrower or any of its Subsidiaries. Notwithstanding the foregoing, in the case of any Credit Date, matters occuring after the Closing Date that are permitted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not violate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with respect to such Credit Date.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Properties, Title</w:t>
      </w:r>
      <w:r>
        <w:rPr>
          <w:rFonts w:ascii="Times New Roman" w:cs="Times New Roman" w:eastAsia="Times New Roman" w:hAnsi="Times New Roman"/>
          <w:sz w:val="18"/>
          <w:szCs w:val="18"/>
          <w:color w:val="auto"/>
        </w:rPr>
        <w:t xml:space="preserve">. Each of Borrower and its Subsidiaries has (a) good, sufficient, marketable and legal title to (in the 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in the most recent financial statements delivered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each case except for (i) assets disposed of since the date of such financial statements in the ordinary course of business or as otherwise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(ii) defects in title or interests that would not, individually or in the aggregate, reasonably be expected to interfere with the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contains a true, accurate and complete list of all property owned or leased by Borrower and its Subsidiaries or where Collateral having an aggregate fair market value (reasonably determined in good faith by an Authorized Officer of Borrower) in excess of $[***] or books and records are located.</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as any such failure could not reasonably be expected to result in a Material Adverse Effect:</w:t>
      </w:r>
    </w:p>
    <w:p>
      <w:pPr>
        <w:spacing w:after="0" w:line="225" w:lineRule="exact"/>
        <w:rPr>
          <w:sz w:val="20"/>
          <w:szCs w:val="20"/>
          <w:color w:val="auto"/>
        </w:rPr>
      </w:pPr>
    </w:p>
    <w:p>
      <w:pPr>
        <w:ind w:firstLine="1304"/>
        <w:spacing w:after="0" w:line="282" w:lineRule="auto"/>
        <w:tabs>
          <w:tab w:leader="none" w:pos="210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ind w:firstLine="1304"/>
        <w:spacing w:after="0" w:line="282" w:lineRule="auto"/>
        <w:tabs>
          <w:tab w:leader="none" w:pos="197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Hazardous Materials and there are no Hazardous Materials present in violation of Environmental Law at any of the properties currently owned or operated by any Loan Party.</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business of, and each of the properties owned or operated by, each Loan Party are in compliance with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7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holds, and is in compliance with those Governmental Authorizations required under any Environmental Laws in connection with the operations carried on by it and the properties owned or operated by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Neither Borrower nor any of its Subsidiaries is in default in the performance, observance or fulfillment of any of the obligations, covenants or conditions contained in any of its Contractual Obligations, and no condition exists that, with the giving of notice or the lapse of time or both, could constitute such a default, except, in each case, where the consequences, direct or indirect, of such default or defaults, if any, could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contains a true, correct and complete list of all the Material Contracts in effect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together with any updates provided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5.1(l)</w:t>
      </w:r>
      <w:r>
        <w:rPr>
          <w:rFonts w:ascii="Times New Roman" w:cs="Times New Roman" w:eastAsia="Times New Roman" w:hAnsi="Times New Roman"/>
          <w:sz w:val="18"/>
          <w:szCs w:val="18"/>
          <w:color w:val="000000"/>
        </w:rPr>
        <w:t>. All such Material Contracts are in full force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effect and no defaults currently exist thereunder (other than as described in </w:t>
      </w:r>
      <w:r>
        <w:rPr>
          <w:rFonts w:ascii="Times New Roman" w:cs="Times New Roman" w:eastAsia="Times New Roman" w:hAnsi="Times New Roman"/>
          <w:sz w:val="18"/>
          <w:szCs w:val="18"/>
          <w:u w:val="single" w:color="auto"/>
          <w:color w:val="000000"/>
        </w:rPr>
        <w:t>Schedule 4.15</w:t>
      </w:r>
      <w:r>
        <w:rPr>
          <w:rFonts w:ascii="Times New Roman" w:cs="Times New Roman" w:eastAsia="Times New Roman" w:hAnsi="Times New Roman"/>
          <w:sz w:val="18"/>
          <w:szCs w:val="18"/>
          <w:color w:val="000000"/>
        </w:rPr>
        <w:t xml:space="preserve"> or in such updates). Each Material Contract is a legal, valid and binding obligation of Borrower or its Subsidiaries and, to the knowledge of Borrower,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is in material breach or default under the terms of any Material Contract, and no condition exists that, with the giving of notice or the lapse of time or both, would constitute a breach or default by Borrower or any of its Subsidiaries thereunder that could result in any material liability to Borrower or such Subsidiary or termination of such Material Contract.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Governmental Regulation</w:t>
      </w:r>
      <w:r>
        <w:rPr>
          <w:rFonts w:ascii="Times New Roman" w:cs="Times New Roman" w:eastAsia="Times New Roman" w:hAnsi="Times New Roman"/>
          <w:sz w:val="18"/>
          <w:szCs w:val="18"/>
          <w:color w:val="auto"/>
        </w:rPr>
        <w:t>. Neither Borrower nor any of its Subsidiaries is subject to regulation under the Public Utility Holding Company Act of 2005, the Federal Power Act or the Investment Company Act of 1940 or under any other federal or state statute or regulation that may limit its ability to incur Indebtedness or that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Neither Borrower nor any of its Subsidiaries is engaged principally, or as one of its important 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No ERISA Event has occurred or is reasonably expected to occur that has resulted or could reasonably be expected to result in a Material Adverse Effect or result in the imposition of a Lien.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disclosed to Administrative Agent prior to the Closing Date, no broker’s or finder’s fee or commission will be payable with respect hereto or any of the transactions contemplated hereby.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Borrower is individually, and the Loan Parties and their Subsidiaries on a consolidated basis are, and upon the occurrrence of the Credit Extension by the Borrower on the Closing Date and on each Credit Date will be, Solvent.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underlying assets of Borrower and its Subsidiaries do not constitute “plan assets” within the meaning of 29 CFR §2510.3-101 et seq., as modified by Section 3(42) of ERISA (the “Plan Assets Regulation” or any similar applicable law) of one or more Benefit Plans. Assuming for purposes of this Section 4.21 that the Lender is not, and will not be, using “plan assets” in connection with this Agreement, the execution, delivery and performance of this Agreement and the other Loan Documents do not and will not constitute a non-exempt prohibited transaction under Section 406 of ERISA or Section 4975 of the Internal Revenue Code.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u w:val="single" w:color="auto"/>
          <w:color w:val="auto"/>
        </w:rPr>
        <w:t>Compliance with Statutes, Etc.</w:t>
      </w:r>
    </w:p>
    <w:p>
      <w:pPr>
        <w:spacing w:after="0" w:line="225"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Each of Borrower and its Subsidiaries is in compliance with (i) its Organizational Documents and (ii) all applicable laws, statutes, regulations and orders of, and all applicable restrictions imposed by, all Governmental Authorities, in respect of the conduct of its business and the ownership of its property, except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that, individually or in the aggregate, could not reasonably be expected to result in a Material Adverse Effect.</w:t>
      </w:r>
    </w:p>
    <w:p>
      <w:pPr>
        <w:spacing w:after="0" w:line="17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each of the Borrower or its Subsidiaries own, or hold valid licenses in, all the Intellectual Property Rights that are necessary to the conduct of Borrower’s and its Subsidiaries’ business as currently conducted, including the research, discovery, development, manufacture, use, and Commercialization of the Products, except, in the case of any Product (Non-Core), where such infringement or misappropriation would not reasonably be expected to result in a Material Adverse Effect. Except as set forth in Schedule 4.23(a), and except as set forth in the License Agreements, to the knowledge of Borrower and its Subsidiaries, Borrower and its Subsidiaries have the exclusive right and license to manufacture, use and Commercialize the Products under the Product Intellectual Property Rights, the Registrations, and the regulatory documentation. The claims in US 11,807,689, US 11,814,439, and US 11,884,740 cover the Product (Core). US 11,807,689, US 11,814,439, and US 11,884,740 are jointly owned by Laboratoire Francais Du Fractionnement Et Des Biotechnologies, Les Ulis (FR) and the Borrower, and the subject matter disclosed and claimed in these patents are considered joint improvements under the BRIUMVI License Agreement. The Borrower has (i) an exclusive, fully paid-up, irrevocable right to use the joint improvements under BRIUMVI License Agreement, and (ii) the exclusive right to commercialize, use, have used, manufacture, have manufactured, supply, sell, offer to sell, and import the Products covered by the claims of US 11,807,689, US 11,814,439, and US 11,884,740. LFB has no outstanding rights in these patents.</w:t>
      </w:r>
    </w:p>
    <w:p>
      <w:pPr>
        <w:spacing w:after="0" w:line="18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jc w:val="both"/>
        <w:ind w:left="-8" w:firstLine="1304"/>
        <w:spacing w:after="0" w:line="257" w:lineRule="auto"/>
        <w:tabs>
          <w:tab w:leader="none" w:pos="20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4.23(b)</w:t>
      </w:r>
      <w:r>
        <w:rPr>
          <w:rFonts w:ascii="Times New Roman" w:cs="Times New Roman" w:eastAsia="Times New Roman" w:hAnsi="Times New Roman"/>
          <w:sz w:val="18"/>
          <w:szCs w:val="18"/>
          <w:color w:val="auto"/>
        </w:rPr>
        <w:t xml:space="preserve"> sets forth a true, correct and complete listing as of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First Amendment Effective Date</w:t>
      </w:r>
      <w:r>
        <w:rPr>
          <w:rFonts w:ascii="Times New Roman" w:cs="Times New Roman" w:eastAsia="Times New Roman" w:hAnsi="Times New Roman"/>
          <w:sz w:val="18"/>
          <w:szCs w:val="18"/>
          <w:color w:val="auto"/>
        </w:rPr>
        <w:t>, under separate headings, of all Contractual Obligations (i) under which Borrower or its Subsidiaries is granted a license or right to use any Product Intellectual Property Rights that any other Person owns, or owes any royalties or other payments to any Person for the use of any Product Intellectual Property Rights,</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Borrower or its Subsidiaries have granted any Person any right or interest in any Product Intellectual Property Rights (excluding rights granted to third parties acting for the benefit of Borrower, including contract research organizations or contract manufacturing organizations), or (iii) that are necessary or material for Borrower or its Subsidiaries’ use of or rights in the Product Intellectual Property Rights (including covenants not to sue), except, in the case of Contractual Obligations relating solely to any Product (Non-Core), where such Contractual Obligations are not material to the research, development, use, import or Commercialization of such Product (collectively, “</w:t>
      </w:r>
      <w:r>
        <w:rPr>
          <w:rFonts w:ascii="Times New Roman" w:cs="Times New Roman" w:eastAsia="Times New Roman" w:hAnsi="Times New Roman"/>
          <w:sz w:val="18"/>
          <w:szCs w:val="18"/>
          <w:u w:val="single" w:color="auto"/>
          <w:color w:val="auto"/>
        </w:rPr>
        <w:t>License Agreements</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000000"/>
        </w:rPr>
        <w:t>, each License Agreement identified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Schedule 4.23(b)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a valid and binding obligation of Borrower or Subsidiary, as applicable, and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knowledge of Borrower or the applicable Subsidiary that is party to such License Agreement, the counterpart(ies) thereto and is enforceable against each counterparty thereto in accordance with its terms, except as may be limited by applicable bankruptcy laws or by general principles of equity (whether considered in a proceeding in equity or at law). Neither Borrower nor any of its Subsidiaries has received any written notice in connection with any such License Agreement challenging the validity, enforceability or interpretation of any provision of such agreement. Neither Borrower nor any of its Subsidiaries has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Neither Borrower nor any of its Subsidiaries has consented to any assignment by the counterparty to any License Agreement of any of its rights or obligations under any such License Agreement, and, to the knowledge of Borrower or the applicable Subsidiary that is party to a License Agreement, the counterparty has not assigned any of its rights or obligations under any such License Agreement to any Person. Neither Borrower nor any of its Subsidiaries has notified in writing the respective counterparty to any License Agreement or any other Person of any claims for indemnification under any License Agreement nor has Borrower or any Subsidiary received any written claims for indemnification under any License Agreement. Neither Borrower nor any Subsidiary has received any written notice from, or given any written notice to, any counterparty to any License Agreement alleging any infringement of any of the Patents licensed thereunder.</w:t>
      </w:r>
    </w:p>
    <w:p>
      <w:pPr>
        <w:spacing w:after="0" w:line="188" w:lineRule="exact"/>
        <w:rPr>
          <w:rFonts w:ascii="Times New Roman" w:cs="Times New Roman" w:eastAsia="Times New Roman" w:hAnsi="Times New Roman"/>
          <w:sz w:val="18"/>
          <w:szCs w:val="18"/>
          <w:color w:val="auto"/>
        </w:rPr>
      </w:pPr>
    </w:p>
    <w:p>
      <w:pPr>
        <w:ind w:left="1892" w:hanging="596"/>
        <w:spacing w:after="0"/>
        <w:tabs>
          <w:tab w:leader="none" w:pos="189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w:t>
      </w:r>
      <w:r>
        <w:rPr>
          <w:rFonts w:ascii="Times New Roman" w:cs="Times New Roman" w:eastAsia="Times New Roman" w:hAnsi="Times New Roman"/>
          <w:sz w:val="18"/>
          <w:szCs w:val="18"/>
          <w:color w:val="FF0000"/>
          <w:strike w:val="1"/>
        </w:rPr>
        <w:t>date hereof</w:t>
      </w:r>
      <w:r>
        <w:rPr>
          <w:rFonts w:ascii="Times New Roman" w:cs="Times New Roman" w:eastAsia="Times New Roman" w:hAnsi="Times New Roman"/>
          <w:sz w:val="18"/>
          <w:szCs w:val="18"/>
          <w:u w:val="single" w:color="auto"/>
          <w:color w:val="0000FF"/>
        </w:rPr>
        <w:t>First Amendment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sets forth:</w:t>
      </w:r>
    </w:p>
    <w:p>
      <w:pPr>
        <w:spacing w:after="0" w:line="225" w:lineRule="exact"/>
        <w:rPr>
          <w:rFonts w:ascii="Times New Roman" w:cs="Times New Roman" w:eastAsia="Times New Roman" w:hAnsi="Times New Roman"/>
          <w:sz w:val="18"/>
          <w:szCs w:val="18"/>
          <w:color w:val="auto"/>
        </w:rPr>
      </w:pPr>
    </w:p>
    <w:p>
      <w:pPr>
        <w:jc w:val="both"/>
        <w:ind w:left="-8" w:firstLine="1952"/>
        <w:spacing w:after="0" w:line="256" w:lineRule="auto"/>
        <w:tabs>
          <w:tab w:leader="none" w:pos="2802"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related to the Product (Core) that are U.S. (federal or state) and foreign Patents, and identifies the owner of each such patent/application; provided, however, that such Patents in-licensed by Borrower or its Subsidiaries from a third party are listed as of the date such Borrower or Affiliate entered into the applicable in-license agreement. Except as identified in Schedule 4.23(c)(i), the owner listed on Schedule 4.23(c)(i) is the exclusive owner of such patent, registration or application. To the knowledge of Borrower and its Subsidiaries, in each issued Patent listed on Schedule 4.23(c)(i), there is at least one valid claim that would be infringed by the use, manufacture, or Commercialization of a Product (Core),</w:t>
      </w:r>
    </w:p>
    <w:p>
      <w:pPr>
        <w:spacing w:after="0" w:line="187" w:lineRule="exact"/>
        <w:rPr>
          <w:rFonts w:ascii="Times New Roman" w:cs="Times New Roman" w:eastAsia="Times New Roman" w:hAnsi="Times New Roman"/>
          <w:sz w:val="18"/>
          <w:szCs w:val="18"/>
          <w:color w:val="auto"/>
        </w:rPr>
      </w:pPr>
    </w:p>
    <w:p>
      <w:pPr>
        <w:jc w:val="both"/>
        <w:ind w:left="-8" w:firstLine="1952"/>
        <w:spacing w:after="0" w:line="258" w:lineRule="auto"/>
        <w:tabs>
          <w:tab w:leader="none" w:pos="2575"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registration or application number, of all the Product Intellectual Property Rights related to the Product (Non-Core) that are U.S. (federal or state) and foreign Patents; provided, however, that such Patents controlled by Borrower or its Subsidiaries pursuant to an agreement with a third party are listed as of the date such Borrower or Affiliate entered into the applicable agreement. To the knowledge of Borrower and its Subsidiaries, as of the date such Borrower or Affiliate entered into the applicable in-license agreement, each Patent listed on Schedule 4.23(c)(ii) is owned or exclusively controlled by the third party that is party to the applicable license agreement,</w:t>
      </w:r>
    </w:p>
    <w:p>
      <w:pPr>
        <w:spacing w:after="0" w:line="183" w:lineRule="exact"/>
        <w:rPr>
          <w:rFonts w:ascii="Times New Roman" w:cs="Times New Roman" w:eastAsia="Times New Roman" w:hAnsi="Times New Roman"/>
          <w:sz w:val="18"/>
          <w:szCs w:val="18"/>
          <w:color w:val="auto"/>
        </w:rPr>
      </w:pPr>
    </w:p>
    <w:p>
      <w:pPr>
        <w:ind w:left="-8" w:firstLine="1952"/>
        <w:spacing w:after="0" w:line="282" w:lineRule="auto"/>
        <w:tabs>
          <w:tab w:leader="none" w:pos="2868"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that are U.S. (federal or state) and foreign registered trademarks and trademark applications,</w:t>
      </w:r>
    </w:p>
    <w:p>
      <w:pPr>
        <w:spacing w:after="0" w:line="16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85" w:name="page186"/>
    <w:bookmarkEnd w:id="185"/>
    <w:p>
      <w:pPr>
        <w:ind w:firstLine="1952"/>
        <w:spacing w:after="0" w:line="282" w:lineRule="auto"/>
        <w:tabs>
          <w:tab w:leader="none" w:pos="28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and registration or application number, of all the Product Intellectual Property Rights that are U.S. (federal or state) and foreign registered copyrights and copyright applications,</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correct and complete listing, including owner, of all the Product Intellectual Property Rights that are U.S. (federal or state) and foreign domain names, and</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of registered Product Intellectual Property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identified in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4" w:lineRule="auto"/>
        <w:tabs>
          <w:tab w:leader="none" w:pos="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Borrower and its Subsidiaries, such Patents and registrations are valid, subsisting and enforceable; (ii) none of the patents, registrations or applications owned by Borrower nor, to the knowledge of Borrower, in-licensed patents, registrations or applications have lapsed or been abandoned, cancelled or expired, except for patents, registrations or applications abandoned in the ordinary course of business; (iii) Borrower has or, to the knowledge of Borrower, the owner of any in-licensed patents, registrations or applications has, taken all reasonable steps to maintain such patents, registrations or applications, including by timely paying fees and filing responses; and (iv) to the knowledge of Borrower and its Subsidiaries, each individual associated with the filing and prosecution of such patents, registrations or applications, including the named inventors in the case of the Product Patents, has complied in all material respects with all applicable duties of candor and good faith in dealing with any patent office, including the USPTO, in those jurisdictions where such duties exist. Borrower may update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to add additional patents, registrations or applications, so long as such amendment occurs by written notice to Administrative Agent, subject to Borrower’s obligations and restrictions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or any of its Subsidiares (A) is a party to any pending opposition, reexamination, inter partes review, post-grant review, interference,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or (B) has received written notice of any threat of any Dispute, in each case ((A) and (B)), that challenges the legality, scope, validity, enforceability, infringement, ownership, inventorship or other rights with respect to any of the Product Intellectual Property Rights that are owned by Borrower or its Subsidiaries, and to the knowledge of Borrower and its Subsidiaries there are no facts that could provide a reasonable basis for such a claim. Borrower and its Subsidiaries have not received any written notice that there is any, and to their knowledge there is no, Person who is or claims to be an inventor under any of the Product Patents who is not a named inventor thereof.</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owner of any in-licensed Intellectual Property Rights is a party to any pending Dispute, or has received written notice of any threat of any Dispute, that challenges the legality, scope, valdity, enforceability, infringement, ownership, inventorship or other rights with respect to any of the Intellectual Property Rights. To the knowledge of Borrower and its Subsidiaries there are no facts that could provide a reasonable basis for such a claim.</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or any of its Subsidiaries is a party to any past or pending, and neither Borrower nor its Subsidiaries has received written notice of any threat of any action, suit, or proceeding, or any investigation or claim by any Person that claims or alleges that the manufacture, use, or Commercialization of any Product, once marketed, infringes on any issued Patent or other material intellectual property rights of any other Person or constitute misappropriation of any other Person’s material trade secrets or other intellectual property rights.</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jc w:val="both"/>
        <w:ind w:firstLine="1304"/>
        <w:spacing w:after="0" w:line="254" w:lineRule="auto"/>
        <w:tabs>
          <w:tab w:leader="none" w:pos="19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owner of any in-licensed Intellectual Property Rights is a party to any past or pending, and no owner of any in-licensed Intellectual Property Rights has received written notice of, or, to the knowledge of Borrower and its Subsidiaries, no event has occurred or circumstance exists that (with or without notice or lapse of time, or both) could reasonably be expected to give rise to or serve as a basis for any action, suit, or proceeding, or any investigation or claim by any Person that claims or alleges that the manufacture, use, or Commercialization of any Product, once marketed, infringes on any issued Patent or other intellectual property rights of any other Person or constitute misappropriation of any other Person’s trade secrets or other intellectual property rights. To the knowledge of Borrower and its Subsidiaries, the manufacture, use or Commercialization of the Product (Core) as currently conducted or proposed to be conducted, does not infringe or otherwise violate any issued Patent of any Person that the Borrower and its Subsidiaries do not have a right to use.</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there is no product the manufacture or Commercialization of which infringes or, once marketed, would infringe on any issued Patents included in the Product Intellectual Property Rights that are owned by Borrower or its Subsidiaries or to the knowledge of Borrower and its Subsidiaries, that are exclusively licensed by Borrower or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Borrower and its Subsidiaries, no third party is infringing or misappropriating the Intellectual Property Rights that are necessary to the conduct of Borrower’s and its Subsidiaries’ business as currently conducted, including the manufacture and Commercialization of the Products, except, in the case of any Product (Non-Core), where such infringement or misappropriation would not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its Subsidiaries have applied for patent term extension in at least one U.S. patent with a claim covering the Product (Core). The Product (Core) and the U.S. patent or patents for which the application for patent term extension has been filed are eligible for patent term extension. To the knowledge of Borrower and its Subsidiaries, the application for patent term extension satisfies the requirements set forth in 35 U.S.C. § 156 and 37 C.F.R. § 1.740 in all material respects.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Each of Borrower and its Subsidiaries keeps its property adequately insured and maintains (a) insurance 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required under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4.24</w:t>
      </w:r>
      <w:r>
        <w:rPr>
          <w:rFonts w:ascii="Times New Roman" w:cs="Times New Roman" w:eastAsia="Times New Roman" w:hAnsi="Times New Roman"/>
          <w:sz w:val="18"/>
          <w:szCs w:val="18"/>
          <w:color w:val="auto"/>
        </w:rPr>
        <w:t xml:space="preserve"> sets forth a list of all insurance maintained by each Loan Party on the Closing Date.</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Permits, Etc.</w:t>
      </w:r>
      <w:r>
        <w:rPr>
          <w:rFonts w:ascii="Times New Roman" w:cs="Times New Roman" w:eastAsia="Times New Roman" w:hAnsi="Times New Roman"/>
          <w:sz w:val="18"/>
          <w:szCs w:val="18"/>
          <w:color w:val="auto"/>
        </w:rPr>
        <w:t>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that, if not obtained, could not reasonably be expected to have a Material Adverse Effect. No condition exists or event has occurred that,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could not reasonably be expected to have a Material Adverse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Bank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4.27</w:t>
      </w:r>
      <w:r>
        <w:rPr>
          <w:rFonts w:ascii="Times New Roman" w:cs="Times New Roman" w:eastAsia="Times New Roman" w:hAnsi="Times New Roman"/>
          <w:sz w:val="18"/>
          <w:szCs w:val="18"/>
          <w:color w:val="auto"/>
        </w:rPr>
        <w:t xml:space="preserve"> sets forth a complete and accurate list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 of all deposit, checking and other bank accounts, all securities and other accounts maintained with any broker dealer and all other similar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accounts maintained by each Loan Party, together with a description thereof (i.e., the bank or broker dealer at which such deposit or other account is maintained and the account number and the purpose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Security Interests</w:t>
      </w:r>
      <w:r>
        <w:rPr>
          <w:rFonts w:ascii="Times New Roman" w:cs="Times New Roman" w:eastAsia="Times New Roman" w:hAnsi="Times New Roman"/>
          <w:sz w:val="18"/>
          <w:szCs w:val="18"/>
          <w:color w:val="auto"/>
        </w:rPr>
        <w:t xml:space="preserve">. The Collateral Documents create in favor of Administrative Agent, for the benefit of Secured Parties, a legal, valid and enforceable security interest in the Collateral secured thereby. Upon the filing of the UCC-1 financing statements described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(in each case, solely to the extent the making of such filings and taking of such action complies with Requirements of Law and subject to any Permitted Liens),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 and (c) the recordation of appropriate evidence of the security interest in the appropriate foreign registry with respect to all foreign Intellectual Property.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PATRIOT ACT and FCPA</w:t>
      </w:r>
      <w:r>
        <w:rPr>
          <w:rFonts w:ascii="Times New Roman" w:cs="Times New Roman" w:eastAsia="Times New Roman" w:hAnsi="Times New Roman"/>
          <w:sz w:val="18"/>
          <w:szCs w:val="18"/>
          <w:color w:val="auto"/>
        </w:rPr>
        <w:t>. To the extent applicable, each Loan Party is in compliance with Anti-Terrorism Laws and Sanctions. Neither the Loan Parties nor any of their officers, directors, employees, agents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Anti-Corruption Laws.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 or Sanctions.</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No representation or warranty of any Loan Party contained in any Loan Document or in any other documents, 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 the circumstances in which the same were made. Any projections and pro forma financial information contained in such materials are based upon good faith estimates and assumptions believed by Borrower to be reasonable at the time made, it being recognized by Lenders that such projections as to future events are not to be viewed as facts and that actual results during the period or periods covered by any such projections may differ materially from the projected results. The information provided by the Loan Parties to Lenders in the Perfection Certificate (as supplemented in accordance with </w:t>
      </w:r>
      <w:r>
        <w:rPr>
          <w:rFonts w:ascii="Times New Roman" w:cs="Times New Roman" w:eastAsia="Times New Roman" w:hAnsi="Times New Roman"/>
          <w:sz w:val="18"/>
          <w:szCs w:val="18"/>
          <w:u w:val="single" w:color="auto"/>
          <w:color w:val="auto"/>
        </w:rPr>
        <w:t>Section 5.1(n)</w:t>
      </w:r>
      <w:r>
        <w:rPr>
          <w:rFonts w:ascii="Times New Roman" w:cs="Times New Roman" w:eastAsia="Times New Roman" w:hAnsi="Times New Roman"/>
          <w:sz w:val="18"/>
          <w:szCs w:val="18"/>
          <w:color w:val="auto"/>
        </w:rPr>
        <w:t>) is true and correct in all material respects as of the date such Perfection Certificate was delivered.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Term Loans shall be used in accordance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4.33</w:t>
      </w:r>
      <w:r>
        <w:rPr>
          <w:sz w:val="20"/>
          <w:szCs w:val="20"/>
          <w:color w:val="auto"/>
        </w:rPr>
        <w:tab/>
      </w:r>
      <w:r>
        <w:rPr>
          <w:rFonts w:ascii="Times New Roman" w:cs="Times New Roman" w:eastAsia="Times New Roman" w:hAnsi="Times New Roman"/>
          <w:sz w:val="17"/>
          <w:szCs w:val="17"/>
          <w:u w:val="single" w:color="auto"/>
          <w:color w:val="auto"/>
        </w:rPr>
        <w:t>Regulatory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10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Borrower and its Subsidiaries have all Registrations from the FDA,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so exist would not reasonably be expected to, individually or in the aggregate, result in Material Regulatory Liabilities. To the knowledge of Borrower and its Subsidiaries, neither FDA nor any other applicable Governmental Authority is considering limiting, suspending, or revoking such Registrations or reducing the scope of the marketing authorization or materially changing the labeling of any Products under such Registrations. To the knowledge of Borrower and its Subsidiaries, there is no false or materially misleading information or material omission in any Product application or other notification, submission or report to the FDA or any other applicable Governmental Authority that was not corrected by subsequent submission, and all such applications, notifications, submissions and reports provided Borrower and its Subsidiaries were true, complete, and correct in all material respects as of the date of submission to FDA or any other applicable Governmental Authority, except as would not reasonably be expected to, individually or in the aggregate, result in Material Regulatory Liabilities. Borrower and its Subsidiaries have not failed to fulfill and perform their obligations that are due under each such Registration, and no event has occurred or condition or state of facts exists that would constitute a breach or default under any such Registration, in each case that would reasonably be expected to cause the revocation, termination or suspension or material limitation of any such Registration, including but not limited to any form of clinical hold order, except as would not reasonably be expected to, individually or in the aggregate, result in Material Regulatory Liabilities. To the knowledge of Borrower and its Subsidiaries, any third party that develops, researches, manufactures, commercializes, distributes, sells or markets Products pursuant to an agreement with Borrower or its Subsidiaries (a “</w:t>
      </w:r>
      <w:r>
        <w:rPr>
          <w:rFonts w:ascii="Times New Roman" w:cs="Times New Roman" w:eastAsia="Times New Roman" w:hAnsi="Times New Roman"/>
          <w:sz w:val="18"/>
          <w:szCs w:val="18"/>
          <w:u w:val="single" w:color="auto"/>
          <w:color w:val="auto"/>
        </w:rPr>
        <w:t>Loan Party Partner</w:t>
      </w:r>
      <w:r>
        <w:rPr>
          <w:rFonts w:ascii="Times New Roman" w:cs="Times New Roman" w:eastAsia="Times New Roman" w:hAnsi="Times New Roman"/>
          <w:sz w:val="18"/>
          <w:szCs w:val="18"/>
          <w:color w:val="auto"/>
        </w:rPr>
        <w:t>”) is in compliance with all Registrations from the FDA and any other applicable Governmental Authority insofar as they pertain to Products, and each such Loan Party Partner is, and since [***] has been, to the knowledge of Borrower and its Subsidiaries, in compliance with applicable Public Health Laws, except where the failure to so be in compliance would not reasonably be expected to, individually or in the aggregate, result in Material Regulatory Liabilities. The Borrower is not required to give notice to, make any filing with, or obtain any consent from any Governmental Authority at any time prior to the Closing Date in connection with the execution and delivery of this Agreement, or the consummation of the transactions contemplated by the Loan Documents.</w:t>
      </w:r>
    </w:p>
    <w:p>
      <w:pPr>
        <w:spacing w:after="0" w:line="20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Borrower and its Subsidiaries is in compliance, and since [***], has been in compliance, with all Public Health Laws, except to the extent that any such non-compliance, individually or in the aggregate, could not reasonably be expected to result in Material Regulatory Liabilities.</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jc w:val="both"/>
        <w:ind w:firstLine="1304"/>
        <w:spacing w:after="0" w:line="253" w:lineRule="auto"/>
        <w:tabs>
          <w:tab w:leader="none" w:pos="199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all products designed, developed, investigated, manufactured, prepared, assembled, packaged, tested, labeled, distributed, sold, marketed or delivered by or on behalf of Borrower or any of its Subsidiaries, that are subject to the jurisdiction of the FDA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 the knowledge of Borrower and its Subsidiaries,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or other Liabilities. None of the Products has been the subject of any material products liability or material warranty action against Borrower or its Subsidiaries. None of the Products has been the subject of any non-legal claim for clinical trial compensation by trial participants, except as would not reasonably be expected to, individually or in the aggregate, result in Material Regulatory Liabilities.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is currently subject to any material obligation arising pursuant to a Regulatory Action and, to the knowledge of Borrower and its Subsidiaries, no such material obligation or Regulatory Action with respect to the Product has been threatened by a Governmental Authority in writing, except as would not reasonably be expected to, individually or in the aggregate, result in Material Regulatory Liabilities. In addition, and without limitation on the foregoing, neither Borrower nor any of its Subsidiaries has since [***], received any written notice or communication from the FDA, comparable foreign counterparts or any other Governmental Authority alleging non-compliance with any Public Health Law or comparable foreign laws, except as would not reasonably be expected to, individually or in the aggregate, result in Material Regulatory Liabilities.</w:t>
      </w:r>
    </w:p>
    <w:p>
      <w:pPr>
        <w:spacing w:after="0" w:line="188" w:lineRule="exact"/>
        <w:rPr>
          <w:rFonts w:ascii="Times New Roman" w:cs="Times New Roman" w:eastAsia="Times New Roman" w:hAnsi="Times New Roman"/>
          <w:sz w:val="18"/>
          <w:szCs w:val="18"/>
          <w:color w:val="auto"/>
        </w:rPr>
      </w:pPr>
    </w:p>
    <w:p>
      <w:pPr>
        <w:jc w:val="both"/>
        <w:ind w:firstLine="1304"/>
        <w:spacing w:after="0" w:line="269" w:lineRule="auto"/>
        <w:tabs>
          <w:tab w:leader="none" w:pos="2031"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individually or in the aggregate, result in Material Regulatory Liabilities, (i) neither Borrower nor any of its Subsidiaries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and (ii) to the knowledge of Borrower and its Subsidiaries, no Loan Party Partner has since [***],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or other Governmental Authority relating to such Loan Party Partner’s work for Borrower or such Subsidiary. Except as would not reasonably be expected to, individually or in the aggregate, result in Material Regulatory Liabilities, there have been no material recalls, field notifications, field corrections, market withdrawals or replacements, detentions, warnings, “dear doctor” letters, investigator notices, safety alerts or other notice of action relating to an actual or potential lack of safety, efficacy, or regulatory compliance of any Products (“</w:t>
      </w:r>
      <w:r>
        <w:rPr>
          <w:rFonts w:ascii="Times New Roman" w:cs="Times New Roman" w:eastAsia="Times New Roman" w:hAnsi="Times New Roman"/>
          <w:sz w:val="17"/>
          <w:szCs w:val="17"/>
          <w:u w:val="single" w:color="auto"/>
          <w:color w:val="auto"/>
        </w:rPr>
        <w:t>Safety Notices</w:t>
      </w:r>
      <w:r>
        <w:rPr>
          <w:rFonts w:ascii="Times New Roman" w:cs="Times New Roman" w:eastAsia="Times New Roman" w:hAnsi="Times New Roman"/>
          <w:sz w:val="17"/>
          <w:szCs w:val="17"/>
          <w:color w:val="auto"/>
        </w:rPr>
        <w:t>”) or clinical hold orders issued by the FDA with respect to an ongoing or anticipated clinical trial of any Product, and to the knowledge of Borrower and its Subsidiaries, there are no facts or circumstances that are reasonably likely to result in (x) a Safety Notice, (y) a change in the labeling of any Product, or (z) a termination or suspension of research, testing, manufacturing, distribution, or commercialization of any Product.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4.34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4.34</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First Amendment Effective</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color w:val="FF0000"/>
          <w:strike w:val="1"/>
        </w:rPr>
        <w:t>hereof</w:t>
      </w:r>
      <w:r>
        <w:rPr>
          <w:rFonts w:ascii="Times New Roman" w:cs="Times New Roman" w:eastAsia="Times New Roman" w:hAnsi="Times New Roman"/>
          <w:sz w:val="18"/>
          <w:szCs w:val="18"/>
          <w:color w:val="auto"/>
        </w:rPr>
        <w:t>, neither Borrower nor any 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4.35</w:t>
      </w:r>
      <w:r>
        <w:rPr>
          <w:sz w:val="20"/>
          <w:szCs w:val="20"/>
          <w:color w:val="auto"/>
        </w:rPr>
        <w:tab/>
      </w:r>
      <w:r>
        <w:rPr>
          <w:rFonts w:ascii="Times New Roman" w:cs="Times New Roman" w:eastAsia="Times New Roman" w:hAnsi="Times New Roman"/>
          <w:sz w:val="17"/>
          <w:szCs w:val="17"/>
          <w:u w:val="single" w:color="auto"/>
          <w:color w:val="auto"/>
        </w:rPr>
        <w:t>Health Care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8" w:lineRule="auto"/>
        <w:tabs>
          <w:tab w:leader="none" w:pos="13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Borrower and its Subsidiaries is operating, and since [***], has been operating in material compliance with applicable Health Care Laws. Notwithstanding the generality of the foregoing, since </w:t>
      </w:r>
      <w:r>
        <w:rPr>
          <w:rFonts w:ascii="Times New Roman" w:cs="Times New Roman" w:eastAsia="Times New Roman" w:hAnsi="Times New Roman"/>
          <w:sz w:val="18"/>
          <w:szCs w:val="18"/>
          <w:color w:val="FF0000"/>
          <w:strike w:val="1"/>
        </w:rPr>
        <w:t>January 1, 2021</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all of the billing and reimbursement practices of, and the claims submitted by, either directly or indirectly, each of Borrower and its Subsidiaries have been in material compliance with all applicable Health Care Laws and all written reimbursement policies of all U.S. third-party payor programs, including Federal Health Care Programs (such as the HIPAA transaction and code set standards).</w:t>
      </w:r>
    </w:p>
    <w:p>
      <w:pPr>
        <w:spacing w:after="0" w:line="183"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3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to their knowledge, any officer, director or managing employee (as those terms are defined in 42 C.F.R. § 1001.2) thereof is a party to, or bound by, any Regulatory Action, including without limitation, any written order, individual integrity agreement, corporate integrity agreement, deferred or non-prosecution agreement or other written agreement with any Governmental Authority concerning their compliance with Health Care Laws.</w:t>
      </w:r>
    </w:p>
    <w:p>
      <w:pPr>
        <w:spacing w:after="0" w:line="179"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31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to their knowledge, any officer, director or managing employee (as those terms are defined in 42 C.F.R. § 1001.2) thereof (i) has been, since [***], charged with or convicted of any criminal offense relating to the delivery of an item or service under any Federal Health Care Program; (ii) has had, since [***], a civil monetary penalty assessed against it, him or her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or investigation relating to any of the foregoing or any Federal Health Care Program-related offense, or that would result in the imposition of material penalties or the debarment, suspension or exclusion from participation in any Federal Health Care Program. Since [***], none of Borrower and its Subsidiaries, any officer, director, managing employee or agent (as those terms are defined in 42 C.F.R. § 1001.2) thereof or, to the knowledge of Borrower and its Subsidiaries, any employee or contractor thereof, nor any Loan Party Partner, has been or is currently debarred, excluded, disqualified or suspended from participation in any Federal Health Care Program or under any FDA Laws (including 21 U.S.C. § 335a).</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6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Borrower and its Subsidiaries, nor any officer, director or managing employee (as those terms are defined in 42 C.F.R. § 1001.2) thereof has, since [***], violated or engaged in any activity that is in material violation of any Health Care Laws or cause for false claims liability, civil penalties or mandatory or permissive exclusion from any Federal Health Care Program.</w:t>
      </w:r>
    </w:p>
    <w:p>
      <w:pPr>
        <w:spacing w:after="0" w:line="17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27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 to the knowledge of Borrower and its Subsidiaries, no person has filed or has threatened to file against Borrower or any of its Subsidiaries, an action relating to any FDA Law, Public Health Law or Health Care Law, including, without limitation, the False Claims Act of 1863 (31 U.S.C. § 3729 et seq.) with respect to the activities of Borrower and its Subsidiaries relating to the Product.</w:t>
      </w:r>
    </w:p>
    <w:p>
      <w:pPr>
        <w:spacing w:after="0" w:line="175" w:lineRule="exact"/>
        <w:rPr>
          <w:rFonts w:ascii="Times New Roman" w:cs="Times New Roman" w:eastAsia="Times New Roman" w:hAnsi="Times New Roman"/>
          <w:sz w:val="18"/>
          <w:szCs w:val="18"/>
          <w:color w:val="auto"/>
        </w:rPr>
      </w:pPr>
    </w:p>
    <w:p>
      <w:pPr>
        <w:ind w:left="-660" w:firstLine="1304"/>
        <w:spacing w:after="0" w:line="282" w:lineRule="auto"/>
        <w:tabs>
          <w:tab w:leader="none" w:pos="12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Borrower and its Subsidiaries do not receive any reimbursement directly from any U.S. third-party payor program, including Federal Health Care Programs, for any Product.</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91" w:name="page192"/>
    <w:bookmarkEnd w:id="1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4.36 </w:t>
      </w: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Each of Borrower and its Subsidiaries is, and since [***], has been, in material compliance with all: (i) applicable Data Protection Laws; (ii) applicable industry standards with which Borrower or any Subsidiary has agreed to comply; (iii) contractual obligations to which each Loan Party is bound; and (iv) all of Borrower and each of its Subsidiaries’ Privacy Policies, in each case, relating to privacy, data protection, security, consumer protection, consent, or the collection, retention, protection, use or other processing of Personal Information or other Data collected, used or maintained by Borrower or by third parties having access to the records or Data of Borrower and each of its Subsidiaries. To ensure compliance with Data Protection Laws, Borrower and its Subsidiaries have in place and materially comply with appropriate policies and procedures relating to security and protection (including appropriate organizational, technical, and physical measures) of Personal Information or other Data. Each of Borrower and its Subsidiaries has adopted, published and comply with privacy notices and policies that accurately describe the privacy practices of Borrower or any Subsidiary (as applicable), to any website, mobile application or other electronic platform and complied with those notices and policies (collectively, with each of Borrower and each of its Subsidiaries’ internal privacy policies, the “</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The execution, delivery and performance of this Agreement complies with all Data Protection Laws and with Borrower’s and each Subsidiary’s Privacy Policies in each case in all material respects. Neither Borrower nor any Subsidiary, nor to the knowledge of Borrower and its Subsidiaries, any third party processing Personal Information or other Data on behalf of Borrower or any Subsidiary, has experienced any incidents in which Personal Information or other Data in the possession, custody or control of Borrower or any of its Subsidiaries or any third party processing Personal Information or other Data on behalf of Borrower or any Subsidiary was or may have been stolen, lost or otherwise been subject to any unauthorized, unlawful, or accidental access, acquisition, use or disclosure. Neither Borrower nor any Subsidiary, nor, to the knowledge of Borrower and its Subsidiaries, any third party acting on behalf of Borrower or any Subsidiary, has received any: (i) written inquiry or complaint alleging noncompliance with Data Protection Laws; (ii) written claim for compensation for loss or unauthorized collection, processing or disclosure of Personal Information or other Data; or (iii) written request for the rectification, erasure or destruction of Personal Information or other Data that is still outstanding in violation of applicable Data Protection Laws, contractual obligations, or Privacy Policies.</w:t>
      </w: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1940" w:val="left"/>
          <w:tab w:leader="none" w:pos="3640" w:val="left"/>
        </w:tabs>
        <w:rPr>
          <w:sz w:val="20"/>
          <w:szCs w:val="20"/>
          <w:color w:val="auto"/>
        </w:rPr>
      </w:pPr>
      <w:r>
        <w:rPr>
          <w:rFonts w:ascii="Times New Roman" w:cs="Times New Roman" w:eastAsia="Times New Roman" w:hAnsi="Times New Roman"/>
          <w:sz w:val="18"/>
          <w:szCs w:val="18"/>
          <w:color w:val="auto"/>
        </w:rPr>
        <w:t>Section 4.37</w:t>
      </w:r>
      <w:r>
        <w:rPr>
          <w:sz w:val="20"/>
          <w:szCs w:val="20"/>
          <w:color w:val="auto"/>
        </w:rPr>
        <w:tab/>
      </w:r>
      <w:r>
        <w:rPr>
          <w:rFonts w:ascii="Times New Roman" w:cs="Times New Roman" w:eastAsia="Times New Roman" w:hAnsi="Times New Roman"/>
          <w:sz w:val="18"/>
          <w:szCs w:val="18"/>
          <w:color w:val="auto"/>
        </w:rPr>
        <w:t>[***]Section 4.38</w:t>
      </w:r>
      <w:r>
        <w:rPr>
          <w:sz w:val="20"/>
          <w:szCs w:val="20"/>
          <w:color w:val="auto"/>
        </w:rPr>
        <w:tab/>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Unless otherwise provided below, Borrower will deliver to Administrative Agent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1304"/>
        <w:spacing w:after="0" w:line="261" w:lineRule="auto"/>
        <w:tabs>
          <w:tab w:leader="none" w:pos="195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Reports</w:t>
      </w:r>
      <w:r>
        <w:rPr>
          <w:rFonts w:ascii="Times New Roman" w:cs="Times New Roman" w:eastAsia="Times New Roman" w:hAnsi="Times New Roman"/>
          <w:sz w:val="18"/>
          <w:szCs w:val="18"/>
          <w:color w:val="auto"/>
        </w:rPr>
        <w:t>. Within [***] (x) after the end of each fiscal month during a Restricted Period and (y) after the end of each fiscal month of Borrower in which the ending Cash and Cash Equivalent balances of the Loan Parties is less than $[***], a report of the current Cash and Cash Equivalent balances of the Borrower and its Subsidiaries, which report shall identify Qualified Cash and other unrestricted and restricted Cash and Cash Equivalents.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45 days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with respect thereto;</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jc w:val="both"/>
        <w:ind w:left="-1120" w:firstLine="1304"/>
        <w:spacing w:after="0" w:line="254" w:lineRule="auto"/>
        <w:tabs>
          <w:tab w:leader="none" w:pos="84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90 days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with respect thereto; and (ii) with respect to such consolidated financial statements a report thereon of KPMG LLP or other independent certified public accountants of recognized national standing selected by Borrower or that is otherwise reasonably satisfactory to Administrative Agent (which report shall be unqualified as to going concern and scope of audit (other than with respect to or resulting from an upcoming maturity of Indebtedness under this Agreement),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Together with each delivery of financial statements of Borrower and its Subsidiaries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a duly executed and completed Compliance Certificate attaching a report of the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current Cash and Cash Equivalent balances of the Borrower and its Subsidiaries, which report shall identify Qualified Cash and other unrestricted and restricted Cash and Cash Equivalents</w:t>
      </w:r>
      <w:r>
        <w:rPr>
          <w:rFonts w:ascii="Times New Roman" w:cs="Times New Roman" w:eastAsia="Times New Roman" w:hAnsi="Times New Roman"/>
          <w:sz w:val="18"/>
          <w:szCs w:val="18"/>
          <w:u w:val="single" w:color="auto"/>
          <w:color w:val="0000FF"/>
        </w:rPr>
        <w:t>, and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aggregate principal amount of any Permitted Convertible Indebtedness outstanding as of such date and [***]</w:t>
      </w:r>
      <w:r>
        <w:rPr>
          <w:rFonts w:ascii="Times New Roman" w:cs="Times New Roman" w:eastAsia="Times New Roman" w:hAnsi="Times New Roman"/>
          <w:sz w:val="18"/>
          <w:szCs w:val="18"/>
          <w:color w:val="000000"/>
        </w:rPr>
        <w: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10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Royalty Reports; Notice of Disputes</w:t>
      </w:r>
      <w:r>
        <w:rPr>
          <w:rFonts w:ascii="Times New Roman" w:cs="Times New Roman" w:eastAsia="Times New Roman" w:hAnsi="Times New Roman"/>
          <w:sz w:val="18"/>
          <w:szCs w:val="18"/>
          <w:color w:val="auto"/>
        </w:rPr>
        <w:t>. Promptly (but in any event within [***]) after receipt by Borrower or any of its Subsidiaries, (i) a copy of any royalty reports or similar reports outlining fees to be paid or payable with respect the Commercialization of any Product (Core) in any Material Jurisdiction from any third party Licensee or (ii) any notices of any material third party disputes with respect to a Product (Core) or any Product (Core) Intellectual Property Rights, in each case, in any Material Jurisdiction or any Specified Jurisdiction.</w:t>
      </w:r>
    </w:p>
    <w:p>
      <w:pPr>
        <w:spacing w:after="0" w:line="179"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-7620</wp:posOffset>
            </wp:positionV>
            <wp:extent cx="4248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205" w:lineRule="exact"/>
        <w:rPr>
          <w:sz w:val="20"/>
          <w:szCs w:val="20"/>
          <w:color w:val="auto"/>
        </w:rPr>
      </w:pPr>
    </w:p>
    <w:p>
      <w:pPr>
        <w:ind w:left="-1120" w:firstLine="1304"/>
        <w:spacing w:after="0" w:line="282" w:lineRule="auto"/>
        <w:tabs>
          <w:tab w:leader="none" w:pos="788" w:val="left"/>
        </w:tabs>
        <w:numPr>
          <w:ilvl w:val="0"/>
          <w:numId w:val="15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Notice of Conversion. Within [***] days of receipt of any notice of conversion received by Borrower from a holder (or a trustee </w:t>
      </w:r>
      <w:r>
        <w:rPr>
          <w:rFonts w:ascii="Times New Roman" w:cs="Times New Roman" w:eastAsia="Times New Roman" w:hAnsi="Times New Roman"/>
          <w:sz w:val="18"/>
          <w:szCs w:val="18"/>
          <w:u w:val="single" w:color="auto"/>
          <w:color w:val="0000FF"/>
        </w:rPr>
        <w:t>on behalf of such holder) of Permitted Convertible Indebtedness [***] a copy of such notice;</w:t>
      </w:r>
    </w:p>
    <w:p>
      <w:pPr>
        <w:spacing w:after="0" w:line="161" w:lineRule="exact"/>
        <w:rPr>
          <w:rFonts w:ascii="Times New Roman" w:cs="Times New Roman" w:eastAsia="Times New Roman" w:hAnsi="Times New Roman"/>
          <w:sz w:val="18"/>
          <w:szCs w:val="18"/>
          <w:color w:val="0000FF"/>
        </w:rPr>
      </w:pPr>
    </w:p>
    <w:p>
      <w:pPr>
        <w:jc w:val="both"/>
        <w:ind w:left="-1120" w:firstLine="1304"/>
        <w:spacing w:after="0" w:line="255" w:lineRule="auto"/>
        <w:tabs>
          <w:tab w:leader="none" w:pos="97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Promptly (but in any event within [***]) upon any officer of Borrower obtaining knowledge (i) of any condition or event that constitutes a Default or an Event of Default; (ii) that any Person has given any notice to Borrower or any of its Subsidiaries or taken any other action with respect to any event or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Borrower has taken, is taking and proposes to take with respect thereto;</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93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xml:space="preserve">. Promptly (but in any event within [***]) upon any officer of Borrower obtaining knowledge of (i) the institution of any Adverse Proceeding or (ii) any material development in any Adverse Proceeding that, in the case of either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relates to the Products, the Product Intellectual Property or the Material Contracts, that seeks to enjoin or otherwise prevent the consummation of, or to recover any damages or obtain relief as a result of, the transactions contemplated hereby or that would reasonably be expected to result in Material Regulatory Liabilities or a Material Adverse Effect, written notice thereof together with such other information as may be reasonably available to Borrower to enable Lenders and their counsel to evaluate such matters;</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-2459355</wp:posOffset>
            </wp:positionV>
            <wp:extent cx="63068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0682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-2476500</wp:posOffset>
            </wp:positionV>
            <wp:extent cx="63068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068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93" w:name="page194"/>
    <w:bookmarkEnd w:id="193"/>
    <w:p>
      <w:pPr>
        <w:jc w:val="both"/>
        <w:ind w:left="-8" w:firstLine="1304"/>
        <w:spacing w:after="0" w:line="261" w:lineRule="auto"/>
        <w:tabs>
          <w:tab w:leader="none" w:pos="193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(but in any event within [***]) upon becoming aware of the occurrence of or forthcoming occurrence of any ERISA Event that would reasonably be expected to result in a material Liability to a Loan Party or the imposition of a Lien,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79" w:lineRule="exact"/>
        <w:rPr>
          <w:rFonts w:ascii="Times New Roman" w:cs="Times New Roman" w:eastAsia="Times New Roman" w:hAnsi="Times New Roman"/>
          <w:sz w:val="18"/>
          <w:szCs w:val="18"/>
          <w:color w:val="auto"/>
        </w:rPr>
      </w:pPr>
    </w:p>
    <w:p>
      <w:pPr>
        <w:ind w:left="1872" w:hanging="576"/>
        <w:spacing w:after="0"/>
        <w:tabs>
          <w:tab w:leader="none" w:pos="1872"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1304"/>
        <w:spacing w:after="0" w:line="282" w:lineRule="auto"/>
        <w:tabs>
          <w:tab w:leader="none" w:pos="195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and Product Notices</w:t>
      </w:r>
      <w:r>
        <w:rPr>
          <w:rFonts w:ascii="Times New Roman" w:cs="Times New Roman" w:eastAsia="Times New Roman" w:hAnsi="Times New Roman"/>
          <w:sz w:val="18"/>
          <w:szCs w:val="18"/>
          <w:color w:val="auto"/>
        </w:rPr>
        <w:t>. Each Loan Party shall promptly (but in any event within [***]) after the receipt or occurrence thereof notify Administrative Agent of:</w:t>
      </w:r>
    </w:p>
    <w:p>
      <w:pPr>
        <w:spacing w:after="0" w:line="161" w:lineRule="exact"/>
        <w:rPr>
          <w:rFonts w:ascii="Times New Roman" w:cs="Times New Roman" w:eastAsia="Times New Roman" w:hAnsi="Times New Roman"/>
          <w:sz w:val="18"/>
          <w:szCs w:val="18"/>
          <w:color w:val="auto"/>
        </w:rPr>
      </w:pPr>
    </w:p>
    <w:p>
      <w:pPr>
        <w:ind w:left="-8" w:firstLine="1952"/>
        <w:spacing w:after="0" w:line="282" w:lineRule="auto"/>
        <w:tabs>
          <w:tab w:leader="none" w:pos="2543"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alleging potential or actual material violations of any Public Health Law or Health Care Law, in each case, in any Material Jurisdiction or any Specified Jurisdiction by Borrower or its Subsidiaries,</w:t>
      </w:r>
    </w:p>
    <w:p>
      <w:pPr>
        <w:spacing w:after="0" w:line="161" w:lineRule="exact"/>
        <w:rPr>
          <w:rFonts w:ascii="Times New Roman" w:cs="Times New Roman" w:eastAsia="Times New Roman" w:hAnsi="Times New Roman"/>
          <w:sz w:val="18"/>
          <w:szCs w:val="18"/>
          <w:color w:val="auto"/>
        </w:rPr>
      </w:pPr>
    </w:p>
    <w:p>
      <w:pPr>
        <w:jc w:val="both"/>
        <w:ind w:left="-8" w:firstLine="1952"/>
        <w:spacing w:after="0" w:line="266" w:lineRule="auto"/>
        <w:tabs>
          <w:tab w:leader="none" w:pos="2833"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the FDA (or international equivalent) or other Governmental Authority in any Material Jurisdiction or any Specified Jurisdiction is limiting, suspending or revoking any Registration (including, but not limited to, by the issuance of a clinical hold),</w:t>
      </w:r>
    </w:p>
    <w:p>
      <w:pPr>
        <w:spacing w:after="0" w:line="175" w:lineRule="exact"/>
        <w:rPr>
          <w:rFonts w:ascii="Times New Roman" w:cs="Times New Roman" w:eastAsia="Times New Roman" w:hAnsi="Times New Roman"/>
          <w:sz w:val="18"/>
          <w:szCs w:val="18"/>
          <w:color w:val="auto"/>
        </w:rPr>
      </w:pPr>
    </w:p>
    <w:p>
      <w:pPr>
        <w:jc w:val="both"/>
        <w:ind w:left="-8" w:firstLine="1952"/>
        <w:spacing w:after="0" w:line="266" w:lineRule="auto"/>
        <w:tabs>
          <w:tab w:leader="none" w:pos="262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Borrower or its Subsidiaries has become subject to any Regulatory Action (other than any routine inspection or investigation in the ordinary course of business) in any Material Jurisdiction or any Specified Jurisdiction,</w:t>
      </w:r>
    </w:p>
    <w:p>
      <w:pPr>
        <w:spacing w:after="0" w:line="175"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805"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or debarment from any Federal Health Care Program or debarment or disqualification by FDA (or international equivalent) of Borrower or its Subsidiaries or its or any officer, director, managing employee or agent (as those terms are defined in 42 C.F.R.</w:t>
      </w:r>
    </w:p>
    <w:p>
      <w:pPr>
        <w:ind w:left="132" w:hanging="132"/>
        <w:spacing w:after="0"/>
        <w:tabs>
          <w:tab w:leader="none" w:pos="1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1001.2) thereof or any employee or contractor thereof,</w:t>
      </w:r>
    </w:p>
    <w:p>
      <w:pPr>
        <w:spacing w:after="0" w:line="206"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59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a Borrower or any Subsidiary, or any of their licensees or sublicensees (including licensees or sublicensees under the Product Agreements related to Product Intellectual Property Rights or Material Contracts), is being investigated or is the subject of any allegation of potential or actual violations of any Public Health Law or Health Care Laws, in each case, in any Material Jurisdiction or any Specified Jurisdiction,</w:t>
      </w:r>
    </w:p>
    <w:p>
      <w:pPr>
        <w:spacing w:after="0" w:line="179" w:lineRule="exact"/>
        <w:rPr>
          <w:rFonts w:ascii="Times New Roman" w:cs="Times New Roman" w:eastAsia="Times New Roman" w:hAnsi="Times New Roman"/>
          <w:sz w:val="18"/>
          <w:szCs w:val="18"/>
          <w:color w:val="auto"/>
        </w:rPr>
      </w:pPr>
    </w:p>
    <w:p>
      <w:pPr>
        <w:jc w:val="both"/>
        <w:ind w:left="-8" w:firstLine="1952"/>
        <w:spacing w:after="0" w:line="261" w:lineRule="auto"/>
        <w:tabs>
          <w:tab w:leader="none" w:pos="2673"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received by Borrower or its Subsidiaries that any product of Borrower or its Subsidiaries has been seized, withdrawn, recalled, detained, or subject to a suspension of manufacturing, or the commencement of any proceedings in any Material Jurisdiction or Specified Jurisdiction seeking the withdrawal, recall, suspension, import detention, or seizure of any Product are pending or threatened in writing against Borrower or its Subsidiaries, or</w:t>
      </w:r>
    </w:p>
    <w:p>
      <w:pPr>
        <w:spacing w:after="0" w:line="179" w:lineRule="exact"/>
        <w:rPr>
          <w:rFonts w:ascii="Times New Roman" w:cs="Times New Roman" w:eastAsia="Times New Roman" w:hAnsi="Times New Roman"/>
          <w:sz w:val="18"/>
          <w:szCs w:val="18"/>
          <w:color w:val="auto"/>
        </w:rPr>
      </w:pPr>
    </w:p>
    <w:p>
      <w:pPr>
        <w:ind w:left="-8" w:firstLine="1952"/>
        <w:spacing w:after="0" w:line="282" w:lineRule="auto"/>
        <w:tabs>
          <w:tab w:leader="none" w:pos="2777"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narrowing of the scope of marketing authorization or the labeling of the products of Borrower and its Subsidiaries under any Registration, in each case, in any Material Jurisdiction or any Specified Jurisdiction,</w:t>
      </w:r>
    </w:p>
    <w:p>
      <w:pPr>
        <w:spacing w:after="0" w:line="161"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3"/>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94" w:name="page195"/>
    <w:bookmarkEnd w:id="194"/>
    <w:p>
      <w:pPr>
        <w:jc w:val="both"/>
        <w:spacing w:after="0" w:line="256" w:lineRule="auto"/>
        <w:rPr>
          <w:sz w:val="20"/>
          <w:szCs w:val="20"/>
          <w:color w:val="auto"/>
        </w:rPr>
      </w:pPr>
      <w:r>
        <w:rPr>
          <w:rFonts w:ascii="Times New Roman" w:cs="Times New Roman" w:eastAsia="Times New Roman" w:hAnsi="Times New Roman"/>
          <w:sz w:val="18"/>
          <w:szCs w:val="18"/>
          <w:color w:val="auto"/>
        </w:rPr>
        <w:t>except, in each case of (i) through (iii) and (v) through (vii) above, where such action would not reasonably be expected to have, either individually or in the aggregate, any Material Regulatory Liabilities; provided, however, that with respect to any occurrence in clauses (i) through (vii) above that would, with notice or the passage of time, or both, lead to a Default or an Event of Default under Section 8.1(o) of this Agreement, each Loan Party shall promptly (but in any event within [***] of Administrative Agent’s request) provide to Administrative Agent copies of all communications with FDA and all other documentation and information in such Loan Party’s possession, custody or control reasonably requested by Administrative Agent relating to such notice or change and the events that led up to it (subject to suitable confidentiality restrictions);</w:t>
      </w:r>
    </w:p>
    <w:p>
      <w:pPr>
        <w:spacing w:after="0" w:line="187" w:lineRule="exact"/>
        <w:rPr>
          <w:sz w:val="20"/>
          <w:szCs w:val="20"/>
          <w:color w:val="auto"/>
        </w:rPr>
      </w:pPr>
    </w:p>
    <w:p>
      <w:pPr>
        <w:jc w:val="both"/>
        <w:ind w:firstLine="1304"/>
        <w:spacing w:after="0" w:line="253" w:lineRule="auto"/>
        <w:tabs>
          <w:tab w:leader="none" w:pos="191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Regarding Material Contracts</w:t>
      </w:r>
      <w:r>
        <w:rPr>
          <w:rFonts w:ascii="Times New Roman" w:cs="Times New Roman" w:eastAsia="Times New Roman" w:hAnsi="Times New Roman"/>
          <w:sz w:val="18"/>
          <w:szCs w:val="18"/>
          <w:color w:val="auto"/>
        </w:rPr>
        <w:t>. Promptly (but in any event within [***]) (A) after a Loan Party or a Subsidiary of a Loan Party receives any written notice of default or event of default under any Material Contract, or (B) after Loan Party or a Subsidiary of a Loan Party receives or otherwise becomes aware of any dispute, litigation, purchase price adjustment (other than in accordance with the terms of such Material Contract), indemnity claim, exercise of rights of set-off or deduction (including any of the foregoing threatened in writing) under or with respect any Material Contract in each case, reasonably expected to be in excess of $[***], furnish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its terms, delivered to Administrative Agent, and an explanation of any actions being taken with respect thereto. Borrower shall promptly provide Administrative Agent with written notice upon becoming aware of a counterparty’s material breach of its obligations under any Material Contract. Concurrently with the delivery of a Compliance Certificate in accordance with Section 5.1(d), and promptly following Administrative Agent’s reasonable request from time to time, Borrower shall promptly provide to Administrative Agent copies of any and all new Material Contracts not yet provided to the Administrative Agent;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 Borrower will furnish to Administrative Agent prior written notice of any change (a) in any Loan Party’s legal name, (b) in any Loan Party’s jurisdiction of organization or (c) in any Loan Party’s U.S. federal or other taxpayer identification number (if any). Borrower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Borrower also agrees promptly to notify Administrative Agent if any material portion of the Collateral is damaged or destroyed;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Collateral Verification</w:t>
      </w:r>
      <w:r>
        <w:rPr>
          <w:rFonts w:ascii="Times New Roman" w:cs="Times New Roman" w:eastAsia="Times New Roman" w:hAnsi="Times New Roman"/>
          <w:sz w:val="18"/>
          <w:szCs w:val="18"/>
          <w:color w:val="auto"/>
        </w:rPr>
        <w:t xml:space="preserve">. Each year, at the time of delivery of annual financial statements with respect to the preceding Fiscal Year pursuant to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Borrower shall deliver to Administrative Agent an updated Perfection Certificate (or confirming that there has been no change in such information since the previous Perfection Certificate);</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1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Promptly, but in any event within [***] after the receipt by Borrower or any of its Subsidiaries or occurrence thereof, as applicable, notify Administrative Agent of:</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any licenses or sublicenses under any Permitted Product Agreement;</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 existing, or entering into any new Permitted Product Agreement;</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ind w:left="-460" w:firstLine="1292"/>
        <w:spacing w:after="0" w:line="282" w:lineRule="auto"/>
        <w:tabs>
          <w:tab w:leader="none" w:pos="169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written communications received from the FDA (or international equivalent) or other Governmental Authority in any Material Jurisdiction or any Specified Jurisdiction that would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jc w:val="both"/>
        <w:ind w:left="-1120" w:right="20" w:firstLine="1952"/>
        <w:spacing w:after="0" w:line="266" w:lineRule="auto"/>
        <w:tabs>
          <w:tab w:leader="none" w:pos="152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royalty reports relating to any Product (x) provided to a third party by Borrower or its Subsidiaries, or (y) received by Borrower or its Subsidiaries from a third party, in the case of (x) and (y), to the extent not prohibited by obligations of confidentiality owed to third parties;</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11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relating to Intellectual Property</w:t>
      </w:r>
      <w:r>
        <w:rPr>
          <w:rFonts w:ascii="Times New Roman" w:cs="Times New Roman" w:eastAsia="Times New Roman" w:hAnsi="Times New Roman"/>
          <w:sz w:val="18"/>
          <w:szCs w:val="18"/>
          <w:color w:val="auto"/>
        </w:rPr>
        <w:t>. Promptly (but in any event within [***]), deliver written notice of material infringements of any material Intellectual Property Rights owned or licensed by such Loan Party or any of its Subsidiaries that are known to Borrower;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10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Documentation</w:t>
      </w:r>
      <w:r>
        <w:rPr>
          <w:rFonts w:ascii="Times New Roman" w:cs="Times New Roman" w:eastAsia="Times New Roman" w:hAnsi="Times New Roman"/>
          <w:sz w:val="18"/>
          <w:szCs w:val="18"/>
          <w:color w:val="auto"/>
        </w:rPr>
        <w:t>. To the extent permitted and within the control of Borrower under each Product Agreement, Borrower shall be responsible for, and shall maintain, with respect to each Product, all submissions to Governmental Authorities in all Material Jurisdiction and Specified Jurisdictions relating to the Products, including clinical studies, tests and biostudies, including all Product non-disclosure agreements, and the drug master files, as well as all correspondence with Governmental Authorities in all Material Jurisdictions and Specified Jurisdictions with respect thereto (including Registrations and licenses and regulatory drug lists, and any amendments or supplements thereto). Concurrently with the delivery of a Compliance Certificate following the end of each Fiscal Quarter in accordance with Section 5.1(d) and promptly following Administrative Agent’s reasonable request from time to time, Borrower shall promptly provide to Administrative Agent copies of any and all material regulatory filings submitted to any such Governmental Authorities with respect to the Products to the extent such disclosure is not prohibited by obligations of confidentiality owed to third parties;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96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Maintenance, Defense and Enforcement of Product Patents</w:t>
      </w:r>
      <w:r>
        <w:rPr>
          <w:rFonts w:ascii="Times New Roman" w:cs="Times New Roman" w:eastAsia="Times New Roman" w:hAnsi="Times New Roman"/>
          <w:sz w:val="18"/>
          <w:szCs w:val="18"/>
          <w:color w:val="auto"/>
        </w:rPr>
        <w:t>. To the extent permitted and within the control of Borrower under each Product Agreement, Borrower shall take all commercially reasonable steps to prosecute, maintain, defend and enforce the Product Patents, including by timely paying fees and filing responses with the United States Patent and Trademark Office or any applicable foreign counterpart. To the extent permitted under any obligations of confidentiality owed to third parties, Borrower shall provide prompt written notice to Administrative Agent of any material occurrences with respect to any Product Patents of which Borrower gains knowledge, including claims of invalidity or unenforceability made by a third party, or infringement of Product Patents by a third party. To the extent permitted under any obligations of confidentiality owed to third parties, upon Administrative Agent’s request from time to time, Borrower shall promptly provide Administrative Agent with complete and correct copies of (i) a list of Purple Book Patents or listing of Product Patents provided to a biosimilar applicant, and (ii) any pleadings, briefs, declarations, correspondence and other documents relating to any Dispute involving any such Purple Book Patents that are controlled or received by Borrower or any of its Subsidiaries;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79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of Third Party Patents</w:t>
      </w:r>
      <w:r>
        <w:rPr>
          <w:rFonts w:ascii="Times New Roman" w:cs="Times New Roman" w:eastAsia="Times New Roman" w:hAnsi="Times New Roman"/>
          <w:sz w:val="18"/>
          <w:szCs w:val="18"/>
          <w:color w:val="auto"/>
        </w:rPr>
        <w:t>. Borrower shall provide prompt written notice to Administrative Agent of any claim, notice, or allegation received by Borrower that Commercialization of the Product (Core) infringes a third party patent. To the extent permitted under any obligations of confidentiality owed to third parties, upon Administrative Agent’s request from time to time, Borrower shall promptly provide Administrative Agent with complete and correct copies of (i) the third party patent and (ii) any pleadings, briefs, declarations, correspondence and other documents relating to any Dispute involving any such third party patents that are controlled or received by Borrower;</w:t>
      </w:r>
    </w:p>
    <w:p>
      <w:pPr>
        <w:spacing w:after="0" w:line="18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96" w:name="page197"/>
    <w:bookmarkEnd w:id="196"/>
    <w:p>
      <w:pPr>
        <w:jc w:val="both"/>
        <w:ind w:firstLine="1304"/>
        <w:spacing w:after="0" w:line="266" w:lineRule="auto"/>
        <w:tabs>
          <w:tab w:leader="none" w:pos="201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Term Extension</w:t>
      </w:r>
      <w:r>
        <w:rPr>
          <w:rFonts w:ascii="Times New Roman" w:cs="Times New Roman" w:eastAsia="Times New Roman" w:hAnsi="Times New Roman"/>
          <w:sz w:val="18"/>
          <w:szCs w:val="18"/>
          <w:color w:val="auto"/>
        </w:rPr>
        <w:t>. Borrow shall take all steps to obtain patent term extension on a Product Patent in the United States, including timely responding to requests from the United States Patent and Trademark Office and timely electing the patent to which patent term extension will be applied;</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Within [***] of approval by Borrower’s Board of Directors, and in any event within [***] after the end of each fiscal year, any financial, business and any other projections of Borrower and its Subsidiaries (and upon the reasonable request of Administrative Agent, budgets, operating plans and other financial information) that, in each case, have been approved by Borrower’s Board of Directors;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8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(i) Promptly upon their becoming available and in any event within [***] of Borrower’s receipt thereof, copies of all amendments, waivers, consents, notices of defaults and reservations of rights with respect to and received by Borrower or its Subsidiaries from any holder of its Indebtedness having a principal amount greater $[***], (ii) promptly after submission to any Governmental Authority in any Material Jurisdiction or any Specified Jurisdiction, all material documents and information furnished to such Governmental Authority in connection with any investigation of any Loan Party (other than a routine inquiry), and (iii) such other information and data with respect to Borrower or any of its Subsidiaries as from time to time may be reasonably requested by Administrative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(b) and (c)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satisfied with respect to financial information of Borrower and its Subsidiaries by furnishing Borrower’s Form 10-K or 10-Q, as applicable, filed with the SEC. Further, notwithstanding anything to the contrary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neither the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counsel to Borrower.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each Loan Party will, and will cause each of Borrower’s 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Loan Party or any of Borrower’s Subsidiaries shall be required to preserve any such existence, right or Governmental Authorizations, qualifications,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Payment of Taxes and Claims</w:t>
      </w:r>
      <w:r>
        <w:rPr>
          <w:rFonts w:ascii="Times New Roman" w:cs="Times New Roman" w:eastAsia="Times New Roman" w:hAnsi="Times New Roman"/>
          <w:sz w:val="18"/>
          <w:szCs w:val="18"/>
          <w:color w:val="auto"/>
        </w:rPr>
        <w:t xml:space="preserve">. Each Loan Party will, and will cause each of Borrower’s Subsidiaries to, file all income and other material Tax returns required to be filed by or with respect to Borrower or any of its Subsidiaries and timely pay all income or other material Taxes imposed upon or with respect to it (including in its capacity as a withholding agent)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that has or may become a Lien against any of the Collateral, such contest proceedings conclusively operate to stay imposition of any penalty, fine or Lien resulting from the non-payment thereof. No Loan Party will, nor will it permit any of the Borrower’s Subsidiaries to, file or consent to the filing of any consolidated income tax return with any Person (other than the Borrower or its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7" w:name="page198"/>
    <w:bookmarkEnd w:id="19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Each Loan Party will, and will cause each of Borrower’s Subsidiaries to (a) maintain or 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could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could not reasonably be expected to have a Material Adverse Effect.</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Borrower’s expense and without any responsibility on Administrative Agent’s part for obtaining the insurance, the solvency of the insurance companies, the adequacy of the coverage, or the collection of claims. Upon the occurrence and during the continuance of an Event of Default, following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insurance policies required to be maintained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provide for at least thirty (30) days’ prior written notice to Administrative Agent of the cancellation or substantial modification thereof. Receipt of such notice shall entitle Administrative Agent (but Administrative Agent shall not be obligated), upon 10 days prior written notice to Loan Parties, to renew any such policies, cause the coverages and amounts thereof to be maintained at levels required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otherwise to obtain similar insurance (including with respect to coverage types, limits and premiums) in place of such policies, in each case at the expense of the Loan Parties.</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8" w:name="page199"/>
    <w:bookmarkEnd w:id="1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Books and Records; Inspections</w:t>
      </w:r>
      <w:r>
        <w:rPr>
          <w:rFonts w:ascii="Times New Roman" w:cs="Times New Roman" w:eastAsia="Times New Roman" w:hAnsi="Times New Roman"/>
          <w:sz w:val="18"/>
          <w:szCs w:val="18"/>
          <w:color w:val="auto"/>
        </w:rPr>
        <w:t xml:space="preserve">. Each Loan Party will, and will cause each of Borrower’s Subsidiaries to, (a) 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absent the occurrence and continuance of an Event of Default, Administrative Agent and Lenders shall not exercise such rights more often than [***] during any Fiscal Year. The Loan Parties agree to pay the reasonable and documented out-of-pocket costs and expenses incurred by the examiner in connection therewith.</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Lenders Calls</w:t>
      </w:r>
      <w:r>
        <w:rPr>
          <w:rFonts w:ascii="Times New Roman" w:cs="Times New Roman" w:eastAsia="Times New Roman" w:hAnsi="Times New Roman"/>
          <w:sz w:val="18"/>
          <w:szCs w:val="18"/>
          <w:color w:val="auto"/>
        </w:rPr>
        <w:t xml:space="preserve">. Borrower shall, upon the request by Administrative Agent, cause its chief financial officer or other Authorized Officers reasonably requested by Administrative Agent to participate in a conference call with Administrative Agent and all Lenders who choose to participate in such conference call, during which conference call the chief financial officer or such Authorized Officer (as applicable) shall review the financial condition of Borrower and its Subsidiaries and such other matters as Administrative Agent or any Lender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calls shall not occur more than [***] per calendar quarter.</w:t>
      </w:r>
    </w:p>
    <w:p>
      <w:pPr>
        <w:spacing w:after="0" w:line="1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all Environmental Laws, Data Protection Laws, Public Health Laws and Health Care Laws), non-compliance with which would reasonably be expected to have, individually or in the aggregate,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Loan Party shall, and shall cause each of Borrower’s Subsidiaries to, comply with all FDA Laws and Public Health Laws, and with all Data Protection Laws and applicable Health Care Laws, except where the failure to comply would not reasonably be expected to result, either individually or in the aggregate, in Material Regulatory 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good tissue practices, labeling, advertising, record-keeping, and adverse event reporting, except where the failure to comply would not reasonably be expected to result, either individually or in the aggregate, in Material Regulatory Liabilities.</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7"/>
          <w:szCs w:val="17"/>
          <w:u w:val="single" w:color="auto"/>
          <w:color w:val="auto"/>
        </w:rPr>
        <w:t>Environmental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0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(i) keep its real property free of any Environmental Liens; (ii) maintain and comply in all material respects with all Governmental Authorizations required under applicable Environmental Laws, except as any such failure could not reasonably be expected to result in a Material Adverse Effect; (iii) take all steps to prevent any Release of Hazardous Materials from any property owned or operated by any Loan Party, except as any such failure could not reasonably be expected to result in a Material Adverse Effect; and (iv) ensure that there are no Hazardous Materials on, at or migrating from any property owned or operated by any Loan Party, except as any such failure could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jc w:val="both"/>
        <w:ind w:firstLine="1304"/>
        <w:spacing w:after="0" w:line="261" w:lineRule="auto"/>
        <w:tabs>
          <w:tab w:leader="none" w:pos="199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shall promptly (but in any event within [***]) (i) notify Administrative Agent in writing (A) of any material Environmental Claims asserted in writing against or material Environmental Liabilities and Costs of any Loan Party, and (B) of any written notice of Environmental Lien filed against its real property, and (ii) provide such other documents and information as reasonably requested by Administrative Agent in relation to any matter pursuant to this </w:t>
      </w:r>
      <w:r>
        <w:rPr>
          <w:rFonts w:ascii="Times New Roman" w:cs="Times New Roman" w:eastAsia="Times New Roman" w:hAnsi="Times New Roman"/>
          <w:sz w:val="18"/>
          <w:szCs w:val="18"/>
          <w:u w:val="single" w:color="auto"/>
          <w:color w:val="auto"/>
        </w:rPr>
        <w:t>Section 5.9(b)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In the event that (x) any Subsidiary of a Loan Party ceases to be an Excluded Subsidiary or (y) any Person becomes a Subsidiary of a Loan Party and such Person is not an Excluded Subsidiary, Borrower, in each case, shall (a) within [***] (or such longer period as Administrative Agent may agree in writing) of such Person becoming a Subsidiary or ceasing to be an Excluded Subsidiary cause such Subsidiary to become a Guarantor hereunder and a Grantor under the Pledge and Security Agreement by executing and delivering to Administrative Agent a Counterpart Agreement, and (b) 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18"/>
          <w:szCs w:val="18"/>
          <w:u w:val="single" w:color="auto"/>
          <w:color w:val="auto"/>
        </w:rPr>
        <w:t>Sections 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3.1(i)</w:t>
      </w:r>
      <w:r>
        <w:rPr>
          <w:rFonts w:ascii="Times New Roman" w:cs="Times New Roman" w:eastAsia="Times New Roman" w:hAnsi="Times New Roman"/>
          <w:sz w:val="18"/>
          <w:szCs w:val="18"/>
          <w:color w:val="auto"/>
        </w:rPr>
        <w:t xml:space="preserve">. With respect to each such Subsidiary, Borrower shall promptly send to Administrative Agent written notice setting forth with respect to such Person (i) the date on which such Person became a Subsidiary of Borrower or ceased to be an Excluded Subsidiary, which such notice, in the case of any Subsidiary that has ceased to be an Excluded Subsidiary, shall be provided within [***] of delivery of the financial statements for the Fiscal Quarter in which such Subsidiary ceased to be an Excluded Subsidiary, and (ii) all of the data required to be set forth in </w:t>
      </w:r>
      <w:r>
        <w:rPr>
          <w:rFonts w:ascii="Times New Roman" w:cs="Times New Roman" w:eastAsia="Times New Roman" w:hAnsi="Times New Roman"/>
          <w:sz w:val="18"/>
          <w:szCs w:val="18"/>
          <w:u w:val="single" w:color="auto"/>
          <w:color w:val="auto"/>
        </w:rPr>
        <w:t>Schedules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with respect to all Subsidiaries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written notice shall be deemed to supplement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for all purposes hereof. In addition, at the election of Borrower, any Excluded Subsidiary of Borrower may become a Guarantor hereunder, at which time such Subsidiary shall cease to be an Excluded Subsidiary.</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Real Estate Assets</w:t>
      </w:r>
      <w:r>
        <w:rPr>
          <w:rFonts w:ascii="Times New Roman" w:cs="Times New Roman" w:eastAsia="Times New Roman" w:hAnsi="Times New Roman"/>
          <w:sz w:val="18"/>
          <w:szCs w:val="18"/>
          <w:color w:val="auto"/>
        </w:rPr>
        <w:t xml:space="preserve">. In the event that any Loan Party acquires fee title to Material Real Property during the term of this Loan, Borrower shall send to Administrative Agent a written notice of the occurrence of any such event promptly upon the occurrence of same. Within [***] </w:t>
      </w:r>
      <w:r>
        <w:rPr>
          <w:rFonts w:ascii="Times New Roman" w:cs="Times New Roman" w:eastAsia="Times New Roman" w:hAnsi="Times New Roman"/>
          <w:sz w:val="18"/>
          <w:szCs w:val="18"/>
          <w:color w:val="FF0000"/>
          <w:strike w:val="1"/>
        </w:rPr>
        <w:t>days</w:t>
      </w:r>
      <w:r>
        <w:rPr>
          <w:rFonts w:ascii="Times New Roman" w:cs="Times New Roman" w:eastAsia="Times New Roman" w:hAnsi="Times New Roman"/>
          <w:sz w:val="18"/>
          <w:szCs w:val="18"/>
          <w:color w:val="auto"/>
        </w:rPr>
        <w:t xml:space="preserve"> after the acquisition of any such Material Real Property (or such later time as agreed to by Administrative Agent in its sole discretion), such Loan Party shall deliver to Administrative Agent: (a) a fully executed and notarized Mortgage, in proper form for creating a valid and enforceable lien on the Real Property described therein once recorded in the appropriate real estate records and in proper form for recording in such real estate records; (b) an opinion of counsel in the jurisdiction in which such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from a title company reasonably satisfactory to Administrative Agent (the “</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in an amount not less than the fair market value of such Real Estate Asset, together with a title report issued by the Title Company with respect thereto, dated not more than [***] prior to the date such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Real Property in the appropriate real estate records; (d) to the extent required by law, evidence of flood insurance with respect to such Real Property in compliance with any applicable regulations of the Board of Governors of the Federal Reserve System, and in form and substance reasonably satisfactory to Administrative Agent; and (e) an ALTA/NSPS survey of such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Real Property was acquired, or (2) accompanied by a survey or “no change” affidavit executed by the owner of such Real Property and acceptable to the Title Company to issue the Title Policy in the form required by Administrative Agent, as applicable. In addition to the foregoing, Borrower shall, at the request of Required Lenders, deliver to Administrative Agent an appraisal of such Material Real Property to verify the amount of the Mortgage or Title Policy, but only if required by applicable law or regulation.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At any time or from time to time upon the reasonable request of Administrative Agent, each Loan Party 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In furtherance and not in limitation of the foregoing, each Loan Party shall take such actions as Administrative Agent may reasonably request from time to time to ensure that the Obligations are guarantied by the Guarantors and are secured by the Collateral.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Control Agreements</w:t>
      </w:r>
      <w:r>
        <w:rPr>
          <w:rFonts w:ascii="Times New Roman" w:cs="Times New Roman" w:eastAsia="Times New Roman" w:hAnsi="Times New Roman"/>
          <w:sz w:val="18"/>
          <w:szCs w:val="18"/>
          <w:color w:val="auto"/>
        </w:rPr>
        <w:t>. Each of Borrower and each Guarantor shall hold all of its cash and Cash Equivalents in a Deposit Account or Securities Account (other than Excluded Accounts) subject to a Control Agreement within [***] days after the Closing Date (or such later date as agreed by the Administrative Agent in its sole discretion) or the opening or acquisition thereof, as applicable. All such Control Agreements governed under the laws of a state or territory of the United States shall provide for “springing” cash dominion with respect to each such account, including each disbursement account. With respect to each Control Agreement, the Administrative Agent will not deliver to the relevant depository institution a notice or other instruction that provides for exclusive control over such account by the Administrative Agent unless an Event of Default has occurred and is continuing.</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Borrower shall, and shall cause each of the Loan Parties to, satisfy the requirements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on or before the post-closing date specified for such requirement or such later date to be determined by Administrative Agent in its sole discretion.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such Loan Party shall perform, and shall cause each of its Subsidiaries to perform, all covenants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shall, nor shall it permit any of its Subsidiaries to, directly or indirectly, create, incur, assume or guaranty, or otherwise become or remain directly or indirectly liable with respect to any Indebtedness, except Permitted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shall, nor shall it permit any of its Subsidiaries to, directly or indirectly, create, incur, assume or permit to exist any Lien on or with respect to any property or asset of any kind (including any document or instrument in respect of goods or accounts receivable) of Borrower or any of its Subsidiaries, whether now owned or hereafter acquired, or any income or profits therefrom, except Permitted Liens.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Borrower and its Subsidiaries shall not breach any Material Contract, or otherwise default under any Material Contract, in each case, in such a manner as could reasonably be expected to give rise to a termination right of any other party to such Material Contract. Borrower and its Subsidiaries shall not amend or permit the amendment of any provision of any Material Contract the result of which would be materially adverse to the interests of the Administrative Agent and the Lenders (in their respective capacities as such) or which would adversely affect in any material respect any of Borrower’s or its Subsidiary’s rights with respect to any Product (Core). For the avoidance of doubt, [***].</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1" w:name="page202"/>
    <w:bookmarkEnd w:id="20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u w:val="single" w:color="auto"/>
          <w:color w:val="auto"/>
        </w:rPr>
        <w:t>No Further Negative Pledges</w:t>
      </w:r>
    </w:p>
    <w:p>
      <w:pPr>
        <w:spacing w:after="0" w:line="225" w:lineRule="exact"/>
        <w:rPr>
          <w:sz w:val="20"/>
          <w:szCs w:val="20"/>
          <w:color w:val="auto"/>
        </w:rPr>
      </w:pPr>
    </w:p>
    <w:p>
      <w:pPr>
        <w:jc w:val="both"/>
        <w:ind w:left="1300" w:firstLine="652"/>
        <w:spacing w:after="0" w:line="252" w:lineRule="auto"/>
        <w:tabs>
          <w:tab w:leader="none" w:pos="264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Except with respect to (a) specific property encumbered to secure payment of particular Indebtedness or to be sold pursuant to an executed agreement with respect to an Asset Sale permitted under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(b) [reserved], (c) restrictions by reason of customary provisions restricting assignments, subletting or other transfers contained in leases, licenses and similar agreements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are limited to the property or assets secured by such Liens or the property or assets subject to such leases, licenses or similar agreements, as the case may be), (d) [reserved], (e)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w:t>
      </w:r>
    </w:p>
    <w:p>
      <w:pPr>
        <w:spacing w:after="0" w:line="6" w:lineRule="exact"/>
        <w:rPr>
          <w:rFonts w:ascii="Times New Roman" w:cs="Times New Roman" w:eastAsia="Times New Roman" w:hAnsi="Times New Roman"/>
          <w:sz w:val="18"/>
          <w:szCs w:val="18"/>
          <w:color w:val="auto"/>
        </w:rPr>
      </w:pPr>
    </w:p>
    <w:p>
      <w:pPr>
        <w:jc w:val="both"/>
        <w:ind w:left="1300" w:firstLine="4"/>
        <w:spacing w:after="0" w:line="251" w:lineRule="auto"/>
        <w:tabs>
          <w:tab w:leader="none" w:pos="154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cash or other deposits or net worth imposed by customers under commercial contracts entered into in the ordinary course of business, (g) encumbrances or restrictions in connection with any Permitted Product Transaction that, in the good faith determination of the Borrower, are reasonably necessary or advisable in connection with such Permitted Product Transaction, (h) customary provisions in joint venture agreements or arrangements and other similar agreements or arrangements relating solely to the applicable joint venture, (i) any encumbrance or restriction contained in secured Indebtedness otherwise permitted to be incurred hereunder to the extent limiting the right of the debtor to dispose of the assets securing such Indebtedness and (j) any encumbrances or restrictions of the type referred to in the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imposed by any amendments, modifications, restatements, renewals, increases, supplements, refundings, replacements or refinancings of the contracts, instruments or obligations referred to such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spacing w:after="0" w:line="19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Restricted Junior Payments</w:t>
      </w:r>
      <w:r>
        <w:rPr>
          <w:rFonts w:ascii="Times New Roman" w:cs="Times New Roman" w:eastAsia="Times New Roman" w:hAnsi="Times New Roman"/>
          <w:sz w:val="18"/>
          <w:szCs w:val="18"/>
          <w:color w:val="auto"/>
        </w:rPr>
        <w:t>. No Loan Party shall, nor shall it permit any of its Subsidiaries through any manner or means or through any other Person to, directly or indirectly, declare, order, pay or make any sum for any Restricted Junior Payment, in each case, except for:</w:t>
      </w:r>
    </w:p>
    <w:p>
      <w:pPr>
        <w:spacing w:after="0" w:line="162" w:lineRule="exact"/>
        <w:rPr>
          <w:sz w:val="20"/>
          <w:szCs w:val="20"/>
          <w:color w:val="auto"/>
        </w:rPr>
      </w:pPr>
    </w:p>
    <w:p>
      <w:pPr>
        <w:ind w:left="1900" w:hanging="596"/>
        <w:spacing w:after="0"/>
        <w:tabs>
          <w:tab w:leader="none" w:pos="1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to Borrower’s equityholders in the form of Common Stock;</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the issuance of Capital Stock of Borrower upon the exercise of any warrants, options or rights to acquire such Capital Stock, including upon conversion of any Indebtedness that is convertible into or exchangeable for Capital Stock of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other securities or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following a merger event or other change of the Common Stock of Borrower), cash or any combination thereof (with the amount of such cash or such combination determined by reference to the market price of such Capital Stock or such other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(y) cash payments in lieu of issuing fractional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shares in connection with the exercise of warrants, options or other securities convertible or exchangeable into Capital Stock of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securities or property following a merger event or other change of the Common Stock of Borrower), cash or any combination thereof (with the amount of such cash or such combination determined by reference to the market price of such Capital Stock or such other securities);</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2" w:name="page203"/>
    <w:bookmarkEnd w:id="202"/>
    <w:p>
      <w:pPr>
        <w:ind w:left="2040" w:hanging="736"/>
        <w:spacing w:after="0"/>
        <w:tabs>
          <w:tab w:leader="none" w:pos="20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or other Restricted Junior Payments by a Subsidiary of Borrower to Borrower or such Subsidiary’s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parent company;</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retirement or other acquisition or retirement for value of Borrower’s Capital Stock held by any future, present or former employee, director, manager, officer or consultant (or any Affiliates, spouses, former spouses, other immediate family members, successors, executors, administrators, heirs, legatees or distributees of any of the foregoing) of Borrower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amounts of all such payments made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not exceed $[***] in any fiscal year; and</w:t>
      </w:r>
    </w:p>
    <w:p>
      <w:pPr>
        <w:spacing w:after="0" w:line="188"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on subordinated Indebtedness in accordance with the subordination agreement governing such Indebtedness;</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may purchase, redeem, retire or otherwise acquire for value Capital Stock (and any related stock appreciation rights, plans, equity incentive or achievement plans or any similar plans) of a Person being acquired in any Permitted Acquisition or other Investment permitted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in connection with such Permitted Acquisition or other Investment; provided that such purchase, redemption, retirement or acquisition shall be a part of the consideration or purchase price paid for such Permitted Acquisition (i.e. subject to any applicable caps with respect to the purchase price of such Permitted Acquisition).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at no time during a Restricted Period shall any Restricted Junior Payment otherwise permitted under the foregoing clauses (d), (e), (f) or (h) be made.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Restrictions on Subsidiary Distributions</w:t>
      </w:r>
      <w:r>
        <w:rPr>
          <w:rFonts w:ascii="Times New Roman" w:cs="Times New Roman" w:eastAsia="Times New Roman" w:hAnsi="Times New Roman"/>
          <w:sz w:val="18"/>
          <w:szCs w:val="18"/>
          <w:color w:val="auto"/>
        </w:rPr>
        <w:t xml:space="preserve">. Except as provided herein, no Loan Party shall, nor shall it permit any of its Subsidiaries to, create or otherwise cause or suffer to exist or become effective any consensual encumbrance or restriction of any kind on the ability of any Subsidiary of Borrower to (a) pay dividends or make any other distributions on any of such Subsidiary’s Capital Stock owned by Borrower or any other Subsidiary of Borrower, (b) repay or prepay any Indebtedness owed by such Subsidiary to Borrower or any other Subsidiary of Borrower, (c) make loans or advances to Borrower or any other Subsidiary of Borrower, or (d) transfer any of its property or assets to Borrower or any other Subsidiary of Borrower other than restrictions (i) in agreements evidencing purchase money Indebtedness permitted by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the definition of Permitted Indebtedness that impose restrictions on the property so acquired, (ii) by reason of customary provisions restricting assignments, subletting or other transfers contained in leases, licenses, joint venture agreements and similar agreements entered into in the ordinary course of business,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that would prohibit a Subsidiary of Borrower from being a Loan Party (other than Subsidiaries that are Excluded Subsidiaries, other than by virtue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No Loan Party shall, nor shall it permit any of its Subsidiaries to, directly or indirectly, make or own any Investment in any Person, including without limitation, any Joint Venture, except Permitted Investments. Notwithstanding the foregoing, in no event shall any Loan Party make any Investment that results in the making of any Restricted Junior Payment not otherwise permitted under the terms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Minimum Qualified Cash</w:t>
      </w:r>
      <w:r>
        <w:rPr>
          <w:rFonts w:ascii="Times New Roman" w:cs="Times New Roman" w:eastAsia="Times New Roman" w:hAnsi="Times New Roman"/>
          <w:sz w:val="18"/>
          <w:szCs w:val="18"/>
          <w:color w:val="auto"/>
        </w:rPr>
        <w:t>. The Loan Parties shall not permit Qualified Cash at any time to be less than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at any time during a Restricted Period, to be less than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u w:val="single" w:color="auto"/>
          <w:color w:val="auto"/>
        </w:rPr>
        <w:t>Fundamental Changes; Disposition of Assets</w:t>
      </w:r>
    </w:p>
    <w:p>
      <w:pPr>
        <w:spacing w:after="0" w:line="225" w:lineRule="exact"/>
        <w:rPr>
          <w:sz w:val="20"/>
          <w:szCs w:val="20"/>
          <w:color w:val="auto"/>
        </w:rPr>
      </w:pPr>
    </w:p>
    <w:p>
      <w:pPr>
        <w:ind w:left="740" w:hanging="84"/>
        <w:spacing w:after="0"/>
        <w:tabs>
          <w:tab w:leader="none" w:pos="7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nor shall it permit any of its Subsidiaries to:</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1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5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any Subsidiary of Borrower that is a Loan Party may be merged with or into Borrower or any Guarantor Subsidiary, or be liquidated, wound up or dissolved, or all or any part of its business, property or assets may be conveyed, sold, leased, transferred or otherwise disposed of, in one transaction or a series of transactions, to Borrower or any Guarantor Subsidiary; and (y) any Subsidiary of Borrower that is an Excluded Subsidiary may be merged with or into Borrower or any other Subsidiary, or be liquidated, wound up or dissolved, or all or any part of its business, property or assets may be conveyed, sold, leased, transferred or otherwise disposed of, in one transaction or a series of transactions, to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 the case of such merger involving Borrower, Borrower shall be the continuing or surviving Person and in the case of such merger not involving Borrower but involving a Guarantor Subsidiary, a Guarantor Subsidiary shall be the continuing or surviving person; or</w:t>
      </w:r>
    </w:p>
    <w:p>
      <w:pPr>
        <w:spacing w:after="0" w:line="191"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Permitted Acquisitions and other Permitted Investments;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consumate any Asset Sale, in one transaction or a series of transactions, of all or any part of its business, assets or property of any kind whatsoever (including, without limitation, any Product (including, without limitation, any Intellectual Property rights related thereto), any Product Agreement (including, without limitation, any of Borrower’s rights thereunder), and any Registration), whether real, personal or mixed and whether tangible or intangible, whether now owned or hereafter acquired, or, except, in each case, pursuant to arms’ length transactions on market terms and for fair market value:</w:t>
      </w:r>
    </w:p>
    <w:p>
      <w:pPr>
        <w:spacing w:after="0" w:line="183"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Product Transactions;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and other Permitted Investments;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7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unwinding or other termination of any Hedging Agreement or any Permitted Equity Derivative or the entry into any Permitted Equity Derivatives;</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3"/>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4" w:name="page205"/>
    <w:bookmarkEnd w:id="204"/>
    <w:p>
      <w:pPr>
        <w:ind w:left="2560" w:hanging="608"/>
        <w:spacing w:after="0"/>
        <w:tabs>
          <w:tab w:leader="none" w:pos="25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inventory in the ordinary course of business;</w:t>
      </w:r>
    </w:p>
    <w:p>
      <w:pPr>
        <w:spacing w:after="0" w:line="225"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obsolete or worn out, retired or surplus property, whether now owned or hereafter acquired,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6"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or waiver of contractual rights and settlement or waiver of contractual or litigation claims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to a Loan Party;</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by any Subsidiary that is an Excluded Subsidiary;</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consisting of Permitted Liens and permitted Restricted Junior Payments;</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69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accounts receivable in connection with the collection or compromise thereof and Asset Sales of Cash Equivalents for cash or other Cash Equivalents;</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89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Asset Sales (other than any disposition of Material Contracts, Product (Core), Product (Core) Intellectual Property Rights, Registration with respect to any Product (Core), accounts receivables or inventory in respect of any Product (Core) or any other assets necessary or material to the research, development, use or Commercialization of any Product (Core)) so long as at least 75.0% of the consideration paid in connection therewith shall be cash or Cash Equivalents paid substantially concurrently with consummation of the transaction and shall be in an amount not less than the fair market value of the property disposed 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the following shall be deemed to be cash (x) any securities received by the Loan Parties or any Subsidiary from such transferee that are converted by such Person into cash or Cash Equivalents upon the closing of the applicable disposition, (y) any purchase price adjustment, milestone payment, royalty, earnout, contingent payment, back-end or other deferred payment of a similar nature, and (z)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that is at that time outstanding, not to exceed $[***];</w:t>
      </w:r>
    </w:p>
    <w:p>
      <w:pPr>
        <w:spacing w:after="0" w:line="194" w:lineRule="exact"/>
        <w:rPr>
          <w:rFonts w:ascii="Times New Roman" w:cs="Times New Roman" w:eastAsia="Times New Roman" w:hAnsi="Times New Roman"/>
          <w:sz w:val="18"/>
          <w:szCs w:val="18"/>
          <w:color w:val="auto"/>
        </w:rPr>
      </w:pPr>
    </w:p>
    <w:p>
      <w:pPr>
        <w:ind w:left="2780" w:hanging="828"/>
        <w:spacing w:after="0"/>
        <w:tabs>
          <w:tab w:leader="none" w:pos="27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 of Capital Stock in any Joint Venture to the other holders of Capital Stock in such Joint Venture for fair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and</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 Sales in an aggregate amount not to exceed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 no assignment, transfer, contribution, license, sublicense or other disposition of any Product (Core), Product (Core) Intellectual Property Rights or Registration with respect to any Product (Core) is permitted hereunder except as specifically permitted under this Agreement and (ii) during a Restricted Period, no Asset Sale otherwise permitted by the forgoing clauses (i), (iii), (x), (xi), (xii), (xiii) or (xiv) shall be permitted.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Disposal of Subsidiary Interests</w:t>
      </w:r>
      <w:r>
        <w:rPr>
          <w:rFonts w:ascii="Times New Roman" w:cs="Times New Roman" w:eastAsia="Times New Roman" w:hAnsi="Times New Roman"/>
          <w:sz w:val="18"/>
          <w:szCs w:val="18"/>
          <w:color w:val="auto"/>
        </w:rPr>
        <w:t xml:space="preserve">. Except for any sale of its interests in the Capital Stock of any of its Subsidiaries in compliance with the provisions of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no Loan Party shall, nor shall it permit any of its Subsidiaries to, in each case solely with respect to the interests of or in Loan Party,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u w:val="single" w:color="auto"/>
          <w:color w:val="auto"/>
        </w:rPr>
        <w:t>Sales and Lease Backs</w:t>
      </w:r>
    </w:p>
    <w:p>
      <w:pPr>
        <w:spacing w:after="0" w:line="225" w:lineRule="exact"/>
        <w:rPr>
          <w:sz w:val="20"/>
          <w:szCs w:val="20"/>
          <w:color w:val="auto"/>
        </w:rPr>
      </w:pPr>
    </w:p>
    <w:p>
      <w:pPr>
        <w:jc w:val="both"/>
        <w:ind w:left="1300" w:firstLine="652"/>
        <w:spacing w:after="0" w:line="258" w:lineRule="auto"/>
        <w:tabs>
          <w:tab w:leader="none" w:pos="267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 Loan Party shall, nor shall it permit any of its Subsidiaries to,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that has been or is to be sold or transferred by such Loan Party to any Person (other than Borrower or any of its Subsidiaries) in connection with such lease.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Transactions with Shareholders and Affiliates</w:t>
      </w:r>
      <w:r>
        <w:rPr>
          <w:rFonts w:ascii="Times New Roman" w:cs="Times New Roman" w:eastAsia="Times New Roman" w:hAnsi="Times New Roman"/>
          <w:sz w:val="18"/>
          <w:szCs w:val="18"/>
          <w:color w:val="auto"/>
        </w:rPr>
        <w:t xml:space="preserve">. No Loan Party shall, nor shall it permit any of its Subsidiaries to, directly or indirectly, enter into or permit to exist any transaction (including the purchase, sale, lease or exchange of any property or the rendering of any service), or series of related transactions, with any Affiliate of Borrower or of any such holder with a value in excess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and their Subsidiaries may enter into or permit to exist any such transaction if Administrative Agent has consented thereto in writing prior to the consummation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restrictions shall not apply to any of the following:</w:t>
      </w:r>
    </w:p>
    <w:p>
      <w:pPr>
        <w:spacing w:after="0" w:line="183" w:lineRule="exact"/>
        <w:rPr>
          <w:sz w:val="20"/>
          <w:szCs w:val="20"/>
          <w:color w:val="auto"/>
        </w:rPr>
      </w:pPr>
    </w:p>
    <w:p>
      <w:pPr>
        <w:ind w:left="1900" w:hanging="596"/>
        <w:spacing w:after="0"/>
        <w:tabs>
          <w:tab w:leader="none" w:pos="1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among the Borrower and its Subsidiaries expressly permitted 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fees paid to current or former members of the Board of Directors (or similar governing body) of Borrower and its Subsidiaries;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arrangements for current and former officers and other employees of Borrower and its Subsidiaries entered into in the ordinary course of business;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series of related transactions) that have a value not in excess of $[***] in the aggregate during the term of this Agreement and that are, in the case of each such transaction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From and after the Closing Date, no Loan Party shall, nor shall it permit any of its Subsidiaries to, engage in any material line of business other than the businesses engaged in by such Loan Party or its Subsidiaries on the Closing Date or any business reasonably related, complementary, incidental, ancillary thereto or any reasonable extensions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Changes to Certain Agreements and Organizational Documents</w:t>
      </w:r>
      <w:r>
        <w:rPr>
          <w:rFonts w:ascii="Times New Roman" w:cs="Times New Roman" w:eastAsia="Times New Roman" w:hAnsi="Times New Roman"/>
          <w:sz w:val="18"/>
          <w:szCs w:val="18"/>
          <w:color w:val="auto"/>
        </w:rPr>
        <w:t>. No Loan Party shall amend or permit any 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The Loan Parties will not and will not permit any of their Subsidiaries to modify or change its fiscal year or its method of accounting (other than as may be required to conform to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No Loan Party shall establish or maintain a Deposit Account or a Securities Account that is not subject to a Control Agreement except for Excluded Accounts or as otherwise permitted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Prepayments of Certain Indebtedness</w:t>
      </w:r>
      <w:r>
        <w:rPr>
          <w:rFonts w:ascii="Times New Roman" w:cs="Times New Roman" w:eastAsia="Times New Roman" w:hAnsi="Times New Roman"/>
          <w:sz w:val="18"/>
          <w:szCs w:val="18"/>
          <w:color w:val="auto"/>
        </w:rPr>
        <w:t xml:space="preserve">. No Loan Party shall, directly or indirectly, voluntarily purchase, redeem, defease or prepay any principal of, premium, if any, interest or other amount payable in respect of any Indebtedness for borrowed money with an aggregate principal amount outstanding of $[***] prior to its scheduled due date, other than (a) the Obligations, (b) [reserved], (c) Indebtedness secured by a Permitted Lien if the asset securing such Indebtedness has been sold or otherwise disposed of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(d) converting (or exchanging) any Indebtedness to (or for) Qualified Capital Stock of Borrower, (e)</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issuance of Capital Stock (and cash in lieu of fractional shares in connection with such issuance) </w:t>
      </w:r>
      <w:r>
        <w:rPr>
          <w:rFonts w:ascii="Times New Roman" w:cs="Times New Roman" w:eastAsia="Times New Roman" w:hAnsi="Times New Roman"/>
          <w:sz w:val="18"/>
          <w:szCs w:val="18"/>
          <w:color w:val="FF0000"/>
          <w:strike w:val="1"/>
        </w:rPr>
        <w:t>of the Borrower in connection with any conversion, exercise, repurchase, exchange, redemption, settlement or early termination or cancellation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Permitted Convertible Indebtedness,</w:t>
      </w:r>
      <w:r>
        <w:rPr>
          <w:rFonts w:ascii="Times New Roman" w:cs="Times New Roman" w:eastAsia="Times New Roman" w:hAnsi="Times New Roman"/>
          <w:sz w:val="18"/>
          <w:szCs w:val="18"/>
          <w:u w:val="single" w:color="auto"/>
          <w:color w:val="0000FF"/>
        </w:rPr>
        <w:t>by Borrower and (y)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 the issuance of Permitted Convertible Indebtedness that constitutes Permitted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Refinancing Indebtedness in exchange for other Permitted Convertible Indebtedness, (g) the redemption, purchase, exchange, early termination or cancellation of Permitted Convertible Indebtedness in an aggregate principal amount not to exceed the Net Proceeds received by the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(h) as permitted under the applicable subordination agreement governing any subordinated Indebtedness.</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7"/>
          <w:szCs w:val="17"/>
          <w:u w:val="single" w:color="auto"/>
          <w:color w:val="auto"/>
        </w:rPr>
        <w:t>Anti-Terrorism Laws</w:t>
      </w:r>
      <w:r>
        <w:rPr>
          <w:rFonts w:ascii="Times New Roman" w:cs="Times New Roman" w:eastAsia="Times New Roman" w:hAnsi="Times New Roman"/>
          <w:sz w:val="17"/>
          <w:szCs w:val="17"/>
          <w:color w:val="auto"/>
        </w:rPr>
        <w:t>. None of the Loan Parties, nor any of their Subsidiaries or agents shall:</w:t>
      </w:r>
    </w:p>
    <w:p>
      <w:pPr>
        <w:spacing w:after="0" w:line="225" w:lineRule="exact"/>
        <w:rPr>
          <w:sz w:val="20"/>
          <w:szCs w:val="20"/>
          <w:color w:val="auto"/>
        </w:rPr>
      </w:pPr>
    </w:p>
    <w:p>
      <w:pPr>
        <w:ind w:firstLine="1304"/>
        <w:spacing w:after="0" w:line="282" w:lineRule="auto"/>
        <w:tabs>
          <w:tab w:leader="none" w:pos="198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business or engage in any transaction or dealing with any Blocked Person, including the making or receiving any contribution of funds, goods or services to or for the benefit of any Blocked Person,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9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or otherwise engage in any transaction relating to, any property or interests in property blocked pursuant to the OFAC Sanctions Programs or other Sanctions,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0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conspire to engage in any transaction that evades or avoids, or has the purpose of evading or avoiding, or attempts to violate, any of the prohibitions set forth in the OFAC Sanctions Programs, Sanctions, the USA PATRIOT Act or any other Anti-Terrorism Law.</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deliver to the Lenders certifications as reasonably requested from time to time by any Lender confirming Borrower’s compliance with this Section 6.18.</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 Loan Party shall use, or permit any of its Subsidiaries to use, directly or indirectly, any of the proceeds of any Loan for the purpose of an offer, payment, promise to pay, or authorization of the payment or giving of money, or anything else of value, to any Person in violation of any Anti-Corruption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Loan Parties will not and will not permit any of their Subsidiaries to use the proceeds of any 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6.21</w:t>
      </w:r>
      <w:r>
        <w:rPr>
          <w:sz w:val="20"/>
          <w:szCs w:val="20"/>
          <w:color w:val="auto"/>
        </w:rPr>
        <w:tab/>
      </w:r>
      <w:r>
        <w:rPr>
          <w:rFonts w:ascii="Times New Roman" w:cs="Times New Roman" w:eastAsia="Times New Roman" w:hAnsi="Times New Roman"/>
          <w:sz w:val="17"/>
          <w:szCs w:val="17"/>
          <w:u w:val="single" w:color="auto"/>
          <w:color w:val="auto"/>
        </w:rPr>
        <w:t>Products and Patent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0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Borrower and its Subsidiaries shall not, without the prior written consent of the Required Lenders, which consent may be granted or withheld in the Required Lenders’ sole discretion, other than any Permitted Product Transaction, sell, assign, out-license, partner or otherwise dispose of economic rights or intellectual property related to any Product in the United States to any Person, or enter into any agreement to do any of the foregoing to the extent the consummation thereof would not result in the repayment in full of the Loans and all other Obligations (other than inchoate indemnity obligations for which no claim has been made) and the termination of the Term Loan Commitments.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Guaranty of the Obligations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jointly and severally hereby 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Contribution by Guarantors</w:t>
      </w:r>
      <w:r>
        <w:rPr>
          <w:rFonts w:ascii="Times New Roman" w:cs="Times New Roman" w:eastAsia="Times New Roman" w:hAnsi="Times New Roman"/>
          <w:sz w:val="18"/>
          <w:szCs w:val="18"/>
          <w:color w:val="auto"/>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18"/>
          <w:szCs w:val="18"/>
          <w:u w:val="single" w:color="auto"/>
          <w:color w:val="auto"/>
        </w:rPr>
        <w:t>Fair Share</w:t>
      </w:r>
      <w:r>
        <w:rPr>
          <w:rFonts w:ascii="Times New Roman" w:cs="Times New Roman" w:eastAsia="Times New Roman" w:hAnsi="Times New Roman"/>
          <w:sz w:val="18"/>
          <w:szCs w:val="18"/>
          <w:color w:val="auto"/>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Guaranteed Obligations.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solely for purposes of calculating the “</w:t>
      </w:r>
      <w:r>
        <w:rPr>
          <w:rFonts w:ascii="Times New Roman" w:cs="Times New Roman" w:eastAsia="Times New Roman" w:hAnsi="Times New Roman"/>
          <w:sz w:val="18"/>
          <w:szCs w:val="18"/>
          <w:u w:val="single" w:color="auto"/>
          <w:color w:val="auto"/>
        </w:rPr>
        <w:t>Fair Share Contribution Amount</w:t>
      </w:r>
      <w:r>
        <w:rPr>
          <w:rFonts w:ascii="Times New Roman" w:cs="Times New Roman" w:eastAsia="Times New Roman" w:hAnsi="Times New Roman"/>
          <w:sz w:val="18"/>
          <w:szCs w:val="18"/>
          <w:color w:val="auto"/>
        </w:rPr>
        <w:t xml:space="preserve">” with respect to any Guarantor for purposes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18"/>
          <w:szCs w:val="18"/>
          <w:u w:val="single" w:color="auto"/>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p>
    <w:p>
      <w:pPr>
        <w:spacing w:after="0" w:line="12" w:lineRule="exact"/>
        <w:rPr>
          <w:sz w:val="20"/>
          <w:szCs w:val="20"/>
          <w:color w:val="auto"/>
        </w:rPr>
      </w:pPr>
    </w:p>
    <w:p>
      <w:pPr>
        <w:jc w:val="both"/>
        <w:ind w:firstLine="8"/>
        <w:spacing w:after="0" w:line="253" w:lineRule="auto"/>
        <w:tabs>
          <w:tab w:leader="none" w:pos="28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payments received on or before such date by such Guarantor from the other Guarantors as contributions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be construed in any way to limit the liability of any Guarantor hereunder. Each Guarantor is a third party beneficiary to the contribution agreement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Payment by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Guarantors hereby jointly and severally agree, in furtherance of the foregoing and not in limitation of any other right that any Beneficiary may have at law or in equity against any Guarantor by virtue hereof, that upon the failure of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that, but for Borrower’s becoming the subject of a case under the Bankruptcy Code, would have accrued on such Guaranteed Obligations, whether or not a claim is allowed against Borrower for such interest in the related bankruptcy case) and all other Guaranteed Obligations then owed to Beneficiaries as aforesaid.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Each Guarantor agrees that its obligations hereunder are irrevocable, absolute, independent and unconditional and shall not be affected by any circumstance that constitutes a legal or equitable discharge of a guarantor or surety other than payment in full of the Guaranteed Obligations. In furtherance of the foregoing and without limiting the generality thereof, each Guarantor agrees as follows:</w:t>
      </w:r>
    </w:p>
    <w:p>
      <w:pPr>
        <w:spacing w:after="0" w:line="176" w:lineRule="exact"/>
        <w:rPr>
          <w:sz w:val="20"/>
          <w:szCs w:val="20"/>
          <w:color w:val="auto"/>
        </w:rPr>
      </w:pPr>
    </w:p>
    <w:p>
      <w:pPr>
        <w:ind w:right="20" w:firstLine="1304"/>
        <w:spacing w:after="0" w:line="282" w:lineRule="auto"/>
        <w:tabs>
          <w:tab w:leader="none" w:pos="210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of collectability. This Guaranty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9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enforce this Guaranty upon the occurrence of an Event of Default notwithstanding the existence of any dispute between Borrower and any Beneficiary with respect to the existence of such Event of Default;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Borrower and the obligations of any other guarantor (including any other Guarantor) of the obligations of Borrower, and a separate action or actions may be brought and prosecuted against such Guarantor whether or not any action is brought against Borrower or any of such other guarantors and whether or not Borrower is joined in any such action or actions;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that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9" w:name="page210"/>
    <w:bookmarkEnd w:id="209"/>
    <w:p>
      <w:pPr>
        <w:jc w:val="both"/>
        <w:ind w:left="-1120" w:firstLine="1304"/>
        <w:spacing w:after="0" w:line="252" w:lineRule="auto"/>
        <w:tabs>
          <w:tab w:leader="none" w:pos="99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Borrower or any security for the Guaranteed Obligations; and (vi) exercise any other rights available to it under the Loan Documents; and</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9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that secures any of the Guaranteed Obligations; (vii) any defenses (other than a defense of payment or performance), set offs or counterclaims that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that may or might in any manner or to any extent vary the risk of any Guarantor as an obligor in respect of the Guaranteed Obligations.</w:t>
      </w:r>
    </w:p>
    <w:p>
      <w:pPr>
        <w:spacing w:after="0" w:line="189"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0" w:name="page211"/>
    <w:bookmarkEnd w:id="21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Each Guarantor hereby waives, for the benefit of Beneficiaries: (a) any right to require any Beneficiary, as a condition of payment or performance by such Guarantor, to (i) proceed against Borrower, any other guarantor (including any other Guarantor) of the Guaranteed Obligations or any other Person, (ii) proceed against or exhaust any security held from Borrower, any such other guarantor or any other Person,</w:t>
      </w:r>
    </w:p>
    <w:p>
      <w:pPr>
        <w:spacing w:after="0" w:line="1" w:lineRule="exact"/>
        <w:rPr>
          <w:sz w:val="20"/>
          <w:szCs w:val="20"/>
          <w:color w:val="auto"/>
        </w:rPr>
      </w:pPr>
    </w:p>
    <w:p>
      <w:pPr>
        <w:jc w:val="both"/>
        <w:ind w:firstLine="8"/>
        <w:spacing w:after="0" w:line="250" w:lineRule="auto"/>
        <w:tabs>
          <w:tab w:leader="none" w:pos="3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against or have resort to any balance of any Deposit Account or credit on the books of any Beneficiary in favor of Borrower or any other Person, or (iv) pursue any other remedy in the power of any Beneficiary whatsoever; (b) any defense arising by reason of the incapacity, lack of authority or any disability or other defense of Borrower or any other Guarantor including any defense based on or arising out of the lack of validity or the unenforceability of the Guaranteed Obligations or any agreement or instrument relating thereto or by reason of the cessation of the liability of Borrower or any other Guarantor from any cause other than payment in full in cash of the Guaranteed Obligations; (c) any defense based upon any statute or rule of law that provides that the obligation of a surety must be neither larger in amount nor in other respects more burdensome than that of the principal; (d) any defense based upon any Beneficiary’s errors or omissions in the administration of the Guaranteed Obligations, except behavior that amounts to bad faith;</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principles or provisions of law, statutory or otherwise that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that limit the liability of or exonerate guarantors or sureties or that may conflict with the terms hereof.</w:t>
      </w:r>
    </w:p>
    <w:p>
      <w:pPr>
        <w:spacing w:after="0" w:line="19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u w:val="single" w:color="auto"/>
          <w:color w:val="auto"/>
        </w:rPr>
        <w:t>Guarantors’ Rights of Subrogation, Contribution, Etc.</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the Guaranteed Obligations shall have been indefeasibly paid in cash in full, each Guarantor hereby waives any claim, right or remedy, direct or indirect, that such Guarantor now has or may hereafter have against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Borrower with respect to the Guaranteed Obligations, (b) any right to enforce, or to participate in, any claim, right or remedy that any Beneficiary now has or may hereafter have against Borrower, and (c) any benefit of, and any right to participate in, any collateral or security now or hereafter held by any Beneficiary. In addition, until the Guaranteed Obligations shall have been indefeasibly paid in full,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Borrower or against any collateral or security, and any rights of contribution such Guarantor may have against any such other guarantor, shall be junior and subordinate to any rights any Beneficiary may have against Borrower,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1" w:name="page212"/>
    <w:bookmarkEnd w:id="2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Borrower or any Guarantor now or hereafter held by any Guarantor is hereby subordinated in right of payment to the Guaranteed Obligations, and any such indebtedness collected or received by such Guarantor after an Event of Default has occurred and is continuing shall be held in trust for Administrative Agent on behalf of the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 shall have been indefeasibly paid in full.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Authority of Guarantors or Borrower</w:t>
      </w:r>
      <w:r>
        <w:rPr>
          <w:rFonts w:ascii="Times New Roman" w:cs="Times New Roman" w:eastAsia="Times New Roman" w:hAnsi="Times New Roman"/>
          <w:sz w:val="18"/>
          <w:szCs w:val="18"/>
          <w:color w:val="auto"/>
        </w:rPr>
        <w:t>. It is not necessary for any Beneficiary to inquire into the capacity or powers of any Guarantor or Borrower or the officers, directors or agents acting or purporting to act on behalf of any of them.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Borrower or continued from time to time without notice to or authorization from any Guarantor regardless of the financial or other condition of Borrower at the time of any such grant or continuation is entered into, as the case may be. No Beneficiary shall have any obligation to disclose or discuss with any Guarantor its assessment, or any Guarantor’s assessment, of the financial condition of Borrower. Each Guarantor has adequate means to obtain information from Borrower on a continuing basis concerning the financial condition of Borrower and its ability to perform its obligations under the Loan Documents, and each Guarantor assumes the responsibility for being and keeping informed of the financial condition of Borrower and of all circumstances bearing upon the risk of non-payment of the Guaranteed Obligations. Each Guarantor hereby waives and relinquishes any duty on the part of any Beneficiary to disclose any matter, fact or thing relating to the business, operations or conditions of Borrower now known or hereafter known by any Beneficiary.</w:t>
      </w:r>
    </w:p>
    <w:p>
      <w:pPr>
        <w:spacing w:after="0" w:line="192"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 xml:space="preserve"> (a) 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Borrower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Borrower or any other Guarantor or by any defense that Borrower or any other Guarantor may have by reason of the order, decree or decision of any court or administrative body resulting from any such proceeding.</w:t>
      </w:r>
    </w:p>
    <w:p>
      <w:pPr>
        <w:spacing w:after="0" w:line="189" w:lineRule="exact"/>
        <w:rPr>
          <w:sz w:val="20"/>
          <w:szCs w:val="20"/>
          <w:color w:val="auto"/>
        </w:rPr>
      </w:pPr>
    </w:p>
    <w:p>
      <w:pPr>
        <w:jc w:val="both"/>
        <w:ind w:firstLine="1304"/>
        <w:spacing w:after="0" w:line="254" w:lineRule="auto"/>
        <w:tabs>
          <w:tab w:leader="none" w:pos="199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acknowledges and agrees that any interest on any portion of the Guaranteed Obligations that accrues after the commencement of any case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that are guaranteed by Guarantors pursuant hereto should be determined without regard to any rule of law or order that may relieve Borrower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91"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jc w:val="both"/>
        <w:ind w:firstLine="1304"/>
        <w:spacing w:after="0" w:line="261" w:lineRule="auto"/>
        <w:tabs>
          <w:tab w:leader="none" w:pos="193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Borrower,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that are so rescinded or recovered shall constitute Guaranteed Obligations for all purposes 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Guaranty Upon Sale of Guarantor</w:t>
      </w:r>
      <w:r>
        <w:rPr>
          <w:rFonts w:ascii="Times New Roman" w:cs="Times New Roman" w:eastAsia="Times New Roman" w:hAnsi="Times New Roman"/>
          <w:sz w:val="18"/>
          <w:szCs w:val="18"/>
          <w:color w:val="auto"/>
        </w:rPr>
        <w:t>. If all of the Capital Stock of any Guarantor or any of its successors in interest hereunder shall be sold or otherwise disposed of (including by merger or consolidation) or if such Guarantor ceases to be a Subsidiary of the Borrower, in each case,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40" w:hanging="84"/>
        <w:spacing w:after="0"/>
        <w:tabs>
          <w:tab w:leader="none" w:pos="740" w:val="left"/>
        </w:tabs>
        <w:numPr>
          <w:ilvl w:val="0"/>
          <w:numId w:val="18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p>
    <w:p>
      <w:pPr>
        <w:spacing w:after="0" w:line="225" w:lineRule="exact"/>
        <w:rPr>
          <w:rFonts w:ascii="Times New Roman" w:cs="Times New Roman" w:eastAsia="Times New Roman" w:hAnsi="Times New Roman"/>
          <w:sz w:val="18"/>
          <w:szCs w:val="18"/>
          <w:color w:val="FF0000"/>
          <w:strike w:val="1"/>
        </w:rPr>
      </w:pPr>
    </w:p>
    <w:p>
      <w:pPr>
        <w:spacing w:after="0"/>
        <w:tabs>
          <w:tab w:leader="none" w:pos="0" w:val="left"/>
        </w:tabs>
        <w:numPr>
          <w:ilvl w:val="0"/>
          <w:numId w:val="180"/>
        </w:numPr>
        <w:rPr>
          <w:rFonts w:ascii="Times New Roman" w:cs="Times New Roman" w:eastAsia="Times New Roman" w:hAnsi="Times New Roman"/>
          <w:sz w:val="18"/>
          <w:szCs w:val="18"/>
          <w:u w:val="single" w:color="auto"/>
          <w:color w:val="0000FF"/>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 If any one or more of the following conditions or events shall occur:</w:t>
      </w:r>
    </w:p>
    <w:p>
      <w:pPr>
        <w:spacing w:after="0" w:line="225" w:lineRule="exact"/>
        <w:rPr>
          <w:sz w:val="20"/>
          <w:szCs w:val="20"/>
          <w:color w:val="auto"/>
        </w:rPr>
      </w:pPr>
    </w:p>
    <w:p>
      <w:pPr>
        <w:jc w:val="both"/>
        <w:ind w:firstLine="1304"/>
        <w:spacing w:after="0" w:line="266" w:lineRule="auto"/>
        <w:tabs>
          <w:tab w:leader="none" w:pos="1981"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Failure by Borrower to pay (i) the principal of and premium, if any, on any Term Loan when due whether at stated maturity, by acceleration or otherwise; or (ii) within [***] when due any interest on any Term Loan or any fee or any other amount due hereunder;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of any Loan Party or any Loan Party’s Subsidiaries to pay when due any principal of or interest on or any other amount payable in respect of one or more items of Indebtedness (other than [***]) in an individual principal amount, put price or other accelerated amount of $[***] or more or with an aggregate principal amount, put price or other accelerated amount of $[***] or more, in each case beyond the grace period, if any, provided therefor, or (ii) breach or default by any Loan Party with respect to any other material term of (A) one or more items of Indebtedness in the individual or aggregate principal amounts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to (x) secured Indebtedness that becomes due as a result of the sale or transfer or other Asset Sale (including any casualty proceeds) of the property or assets securing such Indebtedness permitted hereunder and under the documents providing for such Indebtedness and such Indebtedness is repaid when required under the documents providing for such Indebtedness or (y) Indebtedness for which such failure, breach or default has been cured or waived in accordance with the terms of the applicable Indebtedness; or</w:t>
      </w:r>
    </w:p>
    <w:p>
      <w:pPr>
        <w:spacing w:after="0" w:line="19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ind w:left="-1120" w:right="20" w:firstLine="1304"/>
        <w:spacing w:after="0" w:line="282" w:lineRule="auto"/>
        <w:tabs>
          <w:tab w:leader="none" w:pos="8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to perform or comply with any term or condition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92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warranty, certification or other statement made or deemed made by any Loan Party in any Loan Document or in any statement or certificate at any time given by any Loan Party or any of their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98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and such default shall not have been remedied or waived within [***] after the earlier of (i) an officer of such Loan Party becoming aware of such default, or (ii) receipt by Borrower of notice from Administrative Agent or any Lender of such default; or</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88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xml:space="preserve"> (i) A court of competent jurisdiction shall enter a decree or order for relief in respect of Borrower or any of its Subsidiaries ([***])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 or over all or a substantial part of its property, shall have been entered; or there shall have occurred the involuntary appointment of an interim receiver, administrator, trustee or other custodian of Borrowers or any of its Subsidiaries ([***]) for all or a substantial part of its property; or a warrant of attachment, execution or similar process shall have been issued against any substantial part of the property of Borrower or any of its Subsidiaries (other than any Immaterial Subsidiary), and any such event described in the foregoing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continue for [***] without having been dismissed, bonded or discharged; or</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79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xml:space="preserve"> (i) Borrower or any of its Subsidiaries ([***])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 shall make any assignment for the benefit of creditors; or (ii) Borrower or any of its Subsidiaries ([***]) shall be unable, or shall fail generally, or shall admit in writing its inability, to pay its debts as such debts become due; or the Board of Directors (or similar governing body) of Borrower or any of its Subsidiaries ([***]) shall adopt any resolution or otherwise authorize any action to approve any of the actions referred to herein or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14" w:name="page215"/>
    <w:bookmarkEnd w:id="214"/>
    <w:p>
      <w:pPr>
        <w:jc w:val="both"/>
        <w:ind w:firstLine="1304"/>
        <w:spacing w:after="0" w:line="258" w:lineRule="auto"/>
        <w:tabs>
          <w:tab w:leader="none" w:pos="212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Any money judgment, writ or warrant of attachment or similar process involving (a) in any individual case an amount in excess of $[***] or (b) in the aggregate at any time an amount in excess of $[***] (in any case to the extent not adequately covered by insurance as to which a solvent and unaffiliated insurance company has not denied coverage) shall be entered or filed against Borrower or any of its Subsidiaries (</w:t>
      </w:r>
      <w:r>
        <w:rPr>
          <w:rFonts w:ascii="Times New Roman" w:cs="Times New Roman" w:eastAsia="Times New Roman" w:hAnsi="Times New Roman"/>
          <w:sz w:val="18"/>
          <w:szCs w:val="18"/>
          <w:color w:val="FF0000"/>
          <w:strike w:val="1"/>
        </w:rPr>
        <w:t>other than</w:t>
      </w:r>
      <w:r>
        <w:rPr>
          <w:rFonts w:ascii="Times New Roman" w:cs="Times New Roman" w:eastAsia="Times New Roman" w:hAnsi="Times New Roman"/>
          <w:sz w:val="18"/>
          <w:szCs w:val="18"/>
          <w:color w:val="auto"/>
        </w:rPr>
        <w:t xml:space="preserve"> [***]) or any of their respective assets and shall remain undischarged, unvacated, unbonded or unstayed for a period of [***]; or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Any order, judgment or decree shall be entered against the Borrower or any of its Subsidiaries (other than any Immaterial Subsidiary) decreeing the dissolution or split up of such Loan Party or any of its Subsidiaries ([***]) and such order shall remain undischarged or unstayed for a period in excess of [***]; or</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8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The indictment of Borrower or any of its Subsidiaries (other than any Immaterial Subsidiary) under any criminal statute, or commencement of criminal or civil proceedings against Borrower or any of its Subsidiaries (other than any Immaterial Subsidiary) pursuant to which statute or proceedings the penalties or remedies sought or available include forfeiture to any Governmental Authority of any material portion of the property of such Person; or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occurrence of any ERISA Event that, individually or in the aggregate, has resulted or would reasonably be expected to result in a Material Adverse Effect or in the imposition of a Lien; or</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Event</w:t>
      </w:r>
      <w:r>
        <w:rPr>
          <w:rFonts w:ascii="Times New Roman" w:cs="Times New Roman" w:eastAsia="Times New Roman" w:hAnsi="Times New Roman"/>
          <w:sz w:val="18"/>
          <w:szCs w:val="18"/>
          <w:color w:val="auto"/>
        </w:rPr>
        <w:t>. The occurrence of a Withdrawal Event;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The occurrence of a default, event of default or termination event under the BRIUMVI License Agreement or any agreement set forth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and during the continuance of any Event of Default, Administrative Agent may, and shall at the request of the Required Lenders:</w:t>
      </w:r>
    </w:p>
    <w:p>
      <w:pPr>
        <w:spacing w:after="0" w:line="162" w:lineRule="exact"/>
        <w:rPr>
          <w:sz w:val="20"/>
          <w:szCs w:val="20"/>
          <w:color w:val="auto"/>
        </w:rPr>
      </w:pPr>
    </w:p>
    <w:p>
      <w:pPr>
        <w:jc w:val="both"/>
        <w:ind w:firstLine="1304"/>
        <w:spacing w:after="0" w:line="266" w:lineRule="auto"/>
        <w:tabs>
          <w:tab w:leader="none" w:pos="190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w:t>
      </w:r>
    </w:p>
    <w:p>
      <w:pPr>
        <w:spacing w:after="0" w:line="175"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5" w:name="page216"/>
    <w:bookmarkEnd w:id="215"/>
    <w:p>
      <w:pPr>
        <w:ind w:firstLine="1304"/>
        <w:spacing w:after="0" w:line="282" w:lineRule="auto"/>
        <w:tabs>
          <w:tab w:leader="none" w:pos="20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any event specified in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2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Appointment of Administrative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0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Owl is hereby appointed Administrative Agent hereunder and under the other Loan Documents and each Lender hereby authorizes Blue Owl,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6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Each Lender irrevocably authorizes Administrative Agent to take such action on such Lender’s 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6" w:name="page217"/>
    <w:bookmarkEnd w:id="216"/>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u w:val="single" w:color="auto"/>
          <w:color w:val="auto"/>
        </w:rPr>
        <w:t>General Immunity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53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Responsibility for Certain Matters</w:t>
      </w:r>
      <w:r>
        <w:rPr>
          <w:rFonts w:ascii="Times New Roman" w:cs="Times New Roman" w:eastAsia="Times New Roman" w:hAnsi="Times New Roman"/>
          <w:sz w:val="18"/>
          <w:szCs w:val="18"/>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94" w:lineRule="exact"/>
        <w:rPr>
          <w:rFonts w:ascii="Times New Roman" w:cs="Times New Roman" w:eastAsia="Times New Roman" w:hAnsi="Times New Roman"/>
          <w:sz w:val="18"/>
          <w:szCs w:val="18"/>
          <w:color w:val="auto"/>
        </w:rPr>
      </w:pPr>
    </w:p>
    <w:p>
      <w:pPr>
        <w:jc w:val="both"/>
        <w:ind w:left="-660" w:firstLine="1304"/>
        <w:spacing w:after="0" w:line="252" w:lineRule="auto"/>
        <w:tabs>
          <w:tab w:leader="none" w:pos="133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left="-660" w:firstLine="1304"/>
        <w:spacing w:after="0" w:line="254" w:lineRule="auto"/>
        <w:tabs>
          <w:tab w:leader="none" w:pos="132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spacing w:after="0" w:line="191" w:lineRule="exact"/>
        <w:rPr>
          <w:rFonts w:ascii="Times New Roman" w:cs="Times New Roman" w:eastAsia="Times New Roman" w:hAnsi="Times New Roman"/>
          <w:sz w:val="18"/>
          <w:szCs w:val="18"/>
          <w:color w:val="auto"/>
        </w:rPr>
      </w:pPr>
    </w:p>
    <w:p>
      <w:pPr>
        <w:ind w:left="4820" w:hanging="96"/>
        <w:spacing w:after="0"/>
        <w:tabs>
          <w:tab w:leader="none" w:pos="48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17" w:name="page218"/>
    <w:bookmarkEnd w:id="2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Administrative Agent Entitled to Act as Lender</w:t>
      </w:r>
      <w:r>
        <w:rPr>
          <w:rFonts w:ascii="Times New Roman" w:cs="Times New Roman" w:eastAsia="Times New Roman" w:hAnsi="Times New Roman"/>
          <w:sz w:val="18"/>
          <w:szCs w:val="18"/>
          <w:color w:val="auto"/>
        </w:rPr>
        <w:t>. The agency hereby created shall in no way impair or affect any of 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Borrower for services in connection herewith and otherwise without having to account for the same to Lenders.</w:t>
      </w:r>
    </w:p>
    <w:p>
      <w:pPr>
        <w:spacing w:after="0" w:line="19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u w:val="single" w:color="auto"/>
          <w:color w:val="auto"/>
        </w:rPr>
        <w:t>Lenders’ Representations, Warranties and Acknowledgment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Right to Indemnity</w:t>
      </w:r>
      <w:r>
        <w:rPr>
          <w:rFonts w:ascii="Times New Roman" w:cs="Times New Roman" w:eastAsia="Times New Roman" w:hAnsi="Times New Roman"/>
          <w:sz w:val="18"/>
          <w:szCs w:val="18"/>
          <w:color w:val="auto"/>
        </w:rPr>
        <w:t>. EACH LENDER, IN PROPORTION TO ITS PRO RATA SHARE, SEVERALLY AGREES TO INDEMNIFY ADMINISTRATIVE AGENT, ITS AFFILIATES AND ITS RESPECTIVE OFFICERS, PARTNERS, DIRECTORS, TRUSTEES, EMPLOYEES AND AGENTS OF ADMINISTRATIVE AGENT (EACH, AN “</w:t>
      </w:r>
      <w:r>
        <w:rPr>
          <w:rFonts w:ascii="Times New Roman" w:cs="Times New Roman" w:eastAsia="Times New Roman" w:hAnsi="Times New Roman"/>
          <w:sz w:val="18"/>
          <w:szCs w:val="18"/>
          <w:u w:val="single" w:color="auto"/>
          <w:color w:val="auto"/>
        </w:rPr>
        <w:t>INDEMNITEE AGENT PARTY</w:t>
      </w:r>
      <w:r>
        <w:rPr>
          <w:rFonts w:ascii="Times New Roman" w:cs="Times New Roman" w:eastAsia="Times New Roman" w:hAnsi="Times New Roman"/>
          <w:sz w:val="18"/>
          <w:szCs w:val="18"/>
          <w:color w:val="auto"/>
        </w:rPr>
        <w:t>”),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THAT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IN ALL CASES, WHETHER OR NOT CAUSED BY OR ARISING, IN WHOLE OR IN PART, OUT OF THE COMPARATIVE, CONTRIBUTORY, OR SOLE NEGLIGENCE OF SUCH INDEMNITEE AGENT 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LENDER SHALL BE LIABLE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8" w:name="page219"/>
    <w:bookmarkEnd w:id="218"/>
    <w:p>
      <w:pPr>
        <w:ind w:left="652"/>
        <w:spacing w:after="0"/>
        <w:tabs>
          <w:tab w:leader="none" w:pos="1852" w:val="left"/>
        </w:tabs>
        <w:rPr>
          <w:sz w:val="20"/>
          <w:szCs w:val="20"/>
          <w:color w:val="auto"/>
        </w:rPr>
      </w:pPr>
      <w:r>
        <w:rPr>
          <w:rFonts w:ascii="Times New Roman" w:cs="Times New Roman" w:eastAsia="Times New Roman" w:hAnsi="Times New Roman"/>
          <w:sz w:val="18"/>
          <w:szCs w:val="18"/>
          <w:color w:val="auto"/>
        </w:rPr>
        <w:t>Section 9.7</w:t>
      </w:r>
      <w:r>
        <w:rPr>
          <w:sz w:val="20"/>
          <w:szCs w:val="20"/>
          <w:color w:val="auto"/>
        </w:rPr>
        <w:tab/>
      </w:r>
      <w:r>
        <w:rPr>
          <w:rFonts w:ascii="Times New Roman" w:cs="Times New Roman" w:eastAsia="Times New Roman" w:hAnsi="Times New Roman"/>
          <w:sz w:val="17"/>
          <w:szCs w:val="17"/>
          <w:u w:val="single" w:color="auto"/>
          <w:color w:val="auto"/>
        </w:rPr>
        <w:t>Successor Administrative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3" w:lineRule="auto"/>
        <w:tabs>
          <w:tab w:leader="none" w:pos="197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may resign at any time by giving [***] days’ (or such shorter period as shall be agreed by the Required Lenders) prior written notice thereof to Lenders and Borrower. Upon any such notice of resignation, Required Lenders shall have the right, upon [***] Business Days’ notice to Borrower, to appoint a successor Administrative Agent. If no successor shall have been so appointed by the Required Lenders and shall have accepted such appointment within [***]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w:t>
      </w:r>
    </w:p>
    <w:p>
      <w:pPr>
        <w:spacing w:after="0" w:line="2"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1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inure to its benefit as to any actions taken or omitted to be taken by it while it was Administrative Agent hereunder.</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92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Administrative Agent may assign its rights and duties as Administrative Agent, as applicable, hereunder to an Affiliate of Blue Owl without the prior written consent of, or prior written notice to,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and the Lenders may deem and treat such assigning Administrative Agent as Administrative Agent for all purposes hereof, unless and until such assigning Administrative Agent provides written notice to Borrower and the Lenders of such assignment. Upon such assignment such Affiliate shall succeed to and become vested with all rights, powers, privileges and duties as Administrative Agent hereunder and under the other Loan Documents.</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89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of the Affiliates of Administrative Agent. All of the rights, benefits and privileges (including the exculpatory and indemnification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of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permitted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97" w:lineRule="exact"/>
        <w:rPr>
          <w:rFonts w:ascii="Times New Roman" w:cs="Times New Roman" w:eastAsia="Times New Roman" w:hAnsi="Times New Roman"/>
          <w:sz w:val="18"/>
          <w:szCs w:val="18"/>
          <w:color w:val="auto"/>
        </w:rPr>
      </w:pPr>
    </w:p>
    <w:p>
      <w:pPr>
        <w:ind w:left="5492" w:hanging="112"/>
        <w:spacing w:after="0"/>
        <w:tabs>
          <w:tab w:leader="none" w:pos="5492"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19" w:name="page220"/>
    <w:bookmarkEnd w:id="219"/>
    <w:p>
      <w:pPr>
        <w:spacing w:after="0"/>
        <w:tabs>
          <w:tab w:leader="none" w:pos="1200" w:val="left"/>
        </w:tabs>
        <w:rPr>
          <w:sz w:val="20"/>
          <w:szCs w:val="20"/>
          <w:color w:val="auto"/>
        </w:rPr>
      </w:pPr>
      <w:r>
        <w:rPr>
          <w:rFonts w:ascii="Times New Roman" w:cs="Times New Roman" w:eastAsia="Times New Roman" w:hAnsi="Times New Roman"/>
          <w:sz w:val="18"/>
          <w:szCs w:val="18"/>
          <w:color w:val="auto"/>
        </w:rPr>
        <w:t>Section 9.8</w:t>
      </w:r>
      <w:r>
        <w:rPr>
          <w:sz w:val="20"/>
          <w:szCs w:val="20"/>
          <w:color w:val="auto"/>
        </w:rPr>
        <w:tab/>
      </w:r>
      <w:r>
        <w:rPr>
          <w:rFonts w:ascii="Times New Roman" w:cs="Times New Roman" w:eastAsia="Times New Roman" w:hAnsi="Times New Roman"/>
          <w:sz w:val="17"/>
          <w:szCs w:val="17"/>
          <w:u w:val="single" w:color="auto"/>
          <w:color w:val="auto"/>
        </w:rPr>
        <w:t>Collateral Documents and Guaranty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3" w:lineRule="auto"/>
        <w:tabs>
          <w:tab w:leader="none" w:pos="132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under Collateral Documents and Guaranty</w:t>
      </w:r>
      <w:r>
        <w:rPr>
          <w:rFonts w:ascii="Times New Roman" w:cs="Times New Roman" w:eastAsia="Times New Roman" w:hAnsi="Times New Roman"/>
          <w:sz w:val="18"/>
          <w:szCs w:val="18"/>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without further written consent or authorization from Lenders, Administrative Agent (i) may execute any documents or instruments necessary to (A) release any Lien encumbering any item of Collateral that is the subject of an Asset Sale or other sale or disposition of assets permitted hereby or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have otherwise consented, or (B) release any Guarantor from the Guaranty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or with respect to which Required Lenders (or such other Lenders as may be required to give such consent under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have otherwise consented and (ii) shall, if requested by Borrower, enter into customary intercreditor or non-disturbance agreements, in form and substance reasonably satisfactory to the Administrative Agent, in connection with the entry by Borrower or any Subsidiary into any exclusive out-license that constitutes a Permitted Product Agreement; provided, that prior to or concurrently with making any request pursuant to this </w:t>
      </w:r>
      <w:r>
        <w:rPr>
          <w:rFonts w:ascii="Times New Roman" w:cs="Times New Roman" w:eastAsia="Times New Roman" w:hAnsi="Times New Roman"/>
          <w:sz w:val="18"/>
          <w:szCs w:val="18"/>
          <w:u w:val="single" w:color="auto"/>
          <w:color w:val="auto"/>
        </w:rPr>
        <w:t>Section 9.8(a)(ii)</w:t>
      </w:r>
      <w:r>
        <w:rPr>
          <w:rFonts w:ascii="Times New Roman" w:cs="Times New Roman" w:eastAsia="Times New Roman" w:hAnsi="Times New Roman"/>
          <w:sz w:val="18"/>
          <w:szCs w:val="18"/>
          <w:color w:val="auto"/>
        </w:rPr>
        <w:t>, Borrower shall have used commercially reasonable efforts to negotiate the Permitted Product Agreement without an intercreditor agreement (and shall provide Administrative Agent reasonable documentation of the same).</w:t>
      </w:r>
    </w:p>
    <w:p>
      <w:pPr>
        <w:spacing w:after="0" w:line="191" w:lineRule="exact"/>
        <w:rPr>
          <w:rFonts w:ascii="Times New Roman" w:cs="Times New Roman" w:eastAsia="Times New Roman" w:hAnsi="Times New Roman"/>
          <w:sz w:val="18"/>
          <w:szCs w:val="18"/>
          <w:color w:val="auto"/>
        </w:rPr>
      </w:pPr>
    </w:p>
    <w:p>
      <w:pPr>
        <w:jc w:val="both"/>
        <w:ind w:left="-660" w:firstLine="1304"/>
        <w:spacing w:after="0" w:line="253" w:lineRule="auto"/>
        <w:tabs>
          <w:tab w:leader="none" w:pos="14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Realize on Collateral and Enforce Guaranty</w:t>
      </w:r>
      <w:r>
        <w:rPr>
          <w:rFonts w:ascii="Times New Roman" w:cs="Times New Roman" w:eastAsia="Times New Roman" w:hAnsi="Times New Roman"/>
          <w:sz w:val="18"/>
          <w:szCs w:val="18"/>
          <w:color w:val="auto"/>
        </w:rPr>
        <w:t>. Anything contained in any of the Loan Documents to the contrary notwithstanding, Borrower,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194" w:lineRule="exact"/>
        <w:rPr>
          <w:rFonts w:ascii="Times New Roman" w:cs="Times New Roman" w:eastAsia="Times New Roman" w:hAnsi="Times New Roman"/>
          <w:sz w:val="18"/>
          <w:szCs w:val="18"/>
          <w:color w:val="auto"/>
        </w:rPr>
      </w:pPr>
    </w:p>
    <w:p>
      <w:pPr>
        <w:ind w:left="4840" w:hanging="109"/>
        <w:spacing w:after="0"/>
        <w:tabs>
          <w:tab w:leader="none" w:pos="48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20" w:name="page221"/>
    <w:bookmarkEnd w:id="2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Administrative Agent and each Lender hereby appoints each other Lender as agent and bailee for the purpose of perfection the security interests in and liens upon the Collateral in assets that,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8"/>
          <w:szCs w:val="18"/>
          <w:u w:val="single" w:color="auto"/>
          <w:color w:val="auto"/>
        </w:rPr>
        <w:t>Reports and Other Information; Confidentiality; Disclaimers</w:t>
      </w:r>
      <w:r>
        <w:rPr>
          <w:rFonts w:ascii="Times New Roman" w:cs="Times New Roman" w:eastAsia="Times New Roman" w:hAnsi="Times New Roman"/>
          <w:sz w:val="18"/>
          <w:szCs w:val="18"/>
          <w:color w:val="auto"/>
        </w:rPr>
        <w:t>. By becoming a party to this Agreement, each Lender:</w:t>
      </w:r>
    </w:p>
    <w:p>
      <w:pPr>
        <w:spacing w:after="0" w:line="225" w:lineRule="exact"/>
        <w:rPr>
          <w:sz w:val="20"/>
          <w:szCs w:val="20"/>
          <w:color w:val="auto"/>
        </w:rPr>
      </w:pPr>
    </w:p>
    <w:p>
      <w:pPr>
        <w:jc w:val="both"/>
        <w:ind w:right="20" w:firstLine="1304"/>
        <w:spacing w:after="0" w:line="266" w:lineRule="auto"/>
        <w:tabs>
          <w:tab w:leader="none" w:pos="194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deemed to have requested that Administrative Agent furnish such Lender or Administrative Agent, promptly after it becomes available, a copy of each field audit or examination report with respect to Borrower or its Subsidiaries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prepared by or at the request of Administrative Agent, and Administrative Agent shall so furnish each Lender with such Reports,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3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Administrative Agent does not (i) make any representation or warranty as to the accuracy of any Report, and (ii) shall not be liable for any information contained in any Report,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7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1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 or the indemnifying Lender’s participation in, or the indemnifying Lender’s purchase of, a loan or loans of Borrower, and (ii) to pay and protect, and indemnify, defend and hold Administrative Agent, and any such other Lender preparing a Report harmless from and against, the claims, actions, proceedings, damages, costs, expenses, and other amounts (including attorneys’ fees and costs pursuant to </w:t>
      </w:r>
      <w:r>
        <w:rPr>
          <w:rFonts w:ascii="Times New Roman" w:cs="Times New Roman" w:eastAsia="Times New Roman" w:hAnsi="Times New Roman"/>
          <w:sz w:val="18"/>
          <w:szCs w:val="18"/>
          <w:u w:val="single" w:color="auto"/>
          <w:color w:val="auto"/>
        </w:rPr>
        <w:t>Sections 10.2 or 10.3</w:t>
      </w:r>
      <w:r>
        <w:rPr>
          <w:rFonts w:ascii="Times New Roman" w:cs="Times New Roman" w:eastAsia="Times New Roman" w:hAnsi="Times New Roman"/>
          <w:sz w:val="18"/>
          <w:szCs w:val="18"/>
          <w:color w:val="auto"/>
        </w:rPr>
        <w:t>)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Borrower the additional reports or information reasonably specified by such Lender, and, upon receipt thereof from Borrower or such Subsidiary, Administrative Agent promptly shall provide a copy of same to such Lender, and (z) any time that Administrative Agent renders to Borrower a statement regarding the Loan Account, Administrative Agent shall send a copy of such statement to each Lender.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1" w:name="page222"/>
    <w:bookmarkEnd w:id="2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Subject to the limitations set forth below, upon the occurrence and during the continuance of an Event of Default, Administrative Agent is authorized by Borrower and the Lenders, from time to time in Administrative Agent’s sole discretion (but Administrative Agent shall have absolutely no obligation to), to make disbursements or advances to Borrower,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Borrower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Protective Advances may be made even if the conditions precedent set forth in Article III have not been satisfied. The interest rate on all Protective Advances shall be at the Base Rate plus the Applicable Margin. Each Protective Advance shall be secured by the Liens in favor of the Administrative Agent in and to the Collateral and shall constitute Obligations hereunder. The Protective Advances shall constitute Obligations hereunder that may be charged to the Loan Account in accordance with </w:t>
      </w:r>
      <w:r>
        <w:rPr>
          <w:rFonts w:ascii="Times New Roman" w:cs="Times New Roman" w:eastAsia="Times New Roman" w:hAnsi="Times New Roman"/>
          <w:sz w:val="18"/>
          <w:szCs w:val="18"/>
          <w:u w:val="single" w:color="auto"/>
          <w:color w:val="auto"/>
        </w:rPr>
        <w:t>Section 2.12(i)</w:t>
      </w:r>
      <w:r>
        <w:rPr>
          <w:rFonts w:ascii="Times New Roman" w:cs="Times New Roman" w:eastAsia="Times New Roman" w:hAnsi="Times New Roman"/>
          <w:sz w:val="18"/>
          <w:szCs w:val="18"/>
          <w:color w:val="auto"/>
        </w:rPr>
        <w:t xml:space="preserve">. Borrower shall pay the unpaid principal amount and all unpaid and accrued interest of each Protective Advance on the earlier of the Term Loan Maturity Date and the date on which demand for payment is made by Administrative Agent. Administrative Agent shall notify each Lender and Borrower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Effective Rate for three (3) Business Days and thereafter at the Base Rate.</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7"/>
          <w:szCs w:val="17"/>
          <w:u w:val="single" w:color="auto"/>
          <w:color w:val="auto"/>
        </w:rPr>
        <w:t>Erroneous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6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Administrative Agent has determined in its sole discretion (whether or not after receipt of any notice under immediately succeeding clause (b)) that any funds (as set forth in such notice from Administrative Agent)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Administrative Agent pending its return or repayment as contemplated below in this Section‎ 9.12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Administrative Agent to any Payment Recipient under this clause (a) shall be conclusive, absent manifest error.</w:t>
      </w:r>
    </w:p>
    <w:p>
      <w:pPr>
        <w:spacing w:after="0" w:line="194"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-1379220</wp:posOffset>
            </wp:positionV>
            <wp:extent cx="5708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2" w:name="page223"/>
    <w:bookmarkEnd w:id="222"/>
    <w:p>
      <w:pPr>
        <w:jc w:val="both"/>
        <w:ind w:firstLine="1304"/>
        <w:spacing w:after="0" w:line="255" w:lineRule="auto"/>
        <w:tabs>
          <w:tab w:leader="none" w:pos="201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1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1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use commercially reasonable efforts to cause any other recipient that receives funds on its respective behalf to) promptly (and, in all events, within one (1) Business Day of its knowledge of the occurrence of any of the circumstances described in immediately preceding clauses (x), (y) and (z)) notify Administrative Agent of its receipt of such payment, prepayment or repayment, the details thereof (in reasonable detail) and that it is so notifying Administrative Agent pursuant to this </w:t>
      </w:r>
      <w:r>
        <w:rPr>
          <w:rFonts w:ascii="Times New Roman" w:cs="Times New Roman" w:eastAsia="Times New Roman" w:hAnsi="Times New Roman"/>
          <w:sz w:val="18"/>
          <w:szCs w:val="18"/>
          <w:u w:val="single" w:color="auto"/>
          <w:color w:val="auto"/>
        </w:rPr>
        <w:t>Section 9.12(b)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the failure to deliver a notice to Administrative Agent pursuant to this Section‎ 9.12(b) shall not have any effect on a Payment Recipient’s obligations pursuant to Section‎ 9.12(a) or on whether or not an Erroneous Payment has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-185420</wp:posOffset>
            </wp:positionV>
            <wp:extent cx="7042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-48260</wp:posOffset>
            </wp:positionV>
            <wp:extent cx="6978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61" w:lineRule="auto"/>
        <w:tabs>
          <w:tab w:leader="none" w:pos="200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Administrative Agent to set off, net and apply any and all amounts at any time owing to such Lender under any Loan Document, or otherwise payable or distributable by Administrative Agent to such Lender under any Loan Document with respect to any payment of principal, interest, fees or other amounts, against any amount that Administrative Agent has demanded to be returned under immediately preceding clause (a).</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and (y) an Erroneous Payment shall not pay, prepay, repay, discharge or otherwise satisfy any Obligations owed by the Borrower; provided that this Section‎ 9.12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the avoidance of doubt, immediately preceding clauses (x) and (y) shall not apply to the extent any such Erroneous Payment is, and solely with respect to the amount of such Erroneous Payment that is, comprised of funds received by Administrative Agent from, or on behalf of (including through the exercise of remedies under any Loan Document), the Borrower for the purpose of a payment on the Obligations.</w:t>
      </w:r>
    </w:p>
    <w:p>
      <w:pPr>
        <w:spacing w:after="0" w:line="191"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-967740</wp:posOffset>
            </wp:positionV>
            <wp:extent cx="5708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3" w:name="page224"/>
    <w:bookmarkEnd w:id="223"/>
    <w:p>
      <w:pPr>
        <w:jc w:val="both"/>
        <w:ind w:firstLine="1304"/>
        <w:spacing w:after="0" w:line="261" w:lineRule="auto"/>
        <w:tabs>
          <w:tab w:leader="none" w:pos="198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3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survive the resignation or replacement of Administrative Agent, any transfer of rights or obligations by, or the replacement of, a Lender, or the repayment, satisfaction or discharge of all Obligations (or any portion thereof) under any Loan Document.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217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Unless otherwise specifically provided herein, any notice or other communication herein required or permitted to be given to a Loan Party or Administrative Agent, shall be sent to such Person’s address as set forth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in the other relevant Loan Document, and in the case of any Lender, the address as indicated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notice to Administrative Agent shall be effective until received by Administrative Agent.</w:t>
      </w:r>
    </w:p>
    <w:p>
      <w:pPr>
        <w:spacing w:after="0" w:line="18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19" w:lineRule="exact"/>
        <w:tabs>
          <w:tab w:leader="none" w:pos="271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and Internet or intranet websites) pursuant to procedures approved by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Administrative Agent that it is incapable of receiving notices under such Article by electronic communication.</w:t>
      </w:r>
    </w:p>
    <w:p>
      <w:pPr>
        <w:spacing w:after="0" w:line="202"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4" w:name="page225"/>
    <w:bookmarkEnd w:id="224"/>
    <w:p>
      <w:pPr>
        <w:jc w:val="both"/>
        <w:ind w:firstLine="1952"/>
        <w:spacing w:after="0" w:line="255" w:lineRule="auto"/>
        <w:tabs>
          <w:tab w:leader="none" w:pos="271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Whether or not the transactions contemplated hereby shall be consummated, Borrower agrees to pay promptly (or, in the case of costs, fees, expenses and disbursements incurred after the Closing Date, within [***] days of receipt of an invoice) (a) all of Administrative Agent’s actual, reasonable and documented out-of-pocket costs and expenses of preparation, negotiation, execution and administration of the Loan Documents and any consents, amendments, waivers or other modifications thereto; (b) all the actual, reasonable and documented out-of-pocket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Borrower; (c) all the actual, reasonable and documented out-of-pocket costs and expenses of creating and perfecting Liens in favor of Administrative Agent, for the benefit of Secured Parties, including filing and recording fees, expenses and taxes, stamp or documentary taxes, search fees, title insurance premiums and reasonable and documented out-of-pocket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Agent’s actual, reasonable and documented out-of-pocket fees, expenses for, and disbursements of any of Administrative Agent’s auditors, accountants, consultants or appraisers, and all reasonable attorneys’ fees incurred by Administrative Agent; (e) all the actual, reasonable and documented out-of-pocket costs and expenses (including the reasonable and documented out-of-pocket fees, expenses and disbursements of any appraisers, consultants, advisors and agents employed or retained by Administrative Agent and its counsel (in each case, external only)) in connection with the custody or preservation of any of the Collateral; (f) all the actual, reasonable and documented out-of-pocket costs and expenses of Administrative Agent and Lenders in connection with the attendance at any meetings in connection with this Agreement and the other Loan Documents (including the meetings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(g) all other actual, reasonable and documented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and documented out-of-pocket attorneys’ fees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 In each case, in the case of counsel, Borrower will only be required to reimburse expenses of one firm of counsel (in the absence of an actual or perceived conflict), one additional local counsel in each relevant jurisdiction, one intellectual property counsel and such other special counsel subject in the case of such other special counsel to Borrower’s consent (such consent not to be unreasonably withheld, conditioned or delayed).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5" w:name="page226"/>
    <w:bookmarkEnd w:id="225"/>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9" w:lineRule="auto"/>
        <w:tabs>
          <w:tab w:leader="none" w:pos="2265"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PAYMENT OF EXPENSES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FROM AND AGAINST ANY AND ALL INDEMNIFIED LIABILITIES, </w:t>
      </w:r>
      <w:r>
        <w:rPr>
          <w:rFonts w:ascii="Times New Roman" w:cs="Times New Roman" w:eastAsia="Times New Roman" w:hAnsi="Times New Roman"/>
          <w:sz w:val="17"/>
          <w:szCs w:val="17"/>
          <w:b w:val="1"/>
          <w:bCs w:val="1"/>
          <w:color w:val="auto"/>
        </w:rPr>
        <w:t>IN ALL</w:t>
      </w:r>
    </w:p>
    <w:p>
      <w:pPr>
        <w:spacing w:after="0" w:line="2"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CASES, 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LOAN PARTY SHALL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 THIS SECTION 10.3 SHALL NOT APPLY WITH RESPECT TO TAXES OTHER THAN ANY TAXES THAT REPRESENT LOSSES, CLAIMS, DAMAGES, ETC. ARISING FROM ANY NON-TAX CLAIM.</w:t>
      </w:r>
    </w:p>
    <w:p>
      <w:pPr>
        <w:spacing w:after="0" w:line="192" w:lineRule="exact"/>
        <w:rPr>
          <w:rFonts w:ascii="Times New Roman" w:cs="Times New Roman" w:eastAsia="Times New Roman" w:hAnsi="Times New Roman"/>
          <w:sz w:val="17"/>
          <w:szCs w:val="17"/>
          <w:color w:val="auto"/>
        </w:rPr>
      </w:pPr>
    </w:p>
    <w:p>
      <w:pPr>
        <w:jc w:val="both"/>
        <w:ind w:firstLine="1304"/>
        <w:spacing w:after="0" w:line="253" w:lineRule="auto"/>
        <w:tabs>
          <w:tab w:leader="none" w:pos="203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Borrower hereby waives, releases and agrees not to sue upon any such claim or any such damages, whether or not accrued and whether or not known or suspected to exist in its favor. Notwithstanding any provision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the contrary, no Loan Party shall have any liability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for any special, indirect, consequential or punitive damages (as opposed to direct or actual damages), except that, nothing in this sentence shall limit the Loan Party’s obligation to indemnify and hold harmless the Indemnitee for any third party claims for which the Indemnitees are entitled to be held harmless and indemnified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now or hereafter granted under applicable law and not by way of limitation of any 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and liabilities, or any of them, may be contingent or unmatured or</w:t>
      </w:r>
    </w:p>
    <w:p>
      <w:pPr>
        <w:spacing w:after="0" w:line="5" w:lineRule="exact"/>
        <w:rPr>
          <w:sz w:val="20"/>
          <w:szCs w:val="20"/>
          <w:color w:val="auto"/>
        </w:rPr>
      </w:pPr>
    </w:p>
    <w:p>
      <w:pPr>
        <w:ind w:firstLine="8"/>
        <w:spacing w:after="0" w:line="260" w:lineRule="auto"/>
        <w:tabs>
          <w:tab w:leader="none" w:pos="2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or liability is owed to a branch or office of such Lender different from the branch or office holding such deposit or obligation or such Indebtedness.</w:t>
      </w:r>
    </w:p>
    <w:p>
      <w:pPr>
        <w:spacing w:after="0" w:line="181"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6" w:name="page227"/>
    <w:bookmarkEnd w:id="226"/>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66" w:lineRule="auto"/>
        <w:tabs>
          <w:tab w:leader="none" w:pos="129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Lenders’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no amendment, modification, termination or waiver of any provision of the Loan Documents, or consent to any departure by any Loan Party therefrom, shall in any event be effective without the written consent of Administrative Agent and the Required Lenders.</w:t>
      </w:r>
    </w:p>
    <w:p>
      <w:pPr>
        <w:spacing w:after="0" w:line="175" w:lineRule="exact"/>
        <w:rPr>
          <w:rFonts w:ascii="Times New Roman" w:cs="Times New Roman" w:eastAsia="Times New Roman" w:hAnsi="Times New Roman"/>
          <w:sz w:val="18"/>
          <w:szCs w:val="18"/>
          <w:color w:val="auto"/>
        </w:rPr>
      </w:pPr>
    </w:p>
    <w:p>
      <w:pPr>
        <w:ind w:left="-660" w:firstLine="1304"/>
        <w:spacing w:after="0" w:line="282" w:lineRule="auto"/>
        <w:tabs>
          <w:tab w:leader="none" w:pos="145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Affected Lenders’ Consent</w:t>
      </w:r>
      <w:r>
        <w:rPr>
          <w:rFonts w:ascii="Times New Roman" w:cs="Times New Roman" w:eastAsia="Times New Roman" w:hAnsi="Times New Roman"/>
          <w:sz w:val="18"/>
          <w:szCs w:val="18"/>
          <w:color w:val="auto"/>
        </w:rPr>
        <w:t>. Without the written consent of each Lender (other than a Defaulting Lender) directly affected thereby, no amendment, modification, termination, or consent shall be effective if the effect thereof would:</w:t>
      </w:r>
    </w:p>
    <w:p>
      <w:pPr>
        <w:spacing w:after="0" w:line="161"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scheduled final maturity of any Loan or Note;</w:t>
      </w:r>
    </w:p>
    <w:p>
      <w:pPr>
        <w:spacing w:after="0" w:line="225"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scheduled repayment (but not prepayment);</w:t>
      </w:r>
    </w:p>
    <w:p>
      <w:pPr>
        <w:spacing w:after="0" w:line="225" w:lineRule="exact"/>
        <w:rPr>
          <w:rFonts w:ascii="Times New Roman" w:cs="Times New Roman" w:eastAsia="Times New Roman" w:hAnsi="Times New Roman"/>
          <w:sz w:val="18"/>
          <w:szCs w:val="18"/>
          <w:color w:val="auto"/>
        </w:rPr>
      </w:pPr>
    </w:p>
    <w:p>
      <w:pPr>
        <w:ind w:left="-660" w:right="20" w:firstLine="1952"/>
        <w:spacing w:after="0" w:line="282" w:lineRule="auto"/>
        <w:tabs>
          <w:tab w:leader="none" w:pos="195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or any fee payable hereunder;</w:t>
      </w:r>
    </w:p>
    <w:p>
      <w:pPr>
        <w:spacing w:after="0" w:line="161"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any such interest or fees;</w:t>
      </w:r>
    </w:p>
    <w:p>
      <w:pPr>
        <w:spacing w:after="0" w:line="225" w:lineRule="exact"/>
        <w:rPr>
          <w:rFonts w:ascii="Times New Roman" w:cs="Times New Roman" w:eastAsia="Times New Roman" w:hAnsi="Times New Roman"/>
          <w:sz w:val="18"/>
          <w:szCs w:val="18"/>
          <w:color w:val="auto"/>
        </w:rPr>
      </w:pPr>
    </w:p>
    <w:p>
      <w:pPr>
        <w:ind w:left="1900" w:hanging="608"/>
        <w:spacing w:after="0"/>
        <w:tabs>
          <w:tab w:leader="none" w:pos="19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any Loan;</w:t>
      </w:r>
    </w:p>
    <w:p>
      <w:pPr>
        <w:spacing w:after="0" w:line="225"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this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“Required Lenders” or “Pro Rata Share”;</w:t>
      </w:r>
    </w:p>
    <w:p>
      <w:pPr>
        <w:spacing w:after="0" w:line="225" w:lineRule="exact"/>
        <w:rPr>
          <w:rFonts w:ascii="Times New Roman" w:cs="Times New Roman" w:eastAsia="Times New Roman" w:hAnsi="Times New Roman"/>
          <w:sz w:val="18"/>
          <w:szCs w:val="18"/>
          <w:color w:val="auto"/>
        </w:rPr>
      </w:pPr>
    </w:p>
    <w:p>
      <w:pPr>
        <w:ind w:left="-660" w:firstLine="1952"/>
        <w:spacing w:after="0" w:line="282" w:lineRule="auto"/>
        <w:tabs>
          <w:tab w:leader="none" w:pos="205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or all or substantially all of the Guarantors from the Guaranty except as expressly provided in the Loan Documents;</w:t>
      </w:r>
    </w:p>
    <w:p>
      <w:pPr>
        <w:spacing w:after="0" w:line="161" w:lineRule="exact"/>
        <w:rPr>
          <w:rFonts w:ascii="Times New Roman" w:cs="Times New Roman" w:eastAsia="Times New Roman" w:hAnsi="Times New Roman"/>
          <w:sz w:val="18"/>
          <w:szCs w:val="18"/>
          <w:color w:val="auto"/>
        </w:rPr>
      </w:pPr>
    </w:p>
    <w:p>
      <w:pPr>
        <w:jc w:val="both"/>
        <w:ind w:left="-660" w:firstLine="1952"/>
        <w:spacing w:after="0" w:line="266" w:lineRule="auto"/>
        <w:tabs>
          <w:tab w:leader="none" w:pos="2137"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subordinate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(x)</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subordinate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of the Obligations or (y) any Lien created by this Agreement or any other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Document, except, in the case of this clause (y),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000000"/>
        </w:rPr>
        <w:t xml:space="preserve"> Permitted Product Transaction or other transaction expressly permitted hereunder that is contemplated </w:t>
      </w:r>
      <w:r>
        <w:rPr>
          <w:rFonts w:ascii="Times New Roman" w:cs="Times New Roman" w:eastAsia="Times New Roman" w:hAnsi="Times New Roman"/>
          <w:sz w:val="18"/>
          <w:szCs w:val="18"/>
          <w:u w:val="single" w:color="auto"/>
          <w:color w:val="0000FF"/>
        </w:rPr>
        <w:t>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of the Closing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have priority over the Liens securing the Obligations; or</w:t>
      </w:r>
    </w:p>
    <w:p>
      <w:pPr>
        <w:spacing w:after="0" w:line="175" w:lineRule="exact"/>
        <w:rPr>
          <w:rFonts w:ascii="Times New Roman" w:cs="Times New Roman" w:eastAsia="Times New Roman" w:hAnsi="Times New Roman"/>
          <w:sz w:val="18"/>
          <w:szCs w:val="18"/>
          <w:color w:val="auto"/>
        </w:rPr>
      </w:pPr>
    </w:p>
    <w:p>
      <w:pPr>
        <w:ind w:left="1900" w:hanging="608"/>
        <w:spacing w:after="0"/>
        <w:tabs>
          <w:tab w:leader="none" w:pos="19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any Loan Party of any of its rights and obligations under any Loan Document.</w:t>
      </w:r>
    </w:p>
    <w:p>
      <w:pPr>
        <w:spacing w:after="0" w:line="225"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25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Consents</w:t>
      </w:r>
      <w:r>
        <w:rPr>
          <w:rFonts w:ascii="Times New Roman" w:cs="Times New Roman" w:eastAsia="Times New Roman" w:hAnsi="Times New Roman"/>
          <w:sz w:val="18"/>
          <w:szCs w:val="18"/>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79" w:lineRule="exact"/>
        <w:rPr>
          <w:rFonts w:ascii="Times New Roman" w:cs="Times New Roman" w:eastAsia="Times New Roman" w:hAnsi="Times New Roman"/>
          <w:sz w:val="18"/>
          <w:szCs w:val="18"/>
          <w:color w:val="auto"/>
        </w:rPr>
      </w:pPr>
    </w:p>
    <w:p>
      <w:pPr>
        <w:ind w:left="4840" w:hanging="112"/>
        <w:spacing w:after="0"/>
        <w:tabs>
          <w:tab w:leader="none" w:pos="484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27" w:name="page228"/>
    <w:bookmarkEnd w:id="227"/>
    <w:p>
      <w:pPr>
        <w:jc w:val="both"/>
        <w:ind w:left="-660" w:firstLine="1304"/>
        <w:spacing w:after="0" w:line="258" w:lineRule="auto"/>
        <w:tabs>
          <w:tab w:leader="none" w:pos="13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Amendments, Etc.</w:t>
      </w:r>
      <w:r>
        <w:rPr>
          <w:rFonts w:ascii="Times New Roman" w:cs="Times New Roman" w:eastAsia="Times New Roman" w:hAnsi="Times New Roman"/>
          <w:sz w:val="18"/>
          <w:szCs w:val="18"/>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binding upon each Lender at the time outstanding, each future Lender and, if signed by a Loan Party, on such Loan Party.</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1304"/>
        <w:spacing w:after="0" w:line="256" w:lineRule="auto"/>
        <w:tabs>
          <w:tab w:leader="none" w:pos="125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Indemnitees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56" w:lineRule="auto"/>
        <w:tabs>
          <w:tab w:leader="none" w:pos="131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the Register</w:t>
      </w:r>
      <w:r>
        <w:rPr>
          <w:rFonts w:ascii="Times New Roman" w:cs="Times New Roman" w:eastAsia="Times New Roman" w:hAnsi="Times New Roman"/>
          <w:sz w:val="18"/>
          <w:szCs w:val="18"/>
          <w:color w:val="auto"/>
        </w:rPr>
        <w:t xml:space="preserve">. Borrower, Administrative Agent and Lenders shall, in accordance with the Register provisions of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18"/>
          <w:szCs w:val="18"/>
          <w:u w:val="single" w:color="auto"/>
          <w:color w:val="auto"/>
        </w:rPr>
        <w:t>Section 10.6(e)</w:t>
      </w:r>
      <w:r>
        <w:rPr>
          <w:rFonts w:ascii="Times New Roman" w:cs="Times New Roman" w:eastAsia="Times New Roman" w:hAnsi="Times New Roman"/>
          <w:sz w:val="18"/>
          <w:szCs w:val="18"/>
          <w:color w:val="auto"/>
        </w:rPr>
        <w:t>. Prior to such recordation, all amounts owed with respect to the applicable Term Loan Commitment or Loan shall be owed to the Lender listed in the Register as the owner thereof.</w:t>
      </w:r>
    </w:p>
    <w:p>
      <w:pPr>
        <w:spacing w:after="0" w:line="187" w:lineRule="exact"/>
        <w:rPr>
          <w:rFonts w:ascii="Times New Roman" w:cs="Times New Roman" w:eastAsia="Times New Roman" w:hAnsi="Times New Roman"/>
          <w:sz w:val="18"/>
          <w:szCs w:val="18"/>
          <w:color w:val="auto"/>
        </w:rPr>
      </w:pPr>
    </w:p>
    <w:p>
      <w:pPr>
        <w:jc w:val="both"/>
        <w:ind w:left="-660" w:firstLine="1304"/>
        <w:spacing w:after="0" w:line="261" w:lineRule="auto"/>
        <w:tabs>
          <w:tab w:leader="none" w:pos="12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Assign</w:t>
      </w:r>
      <w:r>
        <w:rPr>
          <w:rFonts w:ascii="Times New Roman" w:cs="Times New Roman" w:eastAsia="Times New Roman" w:hAnsi="Times New Roman"/>
          <w:sz w:val="18"/>
          <w:szCs w:val="18"/>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such assignment shall be of a uniform, and not varying, percentage of all rights and obligations under and in respect of any Loan and any related Commitments):</w:t>
      </w:r>
    </w:p>
    <w:p>
      <w:pPr>
        <w:spacing w:after="0" w:line="179" w:lineRule="exact"/>
        <w:rPr>
          <w:rFonts w:ascii="Times New Roman" w:cs="Times New Roman" w:eastAsia="Times New Roman" w:hAnsi="Times New Roman"/>
          <w:sz w:val="18"/>
          <w:szCs w:val="18"/>
          <w:color w:val="auto"/>
        </w:rPr>
      </w:pPr>
    </w:p>
    <w:p>
      <w:pPr>
        <w:ind w:left="-660" w:right="20" w:firstLine="1952"/>
        <w:spacing w:after="0" w:line="282" w:lineRule="auto"/>
        <w:tabs>
          <w:tab w:leader="none" w:pos="197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(other than a Disqualified Institution) meeting the criteria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the term of “Eligible Assignee” upon the giving of notice to Borrower and Administrative Agent;</w:t>
      </w:r>
    </w:p>
    <w:p>
      <w:pPr>
        <w:spacing w:after="0" w:line="161" w:lineRule="exact"/>
        <w:rPr>
          <w:rFonts w:ascii="Times New Roman" w:cs="Times New Roman" w:eastAsia="Times New Roman" w:hAnsi="Times New Roman"/>
          <w:sz w:val="18"/>
          <w:szCs w:val="18"/>
          <w:color w:val="auto"/>
        </w:rPr>
      </w:pPr>
    </w:p>
    <w:p>
      <w:pPr>
        <w:ind w:left="-660" w:firstLine="1952"/>
        <w:spacing w:after="0" w:line="282" w:lineRule="auto"/>
        <w:tabs>
          <w:tab w:leader="none" w:pos="192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constituting an Eligible Assignee (other than a Disqualified Institution) with the consent of Borrower and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 and</w:t>
      </w:r>
    </w:p>
    <w:p>
      <w:pPr>
        <w:spacing w:after="0" w:line="161" w:lineRule="exact"/>
        <w:rPr>
          <w:rFonts w:ascii="Times New Roman" w:cs="Times New Roman" w:eastAsia="Times New Roman" w:hAnsi="Times New Roman"/>
          <w:sz w:val="18"/>
          <w:szCs w:val="18"/>
          <w:color w:val="auto"/>
        </w:rPr>
      </w:pPr>
    </w:p>
    <w:p>
      <w:pPr>
        <w:ind w:left="1960" w:hanging="668"/>
        <w:spacing w:after="0"/>
        <w:tabs>
          <w:tab w:leader="none" w:pos="19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continuance of an Event of Default, to any Person (including any Disqualified Institution).</w:t>
      </w:r>
    </w:p>
    <w:p>
      <w:pPr>
        <w:spacing w:after="0" w:line="225" w:lineRule="exact"/>
        <w:rPr>
          <w:rFonts w:ascii="Times New Roman" w:cs="Times New Roman" w:eastAsia="Times New Roman" w:hAnsi="Times New Roman"/>
          <w:sz w:val="18"/>
          <w:szCs w:val="18"/>
          <w:color w:val="auto"/>
        </w:rPr>
      </w:pPr>
    </w:p>
    <w:p>
      <w:pPr>
        <w:jc w:val="both"/>
        <w:ind w:left="-660" w:firstLine="1304"/>
        <w:spacing w:after="0" w:line="266" w:lineRule="auto"/>
        <w:tabs>
          <w:tab w:leader="none" w:pos="137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840" w:hanging="112"/>
        <w:spacing w:after="0"/>
        <w:tabs>
          <w:tab w:leader="none" w:pos="484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28" w:name="page229"/>
    <w:bookmarkEnd w:id="228"/>
    <w:p>
      <w:pPr>
        <w:jc w:val="both"/>
        <w:ind w:left="-1120" w:right="20" w:firstLine="1304"/>
        <w:spacing w:after="0" w:line="266" w:lineRule="auto"/>
        <w:tabs>
          <w:tab w:leader="none" w:pos="82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Assignment</w:t>
      </w:r>
      <w:r>
        <w:rPr>
          <w:rFonts w:ascii="Times New Roman" w:cs="Times New Roman" w:eastAsia="Times New Roman" w:hAnsi="Times New Roman"/>
          <w:sz w:val="18"/>
          <w:szCs w:val="18"/>
          <w:color w:val="auto"/>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Borrower and shall maintain a copy of such Assignment Agreement.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80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Assignee</w:t>
      </w:r>
      <w:r>
        <w:rPr>
          <w:rFonts w:ascii="Times New Roman" w:cs="Times New Roman" w:eastAsia="Times New Roman" w:hAnsi="Times New Roman"/>
          <w:sz w:val="18"/>
          <w:szCs w:val="18"/>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and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79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Assignment</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that survive the termination hereof under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 as practicable, surrender its applicable Notes to Administrative Agent for cancellation, and thereupon Borrower shall issue and deliver new Notes, if so requested by the assignee or assigning Lender, to such assignee or to such assigning Lender, with appropriate insertions, to reflect the new Commitments or outstanding Loans of the assignee or the assigning Lender.</w:t>
      </w:r>
    </w:p>
    <w:p>
      <w:pPr>
        <w:spacing w:after="0" w:line="197"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952"/>
        <w:spacing w:after="0" w:line="252" w:lineRule="auto"/>
        <w:tabs>
          <w:tab w:leader="none" w:pos="14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subject to the requirements and limitations of such Sections (it being understood that the documentation required under Section 2.15(d) shall be delivered solely to the participating Lender)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 participant shall not be entitled to receive any greater payment under Section 2.15,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as though it were a Lender, provided such participant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w:t>
      </w:r>
    </w:p>
    <w:p>
      <w:pPr>
        <w:spacing w:after="0" w:line="191"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29" w:name="page230"/>
    <w:bookmarkEnd w:id="229"/>
    <w:p>
      <w:pPr>
        <w:jc w:val="both"/>
        <w:ind w:left="-1120" w:firstLine="1952"/>
        <w:spacing w:after="0" w:line="252" w:lineRule="auto"/>
        <w:tabs>
          <w:tab w:leader="none" w:pos="1503"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sells participations in its Commitments, Loans or in any other Obligation hereunder, such Lender shall, acting solely for this purpose as a non-fiduciary agent of Borrower, maintain a register on which it enters the name and address of all participants in the Commitments, Loans or Obligations held by it and the principal amount (and stated interest thereon) of the portion of such Commitments, Loans or Obligations that are the subject of the participation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the Internal Revenue Code or Treasury Regulations, including without limitation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Borrower at any reasonable time and from time to time upon reasonable prior notice. For the avoidance of doubt, Administrative Agent (in its capacity as administrative agent) shall not have any responsibility for maintaining a Participant Register. The parties intend that any interest in or with respect to the Loans under this Agreement be treated as being issued and maintained in “registered form” within the meaning of Sections 163(f), 871(h)(2), and 881(c)(2) of the Internal Revenue Code and any regulations thereunder (and any successor provisions), including without limitation under United States Treasury Regulations Section 5f.103-1(c) and Proposed Regulations Section 1.163-5 (and any successor provisions).</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103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Assignments</w:t>
      </w:r>
      <w:r>
        <w:rPr>
          <w:rFonts w:ascii="Times New Roman" w:cs="Times New Roman" w:eastAsia="Times New Roman" w:hAnsi="Times New Roman"/>
          <w:sz w:val="18"/>
          <w:szCs w:val="18"/>
          <w:color w:val="auto"/>
        </w:rPr>
        <w:t xml:space="preserve">. In addition to any other assignment permitted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any Lender or Administrative Agent may assign, pledge 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 Lender or Administrative Agent, as between Borrower and such Lender or Administrative Agent, shall be relieved of any of its obligations hereunder as a result of any such assignment and pledge; provided further,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194"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30" w:name="page231"/>
    <w:bookmarkEnd w:id="2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Survival of Representations, Warranties and Agreements</w:t>
      </w:r>
      <w:r>
        <w:rPr>
          <w:rFonts w:ascii="Times New Roman" w:cs="Times New Roman" w:eastAsia="Times New Roman" w:hAnsi="Times New Roman"/>
          <w:sz w:val="18"/>
          <w:szCs w:val="18"/>
          <w:color w:val="auto"/>
        </w:rPr>
        <w:t xml:space="preserve">. All representations, warranties and agreements made herein shall 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the agreements of Lenders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9.6</w:t>
      </w:r>
      <w:r>
        <w:rPr>
          <w:rFonts w:ascii="Times New Roman" w:cs="Times New Roman" w:eastAsia="Times New Roman" w:hAnsi="Times New Roman"/>
          <w:sz w:val="18"/>
          <w:szCs w:val="18"/>
          <w:color w:val="auto"/>
        </w:rPr>
        <w:t xml:space="preserve"> shall survive the payment of the Term Loans and the termination hereof.</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Administrative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Marshalling; Payments Set Aside</w:t>
      </w:r>
      <w:r>
        <w:rPr>
          <w:rFonts w:ascii="Times New Roman" w:cs="Times New Roman" w:eastAsia="Times New Roman" w:hAnsi="Times New Roman"/>
          <w:sz w:val="18"/>
          <w:szCs w:val="18"/>
          <w:color w:val="auto"/>
        </w:rPr>
        <w:t>. Neither Administrative Agent nor any Lender shall be under any obligation to 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or obligation hereunder or any Note or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xml:space="preserve">.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1" w:name="page232"/>
    <w:bookmarkEnd w:id="231"/>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xml:space="preserve">. For purposes of Sections 1272, 1273 and 1275 of the Internal Revenue Code, each Term Loan is being issued with original issue discount; please contact the Borrower as indicated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obtain information regarding the issue date, issue price, the amount of original issue discount and the yield to maturity.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10.17</w:t>
      </w:r>
      <w:r>
        <w:rPr>
          <w:sz w:val="20"/>
          <w:szCs w:val="20"/>
          <w:color w:val="auto"/>
        </w:rPr>
        <w:tab/>
      </w: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5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JUDICIAL PROCEEDINGS BROUGHT AGAINST ANY PARTY HERETO ARISING OUT OF OR RELATING HERETO OR ANY OTHER LOAN DOCUMENT, OR ANY OF THE OBLIGATIONS, MAY BE BROUGHT IN ANY STATE OR FEDERAL COURT OF COMPETENT JURISDICTION IN THE STATE, COUNTY AND CITY OF NEW YORK. BY EXECUTING AND DELIVERING THIS AGREEMENT, EACH PARTY HERETO,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SUFFICIENT TO CONFER PERSONAL JURISDICTION OVER THE APPLICABLE LOAN PARTY IN ANY SUCH 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AGREES THAT PROCESS MAY BE SERVED ON IT BY CERTIFIED MAIL, RETURN RECEIPT REQUESTED, TO THE ADDRESSES PERTAINING TO IT AS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ANY AND ALL SERVICE OF PROCESS AND ANY OTHER NOTICE IN ANY SUCH ACTION, SUIT OR PROCEEDING SHALL BE EFFECTIVE AGAINST ANY LOAN PARTY IF GIVEN BY REGISTERED OR CERTIFIED MAIL, RETURN RECEIPT REQUESTED, OR BY ANY OTHER MEANS OR MAIL THAT REQUIRES A SIGNED RECEIPT, POSTAGE PREPAID, MAILED AS PROVIDED ABOVE.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2" w:name="page233"/>
    <w:bookmarkEnd w:id="23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Administrative Agent and Lender shall hold all non-public information regarding Borrower and its Subsidiaries and their businesses identified as such by Borrower and obtained by such Lender from Borrower or its Subsidiaries confidential, it being understood and agreed by Borrower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10.19</w:t>
      </w:r>
      <w:r>
        <w:rPr>
          <w:rFonts w:ascii="Times New Roman" w:cs="Times New Roman" w:eastAsia="Times New Roman" w:hAnsi="Times New Roman"/>
          <w:sz w:val="18"/>
          <w:szCs w:val="18"/>
          <w:color w:val="auto"/>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subject to such person entereing into a customary confidentiality agreement, (iii) disclosure to any rating agency when required by it, (iv) disclosure to any Lender’s financing sources,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financing source is subject to customary confidentiality obligations, (v) disclosures of such information to any actual or potential investors, members, and partners of Administrative Agent any Lender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unless specifically prohibited by applicable law or court order, Administrative Agent and Lender shall make reasonable efforts to notify Borrower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18"/>
          <w:szCs w:val="18"/>
          <w:u w:val="single" w:color="auto"/>
          <w:color w:val="auto"/>
        </w:rPr>
        <w:t>Trade Announcements</w:t>
      </w:r>
      <w:r>
        <w:rPr>
          <w:rFonts w:ascii="Times New Roman" w:cs="Times New Roman" w:eastAsia="Times New Roman" w:hAnsi="Times New Roman"/>
          <w:sz w:val="18"/>
          <w:szCs w:val="18"/>
          <w:color w:val="auto"/>
        </w:rPr>
        <w:t xml:space="preserve">”). No Loan Party shall (i) issue any Trade Announcement or (ii) disclose the name of any Administrative Agent or any Lender except in the case of clause (ii) (A) disclosures required by applicable law, regulation, legal process or the rules of the Securities and Exchange Commission, (B) on a confidential basis to the Borrower’s controlled Affiliates and Subsidiaries and the Borrower’s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(D) to a Tax authority, to the extent reasonably necessary in connection with the Tax affairs of the Borrower or any of its Affiliates or (E) with the prior approval of Administrative Agent and such Lender. The respective obligations of Administrative Agent and Lender under this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 xml:space="preserve"> shall survive, to the extent applicable to such Person, for a period of two (2) years after the earliest of (x) the payment in full of the Obligations and the termination of this Agreement, (y) any assignment of its rights and obligations under this Agreement by such Person and (z) the resignation or removal of such Person as an Administrative Agent.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3" w:name="page234"/>
    <w:bookmarkEnd w:id="2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Usury Savings Clause</w:t>
      </w:r>
      <w:r>
        <w:rPr>
          <w:rFonts w:ascii="Times New Roman" w:cs="Times New Roman" w:eastAsia="Times New Roman" w:hAnsi="Times New Roman"/>
          <w:sz w:val="18"/>
          <w:szCs w:val="18"/>
          <w:color w:val="auto"/>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that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that would have been due hereunder if the stated rates of interest set forth in this Agreement had at all times been in effect, then to the extent permitted by law, Borrower shall pay to Administrative Agent an amount equal to the difference between the amount of interest paid and the amount of interest that would have been paid if the Highest Lawful Rate had at all times been in effect. Notwithstanding the foregoing, it is the intention of Lenders and Borrower to conform strictly to any applicable usury laws. Accordingly, if any Lender contracts for, charges, or receives any consideration that constitutes interest in excess of the Highest Lawful Rate, then any such excess shall be cancelled automatically and, if previously paid, shall at such Lender’s option be applied to the outstanding amount of the Loans made hereunder or be refunded to Borrower.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4" w:name="page235"/>
    <w:bookmarkEnd w:id="2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upon the execution of a counterpart hereof by each of the parties hereto and receipt by Borrower and Administrative Agent of written notification of such execution and authorization of delivery thereof.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Administrative Agent (for itself and not on behalf of any Lender) hereby 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 Lender or Administrative Agent, as applicable, to identify the Loan Parties in connection with the PATRIOT 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xml:space="preserve">.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shall be to the fullest extent permitted under the Foreign Sovereign Immunities Act and are intended to be irrevocable for purposes of the Foreign Sovereign Immunities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Loan Party that is organized outside of the United States hereby appoints Borrower as its agent for the purpose of accepting service of any process in the United States with respect to any Loan Document and the transactions contemplated thereby.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-448310</wp:posOffset>
            </wp:positionV>
            <wp:extent cx="285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5" w:name="page236"/>
    <w:bookmarkEnd w:id="235"/>
    <w:p>
      <w:pPr>
        <w:ind w:firstLine="656"/>
        <w:spacing w:after="0" w:line="282" w:lineRule="auto"/>
        <w:tabs>
          <w:tab w:leader="none" w:pos="151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that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10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212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ANNEX A TO FINANCING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SCHEDULES TO FINANCING AGREEMENT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COMPLIANCE CERTIFICATE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576" w:right="1440"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2026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March 31, 2026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1)"/>
      <w:numFmt w:val="lowerRoman"/>
      <w:start w:val="3"/>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1)"/>
      <w:numFmt w:val="decimal"/>
      <w:start w:val="1"/>
    </w:lvl>
  </w:abstractNum>
  <w:abstractNum w:abstractNumId="48">
    <w:nsid w:val="75E0858A"/>
    <w:multiLevelType w:val="hybridMultilevel"/>
    <w:lvl w:ilvl="0">
      <w:lvlJc w:val="left"/>
      <w:lvlText w:val="(%1)"/>
      <w:numFmt w:val="upperLetter"/>
      <w:start w:val="35"/>
    </w:lvl>
  </w:abstractNum>
  <w:abstractNum w:abstractNumId="49">
    <w:nsid w:val="57A61A29"/>
    <w:multiLevelType w:val="hybridMultilevel"/>
    <w:lvl w:ilvl="0">
      <w:lvlJc w:val="left"/>
      <w:lvlText w:val="(%1)"/>
      <w:numFmt w:val="lowerLetter"/>
      <w:start w:val="1"/>
    </w:lvl>
  </w:abstractNum>
  <w:abstractNum w:abstractNumId="50">
    <w:nsid w:val="5399C654"/>
    <w:multiLevelType w:val="hybridMultilevel"/>
    <w:lvl w:ilvl="0">
      <w:lvlJc w:val="left"/>
      <w:lvlText w:val="(%1)"/>
      <w:numFmt w:val="lowerLetter"/>
      <w:start w:val="2"/>
    </w:lvl>
  </w:abstractNum>
  <w:abstractNum w:abstractNumId="51">
    <w:nsid w:val="20EE1348"/>
    <w:multiLevelType w:val="hybridMultilevel"/>
    <w:lvl w:ilvl="0">
      <w:lvlJc w:val="left"/>
      <w:lvlText w:val="(%1)"/>
      <w:numFmt w:val="lowerLetter"/>
      <w:start w:val="1"/>
    </w:lvl>
    <w:lvl w:ilvl="1">
      <w:lvlJc w:val="left"/>
      <w:lvlText w:val="(%2)"/>
      <w:numFmt w:val="lowerRoman"/>
      <w:start w:val="1"/>
    </w:lvl>
  </w:abstractNum>
  <w:abstractNum w:abstractNumId="52">
    <w:nsid w:val="4427069A"/>
    <w:multiLevelType w:val="hybridMultilevel"/>
    <w:lvl w:ilvl="0">
      <w:lvlJc w:val="left"/>
      <w:lvlText w:val="(%1)"/>
      <w:numFmt w:val="lowerLetter"/>
      <w:start w:val="1"/>
    </w:lvl>
  </w:abstractNum>
  <w:abstractNum w:abstractNumId="53">
    <w:nsid w:val="B37E80A"/>
    <w:multiLevelType w:val="hybridMultilevel"/>
    <w:lvl w:ilvl="0">
      <w:lvlJc w:val="left"/>
      <w:lvlText w:val="(%1)"/>
      <w:numFmt w:val="lowerLetter"/>
      <w:start w:val="2"/>
    </w:lvl>
  </w:abstractNum>
  <w:abstractNum w:abstractNumId="54">
    <w:nsid w:val="2157F6BC"/>
    <w:multiLevelType w:val="hybridMultilevel"/>
    <w:lvl w:ilvl="0">
      <w:lvlJc w:val="left"/>
      <w:lvlText w:val="(%1)"/>
      <w:numFmt w:val="lowerLetter"/>
      <w:start w:val="10"/>
    </w:lvl>
  </w:abstractNum>
  <w:abstractNum w:abstractNumId="55">
    <w:nsid w:val="704E1DD5"/>
    <w:multiLevelType w:val="hybridMultilevel"/>
    <w:lvl w:ilvl="0">
      <w:lvlJc w:val="left"/>
      <w:lvlText w:val="(%1)"/>
      <w:numFmt w:val="lowerLetter"/>
      <w:start w:val="1"/>
    </w:lvl>
  </w:abstractNum>
  <w:abstractNum w:abstractNumId="56">
    <w:nsid w:val="57D2F10E"/>
    <w:multiLevelType w:val="hybridMultilevel"/>
    <w:lvl w:ilvl="0">
      <w:lvlJc w:val="left"/>
      <w:lvlText w:val="(%1)"/>
      <w:numFmt w:val="lowerLetter"/>
      <w:start w:val="3"/>
    </w:lvl>
  </w:abstractNum>
  <w:abstractNum w:abstractNumId="57">
    <w:nsid w:val="BFFAE18"/>
    <w:multiLevelType w:val="hybridMultilevel"/>
    <w:lvl w:ilvl="0">
      <w:lvlJc w:val="left"/>
      <w:lvlText w:val="(%1)"/>
      <w:numFmt w:val="lowerLetter"/>
      <w:start w:val="1"/>
    </w:lvl>
  </w:abstractNum>
  <w:abstractNum w:abstractNumId="58">
    <w:nsid w:val="E3E47A8"/>
    <w:multiLevelType w:val="hybridMultilevel"/>
    <w:lvl w:ilvl="0">
      <w:lvlJc w:val="left"/>
      <w:lvlText w:val="(%1)"/>
      <w:numFmt w:val="lowerLetter"/>
      <w:start w:val="8"/>
    </w:lvl>
  </w:abstractNum>
  <w:abstractNum w:abstractNumId="59">
    <w:nsid w:val="2E48F044"/>
    <w:multiLevelType w:val="hybridMultilevel"/>
    <w:lvl w:ilvl="0">
      <w:lvlJc w:val="left"/>
      <w:lvlText w:val="(%1)"/>
      <w:numFmt w:val="lowerLetter"/>
      <w:start w:val="1"/>
    </w:lvl>
    <w:lvl w:ilvl="1">
      <w:lvlJc w:val="left"/>
      <w:lvlText w:val="(%2)"/>
      <w:numFmt w:val="lowerRoman"/>
      <w:start w:val="1"/>
    </w:lvl>
  </w:abstractNum>
  <w:abstractNum w:abstractNumId="60">
    <w:nsid w:val="49D0FEAC"/>
    <w:multiLevelType w:val="hybridMultilevel"/>
    <w:lvl w:ilvl="0">
      <w:lvlJc w:val="left"/>
      <w:lvlText w:val="(%1)"/>
      <w:numFmt w:val="lowerRoman"/>
      <w:start w:val="1"/>
    </w:lvl>
  </w:abstractNum>
  <w:abstractNum w:abstractNumId="61">
    <w:nsid w:val="4BEE5A5B"/>
    <w:multiLevelType w:val="hybridMultilevel"/>
    <w:lvl w:ilvl="0">
      <w:lvlJc w:val="left"/>
      <w:lvlText w:val="(%1)"/>
      <w:numFmt w:val="lowerLetter"/>
      <w:start w:val="1"/>
    </w:lvl>
    <w:lvl w:ilvl="1">
      <w:lvlJc w:val="left"/>
      <w:lvlText w:val="-"/>
      <w:numFmt w:val="bullet"/>
      <w:start w:val="1"/>
    </w:lvl>
  </w:abstractNum>
  <w:abstractNum w:abstractNumId="62">
    <w:nsid w:val="5551B9F3"/>
    <w:multiLevelType w:val="hybridMultilevel"/>
    <w:lvl w:ilvl="0">
      <w:lvlJc w:val="left"/>
      <w:lvlText w:val="(%1)"/>
      <w:numFmt w:val="lowerLetter"/>
      <w:start w:val="1"/>
    </w:lvl>
  </w:abstractNum>
  <w:abstractNum w:abstractNumId="63">
    <w:nsid w:val="24F6AB8E"/>
    <w:multiLevelType w:val="hybridMultilevel"/>
    <w:lvl w:ilvl="0">
      <w:lvlJc w:val="left"/>
      <w:lvlText w:val="(%1)"/>
      <w:numFmt w:val="lowerLetter"/>
      <w:start w:val="1"/>
    </w:lvl>
    <w:lvl w:ilvl="1">
      <w:lvlJc w:val="left"/>
      <w:lvlText w:val="-"/>
      <w:numFmt w:val="bullet"/>
      <w:start w:val="1"/>
    </w:lvl>
  </w:abstractNum>
  <w:abstractNum w:abstractNumId="64">
    <w:nsid w:val="634C574C"/>
    <w:multiLevelType w:val="hybridMultilevel"/>
    <w:lvl w:ilvl="0">
      <w:lvlJc w:val="left"/>
      <w:lvlText w:val="(%1)"/>
      <w:numFmt w:val="lowerLetter"/>
      <w:start w:val="3"/>
    </w:lvl>
  </w:abstractNum>
  <w:abstractNum w:abstractNumId="65">
    <w:nsid w:val="24E99DD7"/>
    <w:multiLevelType w:val="hybridMultilevel"/>
    <w:lvl w:ilvl="0">
      <w:lvlJc w:val="left"/>
      <w:lvlText w:val="(%1)"/>
      <w:numFmt w:val="lowerLetter"/>
      <w:start w:val="1"/>
    </w:lvl>
  </w:abstractNum>
  <w:abstractNum w:abstractNumId="66">
    <w:nsid w:val="2A31B62D"/>
    <w:multiLevelType w:val="hybridMultilevel"/>
    <w:lvl w:ilvl="0">
      <w:lvlJc w:val="left"/>
      <w:lvlText w:val="(%1)"/>
      <w:numFmt w:val="lowerLetter"/>
      <w:start w:val="6"/>
    </w:lvl>
  </w:abstractNum>
  <w:abstractNum w:abstractNumId="67">
    <w:nsid w:val="1849C29B"/>
    <w:multiLevelType w:val="hybridMultilevel"/>
    <w:lvl w:ilvl="0">
      <w:lvlJc w:val="left"/>
      <w:lvlText w:val="(%1)"/>
      <w:numFmt w:val="lowerLetter"/>
      <w:start w:val="15"/>
    </w:lvl>
  </w:abstractNum>
  <w:abstractNum w:abstractNumId="68">
    <w:nsid w:val="7DFF9D09"/>
    <w:multiLevelType w:val="hybridMultilevel"/>
    <w:lvl w:ilvl="0">
      <w:lvlJc w:val="left"/>
      <w:lvlText w:val="(%1)"/>
      <w:numFmt w:val="lowerRoman"/>
      <w:start w:val="1"/>
    </w:lvl>
  </w:abstractNum>
  <w:abstractNum w:abstractNumId="69">
    <w:nsid w:val="754342"/>
    <w:multiLevelType w:val="hybridMultilevel"/>
    <w:lvl w:ilvl="0">
      <w:lvlJc w:val="left"/>
      <w:lvlText w:val="(%1)"/>
      <w:numFmt w:val="lowerLetter"/>
      <w:start w:val="1"/>
    </w:lvl>
  </w:abstractNum>
  <w:abstractNum w:abstractNumId="70">
    <w:nsid w:val="69E7F3E5"/>
    <w:multiLevelType w:val="hybridMultilevel"/>
    <w:lvl w:ilvl="0">
      <w:lvlJc w:val="left"/>
      <w:lvlText w:val="(%1)"/>
      <w:numFmt w:val="lowerLetter"/>
      <w:start w:val="4"/>
    </w:lvl>
  </w:abstractNum>
  <w:abstractNum w:abstractNumId="71">
    <w:nsid w:val="2A6DE806"/>
    <w:multiLevelType w:val="hybridMultilevel"/>
    <w:lvl w:ilvl="0">
      <w:lvlJc w:val="left"/>
      <w:lvlText w:val="(%1)"/>
      <w:numFmt w:val="lowerLetter"/>
      <w:start w:val="1"/>
    </w:lvl>
  </w:abstractNum>
  <w:abstractNum w:abstractNumId="72">
    <w:nsid w:val="1816F8C4"/>
    <w:multiLevelType w:val="hybridMultilevel"/>
    <w:lvl w:ilvl="0">
      <w:lvlJc w:val="left"/>
      <w:lvlText w:val="(%1)"/>
      <w:numFmt w:val="lowerLetter"/>
      <w:start w:val="2"/>
    </w:lvl>
  </w:abstractNum>
  <w:abstractNum w:abstractNumId="73">
    <w:nsid w:val="37DF2233"/>
    <w:multiLevelType w:val="hybridMultilevel"/>
    <w:lvl w:ilvl="0">
      <w:lvlJc w:val="left"/>
      <w:lvlText w:val="(%1)"/>
      <w:numFmt w:val="lowerLetter"/>
      <w:start w:val="1"/>
    </w:lvl>
    <w:lvl w:ilvl="1">
      <w:lvlJc w:val="left"/>
      <w:lvlText w:val="-"/>
      <w:numFmt w:val="bullet"/>
      <w:start w:val="1"/>
    </w:lvl>
  </w:abstractNum>
  <w:abstractNum w:abstractNumId="74">
    <w:nsid w:val="7AB49DAF"/>
    <w:multiLevelType w:val="hybridMultilevel"/>
    <w:lvl w:ilvl="0">
      <w:lvlJc w:val="left"/>
      <w:lvlText w:val="[***]"/>
      <w:numFmt w:val="bullet"/>
      <w:start w:val="1"/>
    </w:lvl>
    <w:lvl w:ilvl="1">
      <w:lvlJc w:val="left"/>
      <w:lvlText w:val="(%2)"/>
      <w:numFmt w:val="lowerLetter"/>
      <w:start w:val="6"/>
    </w:lvl>
    <w:lvl w:ilvl="2">
      <w:lvlJc w:val="left"/>
      <w:lvlText w:val="-"/>
      <w:numFmt w:val="bullet"/>
      <w:start w:val="1"/>
    </w:lvl>
  </w:abstractNum>
  <w:abstractNum w:abstractNumId="75">
    <w:nsid w:val="759F82CD"/>
    <w:multiLevelType w:val="hybridMultilevel"/>
    <w:lvl w:ilvl="0">
      <w:lvlJc w:val="left"/>
      <w:lvlText w:val="[***]"/>
      <w:numFmt w:val="bullet"/>
      <w:start w:val="1"/>
    </w:lvl>
    <w:lvl w:ilvl="1">
      <w:lvlJc w:val="left"/>
      <w:lvlText w:val="(%2)"/>
      <w:numFmt w:val="lowerLetter"/>
      <w:start w:val="7"/>
    </w:lvl>
    <w:lvl w:ilvl="2">
      <w:lvlJc w:val="left"/>
      <w:lvlText w:val="-"/>
      <w:numFmt w:val="bullet"/>
      <w:start w:val="1"/>
    </w:lvl>
  </w:abstractNum>
  <w:abstractNum w:abstractNumId="76">
    <w:nsid w:val="61E74EA3"/>
    <w:multiLevelType w:val="hybridMultilevel"/>
    <w:lvl w:ilvl="0">
      <w:lvlJc w:val="left"/>
      <w:lvlText w:val="(%1)"/>
      <w:numFmt w:val="lowerLetter"/>
      <w:start w:val="15"/>
    </w:lvl>
  </w:abstractNum>
  <w:abstractNum w:abstractNumId="77">
    <w:nsid w:val="597B4D84"/>
    <w:multiLevelType w:val="hybridMultilevel"/>
    <w:lvl w:ilvl="0">
      <w:lvlJc w:val="left"/>
      <w:lvlText w:val="(%1)"/>
      <w:numFmt w:val="lowerLetter"/>
      <w:start w:val="1"/>
    </w:lvl>
    <w:lvl w:ilvl="1">
      <w:lvlJc w:val="left"/>
      <w:lvlText w:val="-"/>
      <w:numFmt w:val="bullet"/>
      <w:start w:val="1"/>
    </w:lvl>
  </w:abstractNum>
  <w:abstractNum w:abstractNumId="78">
    <w:nsid w:val="F819E7F"/>
    <w:multiLevelType w:val="hybridMultilevel"/>
    <w:lvl w:ilvl="0">
      <w:lvlJc w:val="left"/>
      <w:lvlText w:val="(%1)"/>
      <w:numFmt w:val="lowerLetter"/>
      <w:start w:val="17"/>
    </w:lvl>
  </w:abstractNum>
  <w:abstractNum w:abstractNumId="79">
    <w:nsid w:val="57C7D42D"/>
    <w:multiLevelType w:val="hybridMultilevel"/>
    <w:lvl w:ilvl="0">
      <w:lvlJc w:val="left"/>
      <w:lvlText w:val="(%1)"/>
      <w:numFmt w:val="lowerLetter"/>
      <w:start w:val="1"/>
    </w:lvl>
    <w:lvl w:ilvl="1">
      <w:lvlJc w:val="left"/>
      <w:lvlText w:val="-"/>
      <w:numFmt w:val="bullet"/>
      <w:start w:val="1"/>
    </w:lvl>
  </w:abstractNum>
  <w:abstractNum w:abstractNumId="80">
    <w:nsid w:val="312167AD"/>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81">
    <w:nsid w:val="631B64D4"/>
    <w:multiLevelType w:val="hybridMultilevel"/>
    <w:lvl w:ilvl="0">
      <w:lvlJc w:val="left"/>
      <w:lvlText w:val="(%1)"/>
      <w:numFmt w:val="lowerLetter"/>
      <w:start w:val="13"/>
    </w:lvl>
    <w:lvl w:ilvl="1">
      <w:lvlJc w:val="left"/>
      <w:lvlText w:val="(%2)"/>
      <w:numFmt w:val="lowerLetter"/>
      <w:start w:val="15"/>
    </w:lvl>
    <w:lvl w:ilvl="2">
      <w:lvlJc w:val="left"/>
      <w:lvlText w:val="-"/>
      <w:numFmt w:val="bullet"/>
      <w:start w:val="1"/>
    </w:lvl>
  </w:abstractNum>
  <w:abstractNum w:abstractNumId="82">
    <w:nsid w:val="78B5E776"/>
    <w:multiLevelType w:val="hybridMultilevel"/>
    <w:lvl w:ilvl="0">
      <w:lvlJc w:val="left"/>
      <w:lvlText w:val="(%1)"/>
      <w:numFmt w:val="lowerLetter"/>
      <w:start w:val="19"/>
    </w:lvl>
  </w:abstractNum>
  <w:abstractNum w:abstractNumId="83">
    <w:nsid w:val="75486E47"/>
    <w:multiLevelType w:val="hybridMultilevel"/>
    <w:lvl w:ilvl="0">
      <w:lvlJc w:val="left"/>
      <w:lvlText w:val="(%1)"/>
      <w:numFmt w:val="lowerLetter"/>
      <w:start w:val="27"/>
    </w:lvl>
  </w:abstractNum>
  <w:abstractNum w:abstractNumId="84">
    <w:nsid w:val="6E534CDE"/>
    <w:multiLevelType w:val="hybridMultilevel"/>
    <w:lvl w:ilvl="0">
      <w:lvlJc w:val="left"/>
      <w:lvlText w:val="(%1)"/>
      <w:numFmt w:val="lowerLetter"/>
      <w:start w:val="1"/>
    </w:lvl>
  </w:abstractNum>
  <w:abstractNum w:abstractNumId="85">
    <w:nsid w:val="1A0DDE32"/>
    <w:multiLevelType w:val="hybridMultilevel"/>
    <w:lvl w:ilvl="0">
      <w:lvlJc w:val="left"/>
      <w:lvlText w:val="(%1)"/>
      <w:numFmt w:val="lowerLetter"/>
      <w:start w:val="1"/>
    </w:lvl>
    <w:lvl w:ilvl="1">
      <w:lvlJc w:val="left"/>
      <w:lvlText w:val="-"/>
      <w:numFmt w:val="bullet"/>
      <w:start w:val="1"/>
    </w:lvl>
  </w:abstractNum>
  <w:abstractNum w:abstractNumId="86">
    <w:nsid w:val="65968C1C"/>
    <w:multiLevelType w:val="hybridMultilevel"/>
    <w:lvl w:ilvl="0">
      <w:lvlJc w:val="left"/>
      <w:lvlText w:val="(%1)"/>
      <w:numFmt w:val="lowerLetter"/>
      <w:start w:val="4"/>
    </w:lvl>
  </w:abstractNum>
  <w:abstractNum w:abstractNumId="87">
    <w:nsid w:val="46263DEC"/>
    <w:multiLevelType w:val="hybridMultilevel"/>
    <w:lvl w:ilvl="0">
      <w:lvlJc w:val="left"/>
      <w:lvlText w:val="(%1)"/>
      <w:numFmt w:val="lowerLetter"/>
      <w:start w:val="1"/>
    </w:lvl>
    <w:lvl w:ilvl="1">
      <w:lvlJc w:val="left"/>
      <w:lvlText w:val="-"/>
      <w:numFmt w:val="bullet"/>
      <w:start w:val="1"/>
    </w:lvl>
  </w:abstractNum>
  <w:abstractNum w:abstractNumId="88">
    <w:nsid w:val="260D8C4A"/>
    <w:multiLevelType w:val="hybridMultilevel"/>
    <w:lvl w:ilvl="0">
      <w:lvlJc w:val="left"/>
      <w:lvlText w:val="(%1)"/>
      <w:numFmt w:val="lowerRoman"/>
      <w:start w:val="1"/>
    </w:lvl>
  </w:abstractNum>
  <w:abstractNum w:abstractNumId="89">
    <w:nsid w:val="73D4D3C4"/>
    <w:multiLevelType w:val="hybridMultilevel"/>
    <w:lvl w:ilvl="0">
      <w:lvlJc w:val="left"/>
      <w:lvlText w:val="(%1)"/>
      <w:numFmt w:val="lowerLetter"/>
      <w:start w:val="1"/>
    </w:lvl>
  </w:abstractNum>
  <w:abstractNum w:abstractNumId="90">
    <w:nsid w:val="746F2E30"/>
    <w:multiLevelType w:val="hybridMultilevel"/>
    <w:lvl w:ilvl="0">
      <w:lvlJc w:val="left"/>
      <w:lvlText w:val="(%1)"/>
      <w:numFmt w:val="lowerLetter"/>
      <w:start w:val="1"/>
    </w:lvl>
  </w:abstractNum>
  <w:abstractNum w:abstractNumId="91">
    <w:nsid w:val="6FDE8AF6"/>
    <w:multiLevelType w:val="hybridMultilevel"/>
    <w:lvl w:ilvl="0">
      <w:lvlJc w:val="left"/>
      <w:lvlText w:val="(%1)"/>
      <w:numFmt w:val="lowerLetter"/>
      <w:start w:val="1"/>
    </w:lvl>
    <w:lvl w:ilvl="1">
      <w:lvlJc w:val="left"/>
      <w:lvlText w:val="-"/>
      <w:numFmt w:val="bullet"/>
      <w:start w:val="1"/>
    </w:lvl>
  </w:abstractNum>
  <w:abstractNum w:abstractNumId="92">
    <w:nsid w:val="3FC32E20"/>
    <w:multiLevelType w:val="hybridMultilevel"/>
    <w:lvl w:ilvl="0">
      <w:lvlJc w:val="left"/>
      <w:lvlText w:val="(%1)"/>
      <w:numFmt w:val="lowerLetter"/>
      <w:start w:val="2"/>
    </w:lvl>
  </w:abstractNum>
  <w:abstractNum w:abstractNumId="93">
    <w:nsid w:val="49C0E823"/>
    <w:multiLevelType w:val="hybridMultilevel"/>
    <w:lvl w:ilvl="0">
      <w:lvlJc w:val="left"/>
      <w:lvlText w:val="(%1)"/>
      <w:numFmt w:val="lowerLetter"/>
      <w:start w:val="1"/>
    </w:lvl>
    <w:lvl w:ilvl="1">
      <w:lvlJc w:val="left"/>
      <w:lvlText w:val="(%2)"/>
      <w:numFmt w:val="lowerRoman"/>
      <w:start w:val="1"/>
    </w:lvl>
  </w:abstractNum>
  <w:abstractNum w:abstractNumId="94">
    <w:nsid w:val="14D5368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5">
    <w:nsid w:val="230F856C"/>
    <w:multiLevelType w:val="hybridMultilevel"/>
    <w:lvl w:ilvl="0">
      <w:lvlJc w:val="left"/>
      <w:lvlText w:val="%1"/>
      <w:numFmt w:val="lowerLetter"/>
      <w:start w:val="1"/>
    </w:lvl>
    <w:lvl w:ilvl="1">
      <w:lvlJc w:val="left"/>
      <w:lvlText w:val="(%2)"/>
      <w:numFmt w:val="lowerLetter"/>
      <w:start w:val="61"/>
    </w:lvl>
  </w:abstractNum>
  <w:abstractNum w:abstractNumId="96">
    <w:nsid w:val="6EAA85FB"/>
    <w:multiLevelType w:val="hybridMultilevel"/>
    <w:lvl w:ilvl="0">
      <w:lvlJc w:val="left"/>
      <w:lvlText w:val="(%1)"/>
      <w:numFmt w:val="lowerLetter"/>
      <w:start w:val="3"/>
    </w:lvl>
    <w:lvl w:ilvl="1">
      <w:lvlJc w:val="left"/>
      <w:lvlText w:val="(%2)"/>
      <w:numFmt w:val="lowerLetter"/>
      <w:start w:val="9"/>
    </w:lvl>
  </w:abstractNum>
  <w:abstractNum w:abstractNumId="97">
    <w:nsid w:val="3F06ECB2"/>
    <w:multiLevelType w:val="hybridMultilevel"/>
    <w:lvl w:ilvl="0">
      <w:lvlJc w:val="left"/>
      <w:lvlText w:val="(%1)"/>
      <w:numFmt w:val="lowerRoman"/>
      <w:start w:val="2"/>
    </w:lvl>
  </w:abstractNum>
  <w:abstractNum w:abstractNumId="98">
    <w:nsid w:val="3B594807"/>
    <w:multiLevelType w:val="hybridMultilevel"/>
    <w:lvl w:ilvl="0">
      <w:lvlJc w:val="left"/>
      <w:lvlText w:val="(%1)"/>
      <w:numFmt w:val="lowerLetter"/>
      <w:start w:val="1"/>
    </w:lvl>
    <w:lvl w:ilvl="1">
      <w:lvlJc w:val="left"/>
      <w:lvlText w:val="-"/>
      <w:numFmt w:val="bullet"/>
      <w:start w:val="1"/>
    </w:lvl>
  </w:abstractNum>
  <w:abstractNum w:abstractNumId="99">
    <w:nsid w:val="6CAA2304"/>
    <w:multiLevelType w:val="hybridMultilevel"/>
    <w:lvl w:ilvl="0">
      <w:lvlJc w:val="left"/>
      <w:lvlText w:val="(%1)"/>
      <w:numFmt w:val="lowerLetter"/>
      <w:start w:val="2"/>
    </w:lvl>
  </w:abstractNum>
  <w:abstractNum w:abstractNumId="100">
    <w:nsid w:val="3F7C2FF4"/>
    <w:multiLevelType w:val="hybridMultilevel"/>
    <w:lvl w:ilvl="0">
      <w:lvlJc w:val="left"/>
      <w:lvlText w:val="(%1)"/>
      <w:numFmt w:val="lowerLetter"/>
      <w:start w:val="1"/>
    </w:lvl>
    <w:lvl w:ilvl="1">
      <w:lvlJc w:val="left"/>
      <w:lvlText w:val="-"/>
      <w:numFmt w:val="bullet"/>
      <w:start w:val="1"/>
    </w:lvl>
  </w:abstractNum>
  <w:abstractNum w:abstractNumId="101">
    <w:nsid w:val="25413BEC"/>
    <w:multiLevelType w:val="hybridMultilevel"/>
    <w:lvl w:ilvl="0">
      <w:lvlJc w:val="left"/>
      <w:lvlText w:val="(%1)"/>
      <w:numFmt w:val="lowerLetter"/>
      <w:start w:val="4"/>
    </w:lvl>
  </w:abstractNum>
  <w:abstractNum w:abstractNumId="102">
    <w:nsid w:val="17180B0B"/>
    <w:multiLevelType w:val="hybridMultilevel"/>
    <w:lvl w:ilvl="0">
      <w:lvlJc w:val="left"/>
      <w:lvlText w:val="(%1)"/>
      <w:numFmt w:val="lowerLetter"/>
      <w:start w:val="1"/>
    </w:lvl>
  </w:abstractNum>
  <w:abstractNum w:abstractNumId="103">
    <w:nsid w:val="579328B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4">
    <w:nsid w:val="5D205E2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05">
    <w:nsid w:val="11CCA8BA"/>
    <w:multiLevelType w:val="hybridMultilevel"/>
    <w:lvl w:ilvl="0">
      <w:lvlJc w:val="left"/>
      <w:lvlText w:val="(%1)"/>
      <w:numFmt w:val="lowerLetter"/>
      <w:start w:val="1"/>
    </w:lvl>
  </w:abstractNum>
  <w:abstractNum w:abstractNumId="106">
    <w:nsid w:val="4D32AB86"/>
    <w:multiLevelType w:val="hybridMultilevel"/>
    <w:lvl w:ilvl="0">
      <w:lvlJc w:val="left"/>
      <w:lvlText w:val="(%1)"/>
      <w:numFmt w:val="lowerLetter"/>
      <w:start w:val="1"/>
    </w:lvl>
    <w:lvl w:ilvl="1">
      <w:lvlJc w:val="left"/>
      <w:lvlText w:val="-"/>
      <w:numFmt w:val="bullet"/>
      <w:start w:val="1"/>
    </w:lvl>
  </w:abstractNum>
  <w:abstractNum w:abstractNumId="107">
    <w:nsid w:val="3F07ACC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8">
    <w:nsid w:val="6B47F63E"/>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09">
    <w:nsid w:val="5CB44A05"/>
    <w:multiLevelType w:val="hybridMultilevel"/>
    <w:lvl w:ilvl="0">
      <w:lvlJc w:val="left"/>
      <w:lvlText w:val="(%1)"/>
      <w:numFmt w:val="lowerLetter"/>
      <w:start w:val="4"/>
    </w:lvl>
  </w:abstractNum>
  <w:abstractNum w:abstractNumId="110">
    <w:nsid w:val="16CF80F1"/>
    <w:multiLevelType w:val="hybridMultilevel"/>
    <w:lvl w:ilvl="0">
      <w:lvlJc w:val="left"/>
      <w:lvlText w:val="(%1)"/>
      <w:numFmt w:val="lowerLetter"/>
      <w:start w:val="1"/>
    </w:lvl>
  </w:abstractNum>
  <w:abstractNum w:abstractNumId="111">
    <w:nsid w:val="1C695DEC"/>
    <w:multiLevelType w:val="hybridMultilevel"/>
    <w:lvl w:ilvl="0">
      <w:lvlJc w:val="left"/>
      <w:lvlText w:val="(%1)"/>
      <w:numFmt w:val="lowerLetter"/>
      <w:start w:val="2"/>
    </w:lvl>
    <w:lvl w:ilvl="1">
      <w:lvlJc w:val="left"/>
      <w:lvlText w:val="-"/>
      <w:numFmt w:val="bullet"/>
      <w:start w:val="1"/>
    </w:lvl>
  </w:abstractNum>
  <w:abstractNum w:abstractNumId="112">
    <w:nsid w:val="3FCFAED9"/>
    <w:multiLevelType w:val="hybridMultilevel"/>
    <w:lvl w:ilvl="0">
      <w:lvlJc w:val="left"/>
      <w:lvlText w:val="(%1)"/>
      <w:numFmt w:val="lowerLetter"/>
      <w:start w:val="1"/>
    </w:lvl>
  </w:abstractNum>
  <w:abstractNum w:abstractNumId="113">
    <w:nsid w:val="F856867"/>
    <w:multiLevelType w:val="hybridMultilevel"/>
    <w:lvl w:ilvl="0">
      <w:lvlJc w:val="left"/>
      <w:lvlText w:val="(%1)"/>
      <w:numFmt w:val="lowerLetter"/>
      <w:start w:val="7"/>
    </w:lvl>
    <w:lvl w:ilvl="1">
      <w:lvlJc w:val="left"/>
      <w:lvlText w:val="-"/>
      <w:numFmt w:val="bullet"/>
      <w:start w:val="1"/>
    </w:lvl>
  </w:abstractNum>
  <w:abstractNum w:abstractNumId="114">
    <w:nsid w:val="11B1CC33"/>
    <w:multiLevelType w:val="hybridMultilevel"/>
    <w:lvl w:ilvl="0">
      <w:lvlJc w:val="left"/>
      <w:lvlText w:val="(%1)"/>
      <w:numFmt w:val="lowerLetter"/>
      <w:start w:val="10"/>
    </w:lvl>
  </w:abstractNum>
  <w:abstractNum w:abstractNumId="115">
    <w:nsid w:val="2E22FBB7"/>
    <w:multiLevelType w:val="hybridMultilevel"/>
    <w:lvl w:ilvl="0">
      <w:lvlJc w:val="left"/>
      <w:lvlText w:val="(%1)"/>
      <w:numFmt w:val="lowerLetter"/>
      <w:start w:val="1"/>
    </w:lvl>
    <w:lvl w:ilvl="1">
      <w:lvlJc w:val="left"/>
      <w:lvlText w:val="-"/>
      <w:numFmt w:val="bullet"/>
      <w:start w:val="1"/>
    </w:lvl>
  </w:abstractNum>
  <w:abstractNum w:abstractNumId="116">
    <w:nsid w:val="29934699"/>
    <w:multiLevelType w:val="hybridMultilevel"/>
    <w:lvl w:ilvl="0">
      <w:lvlJc w:val="left"/>
      <w:lvlText w:val="(%1)"/>
      <w:numFmt w:val="lowerLetter"/>
      <w:start w:val="2"/>
    </w:lvl>
  </w:abstractNum>
  <w:abstractNum w:abstractNumId="117">
    <w:nsid w:val="77485850"/>
    <w:multiLevelType w:val="hybridMultilevel"/>
    <w:lvl w:ilvl="0">
      <w:lvlJc w:val="left"/>
      <w:lvlText w:val="(%1)"/>
      <w:numFmt w:val="lowerLetter"/>
      <w:start w:val="1"/>
    </w:lvl>
    <w:lvl w:ilvl="1">
      <w:lvlJc w:val="left"/>
      <w:lvlText w:val="-"/>
      <w:numFmt w:val="bullet"/>
      <w:start w:val="1"/>
    </w:lvl>
  </w:abstractNum>
  <w:abstractNum w:abstractNumId="118">
    <w:nsid w:val="744939A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9">
    <w:nsid w:val="4FA0D2E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120">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lvl w:ilvl="3">
      <w:lvlJc w:val="left"/>
      <w:lvlText w:val="-"/>
      <w:numFmt w:val="bullet"/>
      <w:start w:val="1"/>
    </w:lvl>
  </w:abstractNum>
  <w:abstractNum w:abstractNumId="121">
    <w:nsid w:val="68B867D3"/>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122">
    <w:nsid w:val="3F7F5DD9"/>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123">
    <w:nsid w:val="2AE05A34"/>
    <w:multiLevelType w:val="hybridMultilevel"/>
    <w:lvl w:ilvl="0">
      <w:lvlJc w:val="left"/>
      <w:lvlText w:val="(%1)"/>
      <w:numFmt w:val="lowerLetter"/>
      <w:start w:val="1"/>
    </w:lvl>
    <w:lvl w:ilvl="1">
      <w:lvlJc w:val="left"/>
      <w:lvlText w:val="(%2)"/>
      <w:numFmt w:val="lowerRoman"/>
      <w:start w:val="1"/>
    </w:lvl>
  </w:abstractNum>
  <w:abstractNum w:abstractNumId="124">
    <w:nsid w:val="32794FF7"/>
    <w:multiLevelType w:val="hybridMultilevel"/>
    <w:lvl w:ilvl="0">
      <w:lvlJc w:val="left"/>
      <w:lvlText w:val="(%1)"/>
      <w:numFmt w:val="lowerLetter"/>
      <w:start w:val="2"/>
    </w:lvl>
    <w:lvl w:ilvl="1">
      <w:lvlJc w:val="left"/>
      <w:lvlText w:val="-"/>
      <w:numFmt w:val="bullet"/>
      <w:start w:val="1"/>
    </w:lvl>
  </w:abstractNum>
  <w:abstractNum w:abstractNumId="125">
    <w:nsid w:val="5454945E"/>
    <w:multiLevelType w:val="hybridMultilevel"/>
    <w:lvl w:ilvl="0">
      <w:lvlJc w:val="left"/>
      <w:lvlText w:val="(%1)"/>
      <w:numFmt w:val="lowerLetter"/>
      <w:start w:val="3"/>
    </w:lvl>
  </w:abstractNum>
  <w:abstractNum w:abstractNumId="126">
    <w:nsid w:val="4DEFDFA0"/>
    <w:multiLevelType w:val="hybridMultilevel"/>
    <w:lvl w:ilvl="0">
      <w:lvlJc w:val="left"/>
      <w:lvlText w:val="(%1)"/>
      <w:numFmt w:val="lowerLetter"/>
      <w:start w:val="1"/>
    </w:lvl>
    <w:lvl w:ilvl="1">
      <w:lvlJc w:val="left"/>
      <w:lvlText w:val="-"/>
      <w:numFmt w:val="bullet"/>
      <w:start w:val="1"/>
    </w:lvl>
  </w:abstractNum>
  <w:abstractNum w:abstractNumId="127">
    <w:nsid w:val="2123D5F2"/>
    <w:multiLevelType w:val="hybridMultilevel"/>
    <w:lvl w:ilvl="0">
      <w:lvlJc w:val="left"/>
      <w:lvlText w:val="(%1)"/>
      <w:numFmt w:val="lowerLetter"/>
      <w:start w:val="4"/>
    </w:lvl>
  </w:abstractNum>
  <w:abstractNum w:abstractNumId="128">
    <w:nsid w:val="135B8110"/>
    <w:multiLevelType w:val="hybridMultilevel"/>
    <w:lvl w:ilvl="0">
      <w:lvlJc w:val="left"/>
      <w:lvlText w:val="(%1)"/>
      <w:numFmt w:val="lowerLetter"/>
      <w:start w:val="1"/>
    </w:lvl>
    <w:lvl w:ilvl="1">
      <w:lvlJc w:val="left"/>
      <w:lvlText w:val="-"/>
      <w:numFmt w:val="bullet"/>
      <w:start w:val="1"/>
    </w:lvl>
  </w:abstractNum>
  <w:abstractNum w:abstractNumId="129">
    <w:nsid w:val="94927A8"/>
    <w:multiLevelType w:val="hybridMultilevel"/>
    <w:lvl w:ilvl="0">
      <w:lvlJc w:val="left"/>
      <w:lvlText w:val="(%1)"/>
      <w:numFmt w:val="lowerLetter"/>
      <w:start w:val="5"/>
    </w:lvl>
    <w:lvl w:ilvl="1">
      <w:lvlJc w:val="left"/>
      <w:lvlText w:val="(%2)"/>
      <w:numFmt w:val="lowerRoman"/>
      <w:start w:val="1"/>
    </w:lvl>
  </w:abstractNum>
  <w:abstractNum w:abstractNumId="130">
    <w:nsid w:val="DCDF8F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1">
    <w:nsid w:val="52D7B105"/>
    <w:multiLevelType w:val="hybridMultilevel"/>
    <w:lvl w:ilvl="0">
      <w:lvlJc w:val="left"/>
      <w:lvlText w:val="(%1)"/>
      <w:numFmt w:val="lowerLetter"/>
      <w:start w:val="6"/>
    </w:lvl>
  </w:abstractNum>
  <w:abstractNum w:abstractNumId="132">
    <w:nsid w:val="2E8A6394"/>
    <w:multiLevelType w:val="hybridMultilevel"/>
    <w:lvl w:ilvl="0">
      <w:lvlJc w:val="left"/>
      <w:lvlText w:val="(%1)"/>
      <w:numFmt w:val="lowerLetter"/>
      <w:start w:val="7"/>
    </w:lvl>
    <w:lvl w:ilvl="1">
      <w:lvlJc w:val="left"/>
      <w:lvlText w:val="-"/>
      <w:numFmt w:val="bullet"/>
      <w:start w:val="1"/>
    </w:lvl>
  </w:abstractNum>
  <w:abstractNum w:abstractNumId="133">
    <w:nsid w:val="24E60401"/>
    <w:multiLevelType w:val="hybridMultilevel"/>
    <w:lvl w:ilvl="0">
      <w:lvlJc w:val="left"/>
      <w:lvlText w:val="(%1)"/>
      <w:numFmt w:val="lowerLetter"/>
      <w:start w:val="17"/>
    </w:lvl>
  </w:abstractNum>
  <w:abstractNum w:abstractNumId="134">
    <w:nsid w:val="2A6AD9BE"/>
    <w:multiLevelType w:val="hybridMultilevel"/>
    <w:lvl w:ilvl="0">
      <w:lvlJc w:val="left"/>
      <w:lvlText w:val="(%1)"/>
      <w:numFmt w:val="lowerLetter"/>
      <w:start w:val="1"/>
    </w:lvl>
  </w:abstractNum>
  <w:abstractNum w:abstractNumId="135">
    <w:nsid w:val="BAAC1B4"/>
    <w:multiLevelType w:val="hybridMultilevel"/>
    <w:lvl w:ilvl="0">
      <w:lvlJc w:val="left"/>
      <w:lvlText w:val="(%1)"/>
      <w:numFmt w:val="lowerLetter"/>
      <w:start w:val="1"/>
    </w:lvl>
    <w:lvl w:ilvl="1">
      <w:lvlJc w:val="left"/>
      <w:lvlText w:val="-"/>
      <w:numFmt w:val="bullet"/>
      <w:start w:val="1"/>
    </w:lvl>
  </w:abstractNum>
  <w:abstractNum w:abstractNumId="136">
    <w:nsid w:val="36B2ACBC"/>
    <w:multiLevelType w:val="hybridMultilevel"/>
    <w:lvl w:ilvl="0">
      <w:lvlJc w:val="left"/>
      <w:lvlText w:val="(%1)"/>
      <w:numFmt w:val="lowerLetter"/>
      <w:start w:val="3"/>
    </w:lvl>
  </w:abstractNum>
  <w:abstractNum w:abstractNumId="137">
    <w:nsid w:val="779D8544"/>
    <w:multiLevelType w:val="hybridMultilevel"/>
    <w:lvl w:ilvl="0">
      <w:lvlJc w:val="left"/>
      <w:lvlText w:val="(%1)"/>
      <w:numFmt w:val="lowerRoman"/>
      <w:start w:val="1"/>
    </w:lvl>
  </w:abstractNum>
  <w:abstractNum w:abstractNumId="138">
    <w:nsid w:val="4AB26E78"/>
    <w:multiLevelType w:val="hybridMultilevel"/>
    <w:lvl w:ilvl="0">
      <w:lvlJc w:val="left"/>
      <w:lvlText w:val="(%1)"/>
      <w:numFmt w:val="lowerLetter"/>
      <w:start w:val="1"/>
    </w:lvl>
    <w:lvl w:ilvl="1">
      <w:lvlJc w:val="left"/>
      <w:lvlText w:val="-"/>
      <w:numFmt w:val="bullet"/>
      <w:start w:val="1"/>
    </w:lvl>
  </w:abstractNum>
  <w:abstractNum w:abstractNumId="139">
    <w:nsid w:val="21FAA2FA"/>
    <w:multiLevelType w:val="hybridMultilevel"/>
    <w:lvl w:ilvl="0">
      <w:lvlJc w:val="left"/>
      <w:lvlText w:val="(%1)"/>
      <w:numFmt w:val="lowerLetter"/>
      <w:start w:val="2"/>
    </w:lvl>
  </w:abstractNum>
  <w:abstractNum w:abstractNumId="140">
    <w:nsid w:val="5451CF49"/>
    <w:multiLevelType w:val="hybridMultilevel"/>
    <w:lvl w:ilvl="0">
      <w:lvlJc w:val="left"/>
      <w:lvlText w:val="(%1)"/>
      <w:numFmt w:val="lowerLetter"/>
      <w:start w:val="1"/>
    </w:lvl>
    <w:lvl w:ilvl="1">
      <w:lvlJc w:val="left"/>
      <w:lvlText w:val="-"/>
      <w:numFmt w:val="bullet"/>
      <w:start w:val="1"/>
    </w:lvl>
  </w:abstractNum>
  <w:abstractNum w:abstractNumId="141">
    <w:nsid w:val="6181EF6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42">
    <w:nsid w:val="3E6400E6"/>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43">
    <w:nsid w:val="14217E23"/>
    <w:multiLevelType w:val="hybridMultilevel"/>
    <w:lvl w:ilvl="0">
      <w:lvlJc w:val="left"/>
      <w:lvlText w:val="(%1)"/>
      <w:numFmt w:val="lowerRoman"/>
      <w:start w:val="4"/>
    </w:lvl>
  </w:abstractNum>
  <w:abstractNum w:abstractNumId="144">
    <w:nsid w:val="710757D0"/>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45">
    <w:nsid w:val="5015CD1A"/>
    <w:multiLevelType w:val="hybridMultilevel"/>
    <w:lvl w:ilvl="0">
      <w:lvlJc w:val="left"/>
      <w:lvlText w:val="(%1)"/>
      <w:numFmt w:val="lowerLetter"/>
      <w:start w:val="7"/>
    </w:lvl>
  </w:abstractNum>
  <w:abstractNum w:abstractNumId="146">
    <w:nsid w:val="424479DA"/>
    <w:multiLevelType w:val="hybridMultilevel"/>
    <w:lvl w:ilvl="0">
      <w:lvlJc w:val="left"/>
      <w:lvlText w:val="(%1)"/>
      <w:numFmt w:val="lowerLetter"/>
      <w:start w:val="1"/>
    </w:lvl>
    <w:lvl w:ilvl="1">
      <w:lvlJc w:val="left"/>
      <w:lvlText w:val="-"/>
      <w:numFmt w:val="bullet"/>
      <w:start w:val="1"/>
    </w:lvl>
  </w:abstractNum>
  <w:abstractNum w:abstractNumId="147">
    <w:nsid w:val="1A9A9E69"/>
    <w:multiLevelType w:val="hybridMultilevel"/>
    <w:lvl w:ilvl="0">
      <w:lvlJc w:val="left"/>
      <w:lvlText w:val="(%1)"/>
      <w:numFmt w:val="lowerLetter"/>
      <w:start w:val="3"/>
    </w:lvl>
  </w:abstractNum>
  <w:abstractNum w:abstractNumId="148">
    <w:nsid w:val="475E256A"/>
    <w:multiLevelType w:val="hybridMultilevel"/>
    <w:lvl w:ilvl="0">
      <w:lvlJc w:val="left"/>
      <w:lvlText w:val="(%1)"/>
      <w:numFmt w:val="lowerLetter"/>
      <w:start w:val="1"/>
    </w:lvl>
    <w:lvl w:ilvl="1">
      <w:lvlJc w:val="left"/>
      <w:lvlText w:val="-"/>
      <w:numFmt w:val="bullet"/>
      <w:start w:val="1"/>
    </w:lvl>
  </w:abstractNum>
  <w:abstractNum w:abstractNumId="149">
    <w:nsid w:val="368DB37E"/>
    <w:multiLevelType w:val="hybridMultilevel"/>
    <w:lvl w:ilvl="0">
      <w:lvlJc w:val="left"/>
      <w:lvlText w:val="(%1)"/>
      <w:numFmt w:val="lowerLetter"/>
      <w:start w:val="1"/>
    </w:lvl>
    <w:lvl w:ilvl="1">
      <w:lvlJc w:val="left"/>
      <w:lvlText w:val="-"/>
      <w:numFmt w:val="bullet"/>
      <w:start w:val="1"/>
    </w:lvl>
  </w:abstractNum>
  <w:abstractNum w:abstractNumId="150">
    <w:nsid w:val="6A3B714C"/>
    <w:multiLevelType w:val="hybridMultilevel"/>
    <w:lvl w:ilvl="0">
      <w:lvlJc w:val="left"/>
      <w:lvlText w:val="(%1)"/>
      <w:numFmt w:val="lowerLetter"/>
      <w:start w:val="3"/>
    </w:lvl>
  </w:abstractNum>
  <w:abstractNum w:abstractNumId="151">
    <w:nsid w:val="327B517E"/>
    <w:multiLevelType w:val="hybridMultilevel"/>
    <w:lvl w:ilvl="0">
      <w:lvlJc w:val="left"/>
      <w:lvlText w:val="(%1)"/>
      <w:numFmt w:val="lowerLetter"/>
      <w:start w:val="6"/>
    </w:lvl>
    <w:lvl w:ilvl="1">
      <w:lvlJc w:val="left"/>
      <w:lvlText w:val="-"/>
      <w:numFmt w:val="bullet"/>
      <w:start w:val="1"/>
    </w:lvl>
  </w:abstractNum>
  <w:abstractNum w:abstractNumId="152">
    <w:nsid w:val="1F461B51"/>
    <w:multiLevelType w:val="hybridMultilevel"/>
    <w:lvl w:ilvl="0">
      <w:lvlJc w:val="left"/>
      <w:lvlText w:val="§"/>
      <w:numFmt w:val="bullet"/>
      <w:start w:val="1"/>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153">
    <w:nsid w:val="29BACF25"/>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154">
    <w:nsid w:val="5D5BABB3"/>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155">
    <w:nsid w:val="51BF6B48"/>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56">
    <w:nsid w:val="7E0F6384"/>
    <w:multiLevelType w:val="hybridMultilevel"/>
    <w:lvl w:ilvl="0">
      <w:lvlJc w:val="left"/>
      <w:lvlText w:val="(%1)"/>
      <w:numFmt w:val="lowerLetter"/>
      <w:start w:val="16"/>
    </w:lvl>
    <w:lvl w:ilvl="1">
      <w:lvlJc w:val="left"/>
      <w:lvlText w:val="%2"/>
      <w:numFmt w:val="lowerRoman"/>
      <w:start w:val="1"/>
    </w:lvl>
    <w:lvl w:ilvl="2">
      <w:lvlJc w:val="left"/>
      <w:lvlText w:val="-"/>
      <w:numFmt w:val="bullet"/>
      <w:start w:val="1"/>
    </w:lvl>
  </w:abstractNum>
  <w:abstractNum w:abstractNumId="157">
    <w:nsid w:val="2B4B8B53"/>
    <w:multiLevelType w:val="hybridMultilevel"/>
    <w:lvl w:ilvl="0">
      <w:lvlJc w:val="left"/>
      <w:lvlText w:val="(%1)"/>
      <w:numFmt w:val="lowerLetter"/>
      <w:start w:val="20"/>
    </w:lvl>
  </w:abstractNum>
  <w:abstractNum w:abstractNumId="158">
    <w:nsid w:val="72E3413A"/>
    <w:multiLevelType w:val="hybridMultilevel"/>
    <w:lvl w:ilvl="0">
      <w:lvlJc w:val="left"/>
      <w:lvlText w:val="(%1)"/>
      <w:numFmt w:val="lowerLetter"/>
      <w:start w:val="1"/>
    </w:lvl>
    <w:lvl w:ilvl="1">
      <w:lvlJc w:val="left"/>
      <w:lvlText w:val="-"/>
      <w:numFmt w:val="bullet"/>
      <w:start w:val="1"/>
    </w:lvl>
  </w:abstractNum>
  <w:abstractNum w:abstractNumId="159">
    <w:nsid w:val="116AE494"/>
    <w:multiLevelType w:val="hybridMultilevel"/>
    <w:lvl w:ilvl="0">
      <w:lvlJc w:val="left"/>
      <w:lvlText w:val="(%1)"/>
      <w:numFmt w:val="lowerLetter"/>
      <w:start w:val="1"/>
    </w:lvl>
  </w:abstractNum>
  <w:abstractNum w:abstractNumId="160">
    <w:nsid w:val="3494B2FB"/>
    <w:multiLevelType w:val="hybridMultilevel"/>
    <w:lvl w:ilvl="0">
      <w:lvlJc w:val="left"/>
      <w:lvlText w:val="(%1)"/>
      <w:numFmt w:val="lowerLetter"/>
      <w:start w:val="1"/>
    </w:lvl>
    <w:lvl w:ilvl="1">
      <w:lvlJc w:val="left"/>
      <w:lvlText w:val="-"/>
      <w:numFmt w:val="bullet"/>
      <w:start w:val="1"/>
    </w:lvl>
  </w:abstractNum>
  <w:abstractNum w:abstractNumId="161">
    <w:nsid w:val="B13A31"/>
    <w:multiLevelType w:val="hybridMultilevel"/>
    <w:lvl w:ilvl="0">
      <w:lvlJc w:val="left"/>
      <w:lvlText w:val="(%1)"/>
      <w:numFmt w:val="lowerLetter"/>
      <w:start w:val="2"/>
    </w:lvl>
  </w:abstractNum>
  <w:abstractNum w:abstractNumId="162">
    <w:nsid w:val="64429599"/>
    <w:multiLevelType w:val="hybridMultilevel"/>
    <w:lvl w:ilvl="0">
      <w:lvlJc w:val="left"/>
      <w:lvlText w:val="%1"/>
      <w:numFmt w:val="lowerLetter"/>
      <w:start w:val="1"/>
    </w:lvl>
    <w:lvl w:ilvl="1">
      <w:lvlJc w:val="left"/>
      <w:lvlText w:val="(%2)"/>
      <w:numFmt w:val="lowerLetter"/>
      <w:start w:val="9"/>
    </w:lvl>
  </w:abstractNum>
  <w:abstractNum w:abstractNumId="163">
    <w:nsid w:val="631F1690"/>
    <w:multiLevelType w:val="hybridMultilevel"/>
    <w:lvl w:ilvl="0">
      <w:lvlJc w:val="left"/>
      <w:lvlText w:val="(%1)"/>
      <w:numFmt w:val="lowerLetter"/>
      <w:start w:val="6"/>
    </w:lvl>
    <w:lvl w:ilvl="1">
      <w:lvlJc w:val="left"/>
      <w:lvlText w:val="%2"/>
      <w:numFmt w:val="lowerLetter"/>
      <w:start w:val="1"/>
    </w:lvl>
  </w:abstractNum>
  <w:abstractNum w:abstractNumId="164">
    <w:nsid w:val="25973E32"/>
    <w:multiLevelType w:val="hybridMultilevel"/>
    <w:lvl w:ilvl="0">
      <w:lvlJc w:val="left"/>
      <w:lvlText w:val="(%1)"/>
      <w:numFmt w:val="lowerLetter"/>
      <w:start w:val="1"/>
    </w:lvl>
    <w:lvl w:ilvl="1">
      <w:lvlJc w:val="left"/>
      <w:lvlText w:val="-"/>
      <w:numFmt w:val="bullet"/>
      <w:start w:val="1"/>
    </w:lvl>
  </w:abstractNum>
  <w:abstractNum w:abstractNumId="165">
    <w:nsid w:val="EAD6F57"/>
    <w:multiLevelType w:val="hybridMultilevel"/>
    <w:lvl w:ilvl="0">
      <w:lvlJc w:val="left"/>
      <w:lvlText w:val="(%1)"/>
      <w:numFmt w:val="lowerLetter"/>
      <w:start w:val="3"/>
    </w:lvl>
  </w:abstractNum>
  <w:abstractNum w:abstractNumId="166">
    <w:nsid w:val="6EC9D84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7">
    <w:nsid w:val="5C49EAEE"/>
    <w:multiLevelType w:val="hybridMultilevel"/>
    <w:lvl w:ilvl="0">
      <w:lvlJc w:val="left"/>
      <w:lvlText w:val="(%1)"/>
      <w:numFmt w:val="lowerRoman"/>
      <w:start w:val="5"/>
    </w:lvl>
  </w:abstractNum>
  <w:abstractNum w:abstractNumId="168">
    <w:nsid w:val="64AF49B"/>
    <w:multiLevelType w:val="hybridMultilevel"/>
    <w:lvl w:ilvl="0">
      <w:lvlJc w:val="left"/>
      <w:lvlText w:val="(%1)"/>
      <w:numFmt w:val="lowerRoman"/>
      <w:start w:val="2"/>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1"/>
    </w:lvl>
  </w:abstractNum>
  <w:abstractNum w:abstractNumId="171">
    <w:nsid w:val="5A9CC3E5"/>
    <w:multiLevelType w:val="hybridMultilevel"/>
    <w:lvl w:ilvl="0">
      <w:lvlJc w:val="left"/>
      <w:lvlText w:val="(%1)"/>
      <w:numFmt w:val="lowerLetter"/>
      <w:start w:val="1"/>
    </w:lvl>
  </w:abstractNum>
  <w:abstractNum w:abstractNumId="172">
    <w:nsid w:val="1AFE3625"/>
    <w:multiLevelType w:val="hybridMultilevel"/>
    <w:lvl w:ilvl="0">
      <w:lvlJc w:val="left"/>
      <w:lvlText w:val="(%1)"/>
      <w:numFmt w:val="upperLetter"/>
      <w:start w:val="2"/>
    </w:lvl>
    <w:lvl w:ilvl="1">
      <w:lvlJc w:val="left"/>
      <w:lvlText w:val="-"/>
      <w:numFmt w:val="bullet"/>
      <w:start w:val="1"/>
    </w:lvl>
  </w:abstractNum>
  <w:abstractNum w:abstractNumId="173">
    <w:nsid w:val="3CA88ECF"/>
    <w:multiLevelType w:val="hybridMultilevel"/>
    <w:lvl w:ilvl="0">
      <w:lvlJc w:val="left"/>
      <w:lvlText w:val="(%1)"/>
      <w:numFmt w:val="lowerLetter"/>
      <w:start w:val="1"/>
    </w:lvl>
    <w:lvl w:ilvl="1">
      <w:lvlJc w:val="left"/>
      <w:lvlText w:val="-"/>
      <w:numFmt w:val="bullet"/>
      <w:start w:val="1"/>
    </w:lvl>
  </w:abstractNum>
  <w:abstractNum w:abstractNumId="174">
    <w:nsid w:val="6EBE4208"/>
    <w:multiLevelType w:val="hybridMultilevel"/>
    <w:lvl w:ilvl="0">
      <w:lvlJc w:val="left"/>
      <w:lvlText w:val="(%1)"/>
      <w:numFmt w:val="lowerLetter"/>
      <w:start w:val="5"/>
    </w:lvl>
    <w:lvl w:ilvl="1">
      <w:lvlJc w:val="left"/>
      <w:lvlText w:val="-"/>
      <w:numFmt w:val="bullet"/>
      <w:start w:val="1"/>
    </w:lvl>
  </w:abstractNum>
  <w:abstractNum w:abstractNumId="175">
    <w:nsid w:val="C058DF5"/>
    <w:multiLevelType w:val="hybridMultilevel"/>
    <w:lvl w:ilvl="0">
      <w:lvlJc w:val="left"/>
      <w:lvlText w:val="(%1)"/>
      <w:numFmt w:val="lowerLetter"/>
      <w:start w:val="61"/>
    </w:lvl>
  </w:abstractNum>
  <w:abstractNum w:abstractNumId="176">
    <w:nsid w:val="CBE5BE9"/>
    <w:multiLevelType w:val="hybridMultilevel"/>
    <w:lvl w:ilvl="0">
      <w:lvlJc w:val="left"/>
      <w:lvlText w:val="(%1)"/>
      <w:numFmt w:val="lowerLetter"/>
      <w:start w:val="5"/>
    </w:lvl>
  </w:abstractNum>
  <w:abstractNum w:abstractNumId="177">
    <w:nsid w:val="3102BBE2"/>
    <w:multiLevelType w:val="hybridMultilevel"/>
    <w:lvl w:ilvl="0">
      <w:lvlJc w:val="left"/>
      <w:lvlText w:val="(%1)"/>
      <w:numFmt w:val="lowerLetter"/>
      <w:start w:val="2"/>
    </w:lvl>
    <w:lvl w:ilvl="1">
      <w:lvlJc w:val="left"/>
      <w:lvlText w:val="-"/>
      <w:numFmt w:val="bullet"/>
      <w:start w:val="1"/>
    </w:lvl>
  </w:abstractNum>
  <w:abstractNum w:abstractNumId="178">
    <w:nsid w:val="26A02C5E"/>
    <w:multiLevelType w:val="hybridMultilevel"/>
    <w:lvl w:ilvl="0">
      <w:lvlJc w:val="left"/>
      <w:lvlText w:val="(%1)"/>
      <w:numFmt w:val="lowerLetter"/>
      <w:start w:val="3"/>
    </w:lvl>
  </w:abstractNum>
  <w:abstractNum w:abstractNumId="179">
    <w:nsid w:val="541C8153"/>
    <w:multiLevelType w:val="hybridMultilevel"/>
    <w:lvl w:ilvl="0">
      <w:lvlJc w:val="left"/>
      <w:lvlText w:val="."/>
      <w:numFmt w:val="bullet"/>
      <w:start w:val="1"/>
    </w:lvl>
  </w:abstractNum>
  <w:abstractNum w:abstractNumId="180">
    <w:nsid w:val="67906F60"/>
    <w:multiLevelType w:val="hybridMultilevel"/>
    <w:lvl w:ilvl="0">
      <w:lvlJc w:val="left"/>
      <w:lvlText w:val="(%1)"/>
      <w:numFmt w:val="lowerLetter"/>
      <w:start w:val="1"/>
    </w:lvl>
    <w:lvl w:ilvl="1">
      <w:lvlJc w:val="left"/>
      <w:lvlText w:val="-"/>
      <w:numFmt w:val="bullet"/>
      <w:start w:val="1"/>
    </w:lvl>
  </w:abstractNum>
  <w:abstractNum w:abstractNumId="181">
    <w:nsid w:val="10DB9DAA"/>
    <w:multiLevelType w:val="hybridMultilevel"/>
    <w:lvl w:ilvl="0">
      <w:lvlJc w:val="left"/>
      <w:lvlText w:val="(%1)"/>
      <w:numFmt w:val="lowerLetter"/>
      <w:start w:val="3"/>
    </w:lvl>
    <w:lvl w:ilvl="1">
      <w:lvlJc w:val="left"/>
      <w:lvlText w:val="-"/>
      <w:numFmt w:val="bullet"/>
      <w:start w:val="1"/>
    </w:lvl>
  </w:abstractNum>
  <w:abstractNum w:abstractNumId="182">
    <w:nsid w:val="697D2D2"/>
    <w:multiLevelType w:val="hybridMultilevel"/>
    <w:lvl w:ilvl="0">
      <w:lvlJc w:val="left"/>
      <w:lvlText w:val="(%1)"/>
      <w:numFmt w:val="lowerLetter"/>
      <w:start w:val="8"/>
    </w:lvl>
  </w:abstractNum>
  <w:abstractNum w:abstractNumId="183">
    <w:nsid w:val="6D68AB2"/>
    <w:multiLevelType w:val="hybridMultilevel"/>
    <w:lvl w:ilvl="0">
      <w:lvlJc w:val="left"/>
      <w:lvlText w:val="(%1)"/>
      <w:numFmt w:val="lowerLetter"/>
      <w:start w:val="1"/>
    </w:lvl>
    <w:lvl w:ilvl="1">
      <w:lvlJc w:val="left"/>
      <w:lvlText w:val="-"/>
      <w:numFmt w:val="bullet"/>
      <w:start w:val="1"/>
    </w:lvl>
  </w:abstractNum>
  <w:abstractNum w:abstractNumId="184">
    <w:nsid w:val="3A966CD0"/>
    <w:multiLevelType w:val="hybridMultilevel"/>
    <w:lvl w:ilvl="0">
      <w:lvlJc w:val="left"/>
      <w:lvlText w:val="(%1)"/>
      <w:numFmt w:val="lowerLetter"/>
      <w:start w:val="2"/>
    </w:lvl>
  </w:abstractNum>
  <w:abstractNum w:abstractNumId="185">
    <w:nsid w:val="63F37E85"/>
    <w:multiLevelType w:val="hybridMultilevel"/>
    <w:lvl w:ilvl="0">
      <w:lvlJc w:val="left"/>
      <w:lvlText w:val="(%1)"/>
      <w:numFmt w:val="lowerLetter"/>
      <w:start w:val="1"/>
    </w:lvl>
  </w:abstractNum>
  <w:abstractNum w:abstractNumId="186">
    <w:nsid w:val="5895F5FA"/>
    <w:multiLevelType w:val="hybridMultilevel"/>
    <w:lvl w:ilvl="0">
      <w:lvlJc w:val="left"/>
      <w:lvlText w:val="(%1)"/>
      <w:numFmt w:val="lowerLetter"/>
      <w:start w:val="1"/>
    </w:lvl>
    <w:lvl w:ilvl="1">
      <w:lvlJc w:val="left"/>
      <w:lvlText w:val="-"/>
      <w:numFmt w:val="bullet"/>
      <w:start w:val="1"/>
    </w:lvl>
  </w:abstractNum>
  <w:abstractNum w:abstractNumId="187">
    <w:nsid w:val="38A5D054"/>
    <w:multiLevelType w:val="hybridMultilevel"/>
    <w:lvl w:ilvl="0">
      <w:lvlJc w:val="left"/>
      <w:lvlText w:val="(%1)"/>
      <w:numFmt w:val="lowerLetter"/>
      <w:start w:val="1"/>
    </w:lvl>
  </w:abstractNum>
  <w:abstractNum w:abstractNumId="188">
    <w:nsid w:val="F3F09D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9">
    <w:nsid w:val="4B793735"/>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90">
    <w:nsid w:val="4A10B4E8"/>
    <w:multiLevelType w:val="hybridMultilevel"/>
    <w:lvl w:ilvl="0">
      <w:lvlJc w:val="left"/>
      <w:lvlText w:val="(%1)"/>
      <w:numFmt w:val="lowerLetter"/>
      <w:start w:val="1"/>
    </w:lvl>
    <w:lvl w:ilvl="1">
      <w:lvlJc w:val="left"/>
      <w:lvlText w:val="-"/>
      <w:numFmt w:val="bullet"/>
      <w:start w:val="1"/>
    </w:lvl>
  </w:abstractNum>
  <w:abstractNum w:abstractNumId="191">
    <w:nsid w:val="43D3BCD4"/>
    <w:multiLevelType w:val="hybridMultilevel"/>
    <w:lvl w:ilvl="0">
      <w:lvlJc w:val="left"/>
      <w:lvlText w:val="(%1)"/>
      <w:numFmt w:val="lowerLetter"/>
      <w:start w:val="1"/>
    </w:lvl>
  </w:abstractNum>
  <w:abstractNum w:abstractNumId="192">
    <w:nsid w:val="4C2A7166"/>
    <w:multiLevelType w:val="hybridMultilevel"/>
    <w:lvl w:ilvl="0">
      <w:lvlJc w:val="left"/>
      <w:lvlText w:val="(%1)"/>
      <w:numFmt w:val="lowerLetter"/>
      <w:start w:val="1"/>
    </w:lvl>
    <w:lvl w:ilvl="1">
      <w:lvlJc w:val="left"/>
      <w:lvlText w:val="-"/>
      <w:numFmt w:val="bullet"/>
      <w:start w:val="1"/>
    </w:lvl>
  </w:abstractNum>
  <w:abstractNum w:abstractNumId="193">
    <w:nsid w:val="2E534A82"/>
    <w:multiLevelType w:val="hybridMultilevel"/>
    <w:lvl w:ilvl="0">
      <w:lvlJc w:val="left"/>
      <w:lvlText w:val="(%1)"/>
      <w:numFmt w:val="lowerLetter"/>
      <w:start w:val="2"/>
    </w:lvl>
    <w:lvl w:ilvl="1">
      <w:lvlJc w:val="left"/>
      <w:lvlText w:val="(%2)"/>
      <w:numFmt w:val="lowerRoman"/>
      <w:start w:val="1"/>
    </w:lvl>
  </w:abstractNum>
  <w:abstractNum w:abstractNumId="194">
    <w:nsid w:val="26F2D364"/>
    <w:multiLevelType w:val="hybridMultilevel"/>
    <w:lvl w:ilvl="0">
      <w:lvlJc w:val="left"/>
      <w:lvlText w:val="(%1)"/>
      <w:numFmt w:val="lowerLetter"/>
      <w:start w:val="3"/>
    </w:lvl>
    <w:lvl w:ilvl="1">
      <w:lvlJc w:val="left"/>
      <w:lvlText w:val="-"/>
      <w:numFmt w:val="bullet"/>
      <w:start w:val="1"/>
    </w:lvl>
  </w:abstractNum>
  <w:abstractNum w:abstractNumId="195">
    <w:nsid w:val="71C1AF98"/>
    <w:multiLevelType w:val="hybridMultilevel"/>
    <w:lvl w:ilvl="0">
      <w:lvlJc w:val="left"/>
      <w:lvlText w:val="(%1)"/>
      <w:numFmt w:val="lowerLetter"/>
      <w:start w:val="5"/>
    </w:lvl>
  </w:abstractNum>
  <w:abstractNum w:abstractNumId="196">
    <w:nsid w:val="3D00B9D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7">
    <w:nsid w:val="15BCABA8"/>
    <w:multiLevelType w:val="hybridMultilevel"/>
    <w:lvl w:ilvl="0">
      <w:lvlJc w:val="left"/>
      <w:lvlText w:val="(%1)"/>
      <w:numFmt w:val="lowerRoman"/>
      <w:start w:val="2"/>
    </w:lvl>
  </w:abstractNum>
  <w:abstractNum w:abstractNumId="198">
    <w:nsid w:val="4E0B9A87"/>
    <w:multiLevelType w:val="hybridMultilevel"/>
    <w:lvl w:ilvl="0">
      <w:lvlJc w:val="left"/>
      <w:lvlText w:val="(%1)"/>
      <w:numFmt w:val="lowerLetter"/>
      <w:start w:val="1"/>
    </w:lvl>
  </w:abstractNum>
  <w:abstractNum w:abstractNumId="199">
    <w:nsid w:val="434BAE75"/>
    <w:multiLevelType w:val="hybridMultilevel"/>
    <w:lvl w:ilvl="0">
      <w:lvlJc w:val="left"/>
      <w:lvlText w:val="(%1)"/>
      <w:numFmt w:val="lowerLetter"/>
      <w:start w:val="3"/>
    </w:lvl>
    <w:lvl w:ilvl="1">
      <w:lvlJc w:val="left"/>
      <w:lvlText w:val="-"/>
      <w:numFmt w:val="bullet"/>
      <w:start w:val="1"/>
    </w:lvl>
  </w:abstractNum>
  <w:abstractNum w:abstractNumId="200">
    <w:nsid w:val="4F38F26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1">
    <w:nsid w:val="4C502870"/>
    <w:multiLevelType w:val="hybridMultilevel"/>
    <w:lvl w:ilvl="0">
      <w:lvlJc w:val="left"/>
      <w:lvlText w:val="(%1)"/>
      <w:numFmt w:val="lowerLetter"/>
      <w:start w:val="4"/>
    </w:lvl>
  </w:abstractNum>
  <w:abstractNum w:abstractNumId="202">
    <w:nsid w:val="1DE8725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3">
    <w:nsid w:val="6A37288A"/>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204">
    <w:nsid w:val="8F8B73F"/>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205">
    <w:nsid w:val="CA6B462"/>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206">
    <w:nsid w:val="763CB680"/>
    <w:multiLevelType w:val="hybridMultilevel"/>
    <w:lvl w:ilvl="0">
      <w:lvlJc w:val="left"/>
      <w:lvlText w:val="(%1)"/>
      <w:numFmt w:val="lowerLetter"/>
      <w:start w:val="1"/>
    </w:lvl>
  </w:abstractNum>
  <w:abstractNum w:abstractNumId="207">
    <w:nsid w:val="15B71329"/>
    <w:multiLevelType w:val="hybridMultilevel"/>
    <w:lvl w:ilvl="0">
      <w:lvlJc w:val="left"/>
      <w:lvlText w:val="(%1)"/>
      <w:numFmt w:val="lowerLetter"/>
      <w:start w:val="1"/>
    </w:lvl>
    <w:lvl w:ilvl="1">
      <w:lvlJc w:val="left"/>
      <w:lvlText w:val="(%2)"/>
      <w:numFmt w:val="lowerRoman"/>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2026-05-06T16:19:19Z</dcterms:created>
  <dcterms:modified xsi:type="dcterms:W3CDTF">2026-05-06T16:19:19Z</dcterms:modified>
</cp:coreProperties>
</file>