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21" w:lineRule="exact"/>
        <w:rPr>
          <w:sz w:val="24"/>
          <w:szCs w:val="24"/>
          <w:color w:val="auto"/>
        </w:rPr>
      </w:pPr>
    </w:p>
    <w:p>
      <w:pPr>
        <w:ind w:left="340" w:right="3320" w:hanging="332"/>
        <w:spacing w:after="0" w:line="270" w:lineRule="auto"/>
        <w:tabs>
          <w:tab w:leader="none" w:pos="20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2018.</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1" w:lineRule="exact"/>
        <w:rPr>
          <w:sz w:val="24"/>
          <w:szCs w:val="24"/>
          <w:color w:val="auto"/>
        </w:rPr>
      </w:pPr>
    </w:p>
    <w:p>
      <w:pPr>
        <w:ind w:left="340" w:right="2980" w:hanging="332"/>
        <w:spacing w:after="0" w:line="301" w:lineRule="auto"/>
        <w:tabs>
          <w:tab w:leader="none" w:pos="20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1-32639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TG THERAPEUTICS, INC.</w:t>
      </w: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05"/>
        </w:trPr>
        <w:tc>
          <w:tcPr>
            <w:tcW w:w="518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36-3898269</w:t>
            </w:r>
          </w:p>
        </w:tc>
      </w:tr>
      <w:tr>
        <w:trPr>
          <w:trHeight w:val="210"/>
        </w:trPr>
        <w:tc>
          <w:tcPr>
            <w:tcW w:w="5180" w:type="dxa"/>
            <w:vAlign w:val="bottom"/>
          </w:tcPr>
          <w:p>
            <w:pPr>
              <w:jc w:val="center"/>
              <w:ind w:right="121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4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95"/>
        </w:trPr>
        <w:tc>
          <w:tcPr>
            <w:tcW w:w="518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2 Gansevoort St., 9th Floor</w:t>
            </w:r>
          </w:p>
        </w:tc>
        <w:tc>
          <w:tcPr>
            <w:tcW w:w="3640" w:type="dxa"/>
            <w:vAlign w:val="bottom"/>
          </w:tcPr>
          <w:p>
            <w:pPr>
              <w:spacing w:after="0"/>
              <w:rPr>
                <w:sz w:val="24"/>
                <w:szCs w:val="24"/>
                <w:color w:val="auto"/>
              </w:rPr>
            </w:pPr>
          </w:p>
        </w:tc>
      </w:tr>
      <w:tr>
        <w:trPr>
          <w:trHeight w:val="205"/>
        </w:trPr>
        <w:tc>
          <w:tcPr>
            <w:tcW w:w="518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364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10014</w:t>
            </w:r>
          </w:p>
        </w:tc>
      </w:tr>
      <w:tr>
        <w:trPr>
          <w:trHeight w:val="210"/>
        </w:trPr>
        <w:tc>
          <w:tcPr>
            <w:tcW w:w="5180" w:type="dxa"/>
            <w:vAlign w:val="bottom"/>
          </w:tcPr>
          <w:p>
            <w:pPr>
              <w:jc w:val="center"/>
              <w:ind w:right="12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4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554-4484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420"/>
          </w:cols>
          <w:pgMar w:left="240" w:top="231" w:right="239" w:bottom="1440" w:gutter="0" w:footer="0" w:header="0"/>
        </w:sectPr>
      </w:pPr>
    </w:p>
    <w:p>
      <w:pPr>
        <w:spacing w:after="0" w:line="22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6"/>
          <w:szCs w:val="16"/>
          <w:color w:val="auto"/>
        </w:rPr>
        <w:t>Common Stock, Par Value $0.001 Per Share</w:t>
      </w:r>
    </w:p>
    <w:p>
      <w:pPr>
        <w:spacing w:after="0" w:line="2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26"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200" w:lineRule="exact"/>
        <w:rPr>
          <w:sz w:val="24"/>
          <w:szCs w:val="24"/>
          <w:color w:val="auto"/>
        </w:rPr>
      </w:pPr>
    </w:p>
    <w:p>
      <w:pPr>
        <w:sectPr>
          <w:pgSz w:w="11900" w:h="16838" w:orient="portrait"/>
          <w:cols w:equalWidth="0" w:num="2">
            <w:col w:w="6280" w:space="720"/>
            <w:col w:w="4420"/>
          </w:cols>
          <w:pgMar w:left="240" w:top="231" w:right="239" w:bottom="1440" w:gutter="0" w:footer="0" w:header="0"/>
          <w:type w:val="continuous"/>
        </w:sectPr>
      </w:pPr>
    </w:p>
    <w:p>
      <w:pPr>
        <w:spacing w:after="0" w:line="11" w:lineRule="exact"/>
        <w:rPr>
          <w:sz w:val="24"/>
          <w:szCs w:val="24"/>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r>
        <w:rPr>
          <w:sz w:val="20"/>
          <w:szCs w:val="20"/>
          <w:color w:val="auto"/>
        </w:rPr>
        <w:tab/>
      </w:r>
      <w:r>
        <w:rPr>
          <w:rFonts w:ascii="Times New Roman" w:cs="Times New Roman" w:eastAsia="Times New Roman" w:hAnsi="Times New Roman"/>
          <w:sz w:val="15"/>
          <w:szCs w:val="15"/>
          <w:color w:val="auto"/>
        </w:rPr>
        <w:t>None</w:t>
      </w:r>
    </w:p>
    <w:p>
      <w:pPr>
        <w:spacing w:after="0" w:line="197"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jc w:val="both"/>
        <w:ind w:right="160"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right="500"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if any,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7" w:lineRule="exact"/>
        <w:rPr>
          <w:sz w:val="24"/>
          <w:szCs w:val="24"/>
          <w:color w:val="auto"/>
        </w:rPr>
      </w:pPr>
    </w:p>
    <w:p>
      <w:pPr>
        <w:ind w:right="360"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77" w:lineRule="exact"/>
        <w:rPr>
          <w:sz w:val="24"/>
          <w:szCs w:val="24"/>
          <w:color w:val="auto"/>
        </w:rPr>
      </w:pPr>
    </w:p>
    <w:p>
      <w:pPr>
        <w:ind w:right="400"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1" w:right="239" w:bottom="1440" w:gutter="0" w:footer="0" w:header="0"/>
          <w:type w:val="continuous"/>
        </w:sectPr>
      </w:pPr>
    </w:p>
    <w:p>
      <w:pPr>
        <w:spacing w:after="0" w:line="13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ind w:left="68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740" w:space="720"/>
            <w:col w:w="1960"/>
          </w:cols>
          <w:pgMar w:left="240" w:top="231" w:right="239" w:bottom="1440" w:gutter="0" w:footer="0" w:header="0"/>
          <w:type w:val="continuous"/>
        </w:sectPr>
      </w:pPr>
    </w:p>
    <w:p>
      <w:pPr>
        <w:spacing w:after="0" w:line="3" w:lineRule="exact"/>
        <w:rPr>
          <w:sz w:val="24"/>
          <w:szCs w:val="24"/>
          <w:color w:val="auto"/>
        </w:rPr>
      </w:pPr>
    </w:p>
    <w:p>
      <w:pPr>
        <w:ind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1"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ind w:right="240" w:firstLine="648"/>
        <w:spacing w:after="0" w:line="281" w:lineRule="auto"/>
        <w:rPr>
          <w:sz w:val="20"/>
          <w:szCs w:val="20"/>
          <w:color w:val="auto"/>
        </w:rPr>
      </w:pPr>
      <w:r>
        <w:rPr>
          <w:rFonts w:ascii="Times New Roman" w:cs="Times New Roman" w:eastAsia="Times New Roman" w:hAnsi="Times New Roman"/>
          <w:sz w:val="16"/>
          <w:szCs w:val="16"/>
          <w:color w:val="auto"/>
        </w:rPr>
        <w:t>The aggregate market value of voting common stock held by non-affiliates of the registrant (assuming, for purposes of this calculation, without conceding, that all executive officers and directors are “affiliates”) was $917,401,544 as of June 30, 2018, based on the closing sale price of such stock as reported on the NASDAQ Capital Market.</w:t>
      </w:r>
    </w:p>
    <w:p>
      <w:pPr>
        <w:spacing w:after="0" w:line="16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There were 83,870,546 shares of the registrant’s common stock, $0.001 par value, outstanding as of February 15, 2019.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23" w:lineRule="exact"/>
        <w:rPr>
          <w:sz w:val="24"/>
          <w:szCs w:val="24"/>
          <w:color w:val="auto"/>
        </w:rPr>
      </w:pPr>
    </w:p>
    <w:p>
      <w:pPr>
        <w:ind w:right="100" w:firstLine="615"/>
        <w:spacing w:after="0" w:line="275" w:lineRule="auto"/>
        <w:rPr>
          <w:sz w:val="20"/>
          <w:szCs w:val="20"/>
          <w:color w:val="auto"/>
        </w:rPr>
      </w:pPr>
      <w:r>
        <w:rPr>
          <w:rFonts w:ascii="Times New Roman" w:cs="Times New Roman" w:eastAsia="Times New Roman" w:hAnsi="Times New Roman"/>
          <w:sz w:val="18"/>
          <w:szCs w:val="18"/>
          <w:color w:val="auto"/>
        </w:rPr>
        <w:t>Portions of the registrant’s Proxy Statement for the 2019 Annual Meeting of Stockholders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6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CAUTIONARY NOTICE REGARDING FORWARD-LOOKING STATEMENTS</w:t>
            </w:r>
          </w:p>
        </w:tc>
        <w:tc>
          <w:tcPr>
            <w:tcW w:w="14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Business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Risk Factors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Legal Proceedings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Mine Safety Disclosures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Selected Financial Data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7A</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9B</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Information</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Compensation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8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527"/>
        <w:spacing w:after="0" w:line="275" w:lineRule="auto"/>
        <w:rPr>
          <w:sz w:val="20"/>
          <w:szCs w:val="20"/>
          <w:color w:val="auto"/>
        </w:rPr>
      </w:pPr>
      <w:r>
        <w:rPr>
          <w:rFonts w:ascii="Times New Roman" w:cs="Times New Roman" w:eastAsia="Times New Roman" w:hAnsi="Times New Roman"/>
          <w:sz w:val="18"/>
          <w:szCs w:val="18"/>
          <w:color w:val="auto"/>
        </w:rPr>
        <w:t>This Annual Report on Form 10-K contains trademarks and trade names of TG Therapeutics, Inc., including our name and logo. All other trademarks, service marks, or trade names referenced in this Annual Report on Form 10-K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 w:name="page3"/>
    <w:bookmarkEnd w:id="2"/>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but are not limited to, statements about:</w:t>
      </w:r>
    </w:p>
    <w:p>
      <w:pPr>
        <w:spacing w:after="0" w:line="158" w:lineRule="exact"/>
        <w:rPr>
          <w:sz w:val="20"/>
          <w:szCs w:val="20"/>
          <w:color w:val="auto"/>
        </w:rPr>
      </w:pPr>
    </w:p>
    <w:p>
      <w:pPr>
        <w:ind w:left="1300" w:hanging="320"/>
        <w:spacing w:after="0" w:line="257"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 trials, including, without limitation, our on-going UNITY-CLL Phase 3 clinical trial, ULTIMATE MS I and II Phase 3 clinical trial and UNITY-NHL Phase 2b clinical trial</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drug candidates, if approved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candidates, if approved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drug candidates and technology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and technologies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enter into strategic arrangements, if desired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cash burn management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45" w:lineRule="exact"/>
        <w:rPr>
          <w:sz w:val="20"/>
          <w:szCs w:val="20"/>
          <w:color w:val="auto"/>
        </w:rPr>
      </w:pPr>
    </w:p>
    <w:p>
      <w:pPr>
        <w:ind w:right="40" w:firstLine="702"/>
        <w:spacing w:after="0" w:line="259"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25" w:lineRule="exact"/>
        <w:rPr>
          <w:sz w:val="20"/>
          <w:szCs w:val="20"/>
          <w:color w:val="auto"/>
        </w:rPr>
      </w:pPr>
    </w:p>
    <w:p>
      <w:pPr>
        <w:ind w:firstLine="648"/>
        <w:spacing w:after="0" w:line="310" w:lineRule="auto"/>
        <w:rPr>
          <w:sz w:val="20"/>
          <w:szCs w:val="20"/>
          <w:color w:val="auto"/>
        </w:rPr>
      </w:pPr>
      <w:r>
        <w:rPr>
          <w:rFonts w:ascii="Times New Roman" w:cs="Times New Roman" w:eastAsia="Times New Roman" w:hAnsi="Times New Roman"/>
          <w:sz w:val="16"/>
          <w:szCs w:val="16"/>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8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7" w:lineRule="exact"/>
        <w:rPr>
          <w:sz w:val="20"/>
          <w:szCs w:val="20"/>
          <w:color w:val="auto"/>
        </w:rPr>
      </w:pPr>
    </w:p>
    <w:p>
      <w:pPr>
        <w:ind w:right="20" w:firstLine="702"/>
        <w:spacing w:after="0" w:line="289" w:lineRule="auto"/>
        <w:rPr>
          <w:sz w:val="20"/>
          <w:szCs w:val="20"/>
          <w:color w:val="auto"/>
        </w:rPr>
      </w:pPr>
      <w:r>
        <w:rPr>
          <w:rFonts w:ascii="Times New Roman" w:cs="Times New Roman" w:eastAsia="Times New Roman" w:hAnsi="Times New Roman"/>
          <w:sz w:val="16"/>
          <w:szCs w:val="16"/>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w:t>
      </w:r>
    </w:p>
    <w:p>
      <w:pPr>
        <w:spacing w:after="0" w:line="167" w:lineRule="exact"/>
        <w:rPr>
          <w:sz w:val="20"/>
          <w:szCs w:val="20"/>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increases or decreases in expenses;</w:t>
      </w:r>
    </w:p>
    <w:p>
      <w:pPr>
        <w:spacing w:after="0" w:line="21" w:lineRule="exact"/>
        <w:rPr>
          <w:rFonts w:ascii="Times New Roman" w:cs="Times New Roman" w:eastAsia="Times New Roman" w:hAnsi="Times New Roman"/>
          <w:sz w:val="18"/>
          <w:szCs w:val="18"/>
          <w:color w:val="auto"/>
        </w:rPr>
      </w:pPr>
    </w:p>
    <w:p>
      <w:pPr>
        <w:ind w:left="720" w:hanging="224"/>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the clinical and pre-clinical development, manufacturing, regulatory approval, and commercialization of our pharmaceutical product candidates or any other products we may acquire or in-license;</w:t>
      </w: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clinical research centers and other contractors;</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as to the timing of commencing or completing pre-clinical and clinical trials and the expected outcomes of those trials;</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incurring capital expenditures to expand our research and development and manufacturing capabilities;</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generating revenue or becoming profitable on a sustained basis;</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or ability to enter into marketing and other partnership agreements;</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or ability to enter into product acquisition and in-licensing transactions;</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or ability to build our own commercial infrastructure to manufacture, market and sell our drug candidates;</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being accepted by doctors, patients or payors;</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against other companies and research institutions;</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secure adequate protection for our intellectual property;</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key personnel;</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w:t>
      </w:r>
    </w:p>
    <w:p>
      <w:pPr>
        <w:spacing w:after="0" w:line="9" w:lineRule="exact"/>
        <w:rPr>
          <w:rFonts w:ascii="Times New Roman" w:cs="Times New Roman" w:eastAsia="Times New Roman" w:hAnsi="Times New Roman"/>
          <w:sz w:val="18"/>
          <w:szCs w:val="18"/>
          <w:color w:val="auto"/>
        </w:rPr>
      </w:pPr>
    </w:p>
    <w:p>
      <w:pPr>
        <w:ind w:left="720" w:hanging="224"/>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sufficiency of our existing cash and cash equivalents and investments to finance our operating requirements, including expectations regarding the value and liquidity of our investments;</w:t>
      </w: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its volatility; and</w:t>
      </w:r>
    </w:p>
    <w:p>
      <w:pPr>
        <w:spacing w:after="0" w:line="9" w:lineRule="exact"/>
        <w:rPr>
          <w:rFonts w:ascii="Times New Roman" w:cs="Times New Roman" w:eastAsia="Times New Roman" w:hAnsi="Times New Roman"/>
          <w:sz w:val="18"/>
          <w:szCs w:val="18"/>
          <w:color w:val="auto"/>
        </w:rPr>
      </w:pPr>
    </w:p>
    <w:p>
      <w:pPr>
        <w:ind w:left="720" w:hanging="22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future capital requirements.</w:t>
      </w:r>
    </w:p>
    <w:p>
      <w:pPr>
        <w:spacing w:after="0" w:line="213"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2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 forward-looking statements contained in this report reflect our views and assumptions only as of the date this report is signed.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right="340" w:firstLine="648"/>
        <w:spacing w:after="0" w:line="277"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“TG,” “Company,” “we,” “us” and “our” refer to TG Therapeutics, Inc. and our subsidiaries.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dedicated to developing and delivering medicines for patients with B-cell mediated diseases, including Chronic Lymphocytic Leukemia (CLL), non-Hodgkin’s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NHL and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or "1303". Additionally, in early clinical development we have an anti-PD-L1 monoclonal antibody referred to as TG-1501, an oral Bruton’s Tyrosine Kinase (“BTK”) inhibitor referred to as TG-1701, and an anti-CD47/CD19 bispecific antibody referred to as TG-1801.</w:t>
      </w:r>
    </w:p>
    <w:p>
      <w:pPr>
        <w:spacing w:after="0" w:line="224"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Phase 3 or Registration Directed Clinical Trial Highlights:</w:t>
      </w:r>
    </w:p>
    <w:p>
      <w:pPr>
        <w:spacing w:after="0" w:line="225" w:lineRule="exact"/>
        <w:rPr>
          <w:sz w:val="20"/>
          <w:szCs w:val="20"/>
          <w:color w:val="auto"/>
        </w:rPr>
      </w:pPr>
    </w:p>
    <w:p>
      <w:pPr>
        <w:jc w:val="both"/>
        <w:ind w:left="340" w:hanging="332"/>
        <w:spacing w:after="0" w:line="25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Umbralisib Single Agent Cohorts of UNITY-NHL Phase 2b Trial: </w:t>
      </w:r>
      <w:r>
        <w:rPr>
          <w:rFonts w:ascii="Times New Roman" w:cs="Times New Roman" w:eastAsia="Times New Roman" w:hAnsi="Times New Roman"/>
          <w:sz w:val="18"/>
          <w:szCs w:val="18"/>
          <w:color w:val="auto"/>
        </w:rPr>
        <w:t>UNITY-NHL is a Phase 2b registration-directed clinical trial evaluating umbralisib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monotherapy and the U2 combination in previously treated patients with NHL. Currently the follicular lymphoma (FL)/ small lymphocytic leukemia (SLL) and marginal zone lymphoma (MZL) single agent umbralisib cohorts of this trial have been fully enrolled. In February 2019, we announced that the MZL cohort met the primary endpoint of Overall Response Rate (ORR) as determined by Independent Review Committee (IRC) for all treated patients (n=69). The results met the Company’s target guidance of 40-50% ORR. Interim safety and efficacy data from the MZL cohort will be presented in an oral presentation at the upcoming American Association for Cancer Research (AACR) annual meeting on April 1, 2019. Previously, in January 2019, the U.S. Food and Drug Administration (FDA) granted Breakthrough Therapy Designation for umbralisib for the treatment of adult patients with MZL who have received at least one prior anti-CD20 regimen, the same population currently being evaluated in the UNITY-NHL MZL cohort. We plan to discuss the results with the FDA regarding a potential new drug application (NDA) filing for accelerated approval. For the FL/SLL cohort, we are targeting topline data readout in second half-2019.</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97"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Umbralisib plus Ublituximab UNITY-CLL Phase 3 Trial: </w:t>
      </w:r>
      <w:r>
        <w:rPr>
          <w:rFonts w:ascii="Times New Roman" w:cs="Times New Roman" w:eastAsia="Times New Roman" w:hAnsi="Times New Roman"/>
          <w:sz w:val="16"/>
          <w:szCs w:val="16"/>
          <w:color w:val="auto"/>
        </w:rPr>
        <w:t>UNITY-CLL is a global Phase 3 randomized controlled clinical trial comparing the U2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to an active control arm of obinutuzumab plus chlorambucil in patients with both treatment naïve and relapsed or refractory CLL. The primary endpoint for this study is to demonstrate superiority in Progression Free Survival (PFS) for the U2 combination over the control arm to support the submission for full approval of the U2 combination in CLL. We cannot predict precisely when the PFS readout will occur, however our current estimate is PFS readout may be available by year-end 2019 or first half 2020. This trial is being conducted under Special Protocol Assessment (SPA) with FDA.</w:t>
      </w:r>
    </w:p>
    <w:p>
      <w:pPr>
        <w:spacing w:after="0" w:line="158" w:lineRule="exact"/>
        <w:rPr>
          <w:rFonts w:ascii="Times New Roman" w:cs="Times New Roman" w:eastAsia="Times New Roman" w:hAnsi="Times New Roman"/>
          <w:sz w:val="16"/>
          <w:szCs w:val="16"/>
          <w:color w:val="auto"/>
        </w:rPr>
      </w:pPr>
    </w:p>
    <w:p>
      <w:pPr>
        <w:jc w:val="both"/>
        <w:ind w:left="340" w:hanging="332"/>
        <w:spacing w:after="0" w:line="25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Ublituximab Single Agent ULTIMATE I &amp; II Trials: </w:t>
      </w:r>
      <w:r>
        <w:rPr>
          <w:rFonts w:ascii="Times New Roman" w:cs="Times New Roman" w:eastAsia="Times New Roman" w:hAnsi="Times New Roman"/>
          <w:sz w:val="18"/>
          <w:szCs w:val="18"/>
          <w:color w:val="auto"/>
        </w:rPr>
        <w:t>ULTIMATE I and ULTIMATE II are two independent Phase 3 trials. Each trial is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randomized, multi-center, double-blinded, double-dummy, active-controlled study comparing ublituximab to teriflunomide in subjects with relapsing forms of Multiple Sclerosis (RMS). The primary endpoint for each study is Annualized Relapse Rate (ARR) following 96 weeks of treatment over the control arm to support the submission for full approval of ublituximab in RMS. We are targeting topline data from this trial in mid-2020. These trials are being conducted under an SPA with the FDA.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ind w:right="540" w:firstLine="648"/>
        <w:spacing w:after="0" w:line="275" w:lineRule="auto"/>
        <w:rPr>
          <w:sz w:val="20"/>
          <w:szCs w:val="20"/>
          <w:color w:val="auto"/>
        </w:rPr>
      </w:pPr>
      <w:r>
        <w:rPr>
          <w:rFonts w:ascii="Times New Roman" w:cs="Times New Roman" w:eastAsia="Times New Roman" w:hAnsi="Times New Roman"/>
          <w:sz w:val="18"/>
          <w:szCs w:val="18"/>
          <w:color w:val="auto"/>
        </w:rPr>
        <w:t>We were incorporated in Delaware in 1993. Our executive offices are located at 2 Gansevoort Street, 9th Floor, New York, New York 10014. Our telephone number is 1-212-554-4484, and our e-mail address is info@tgtxinc.com.</w:t>
      </w:r>
    </w:p>
    <w:p>
      <w:pPr>
        <w:spacing w:after="0" w:line="174" w:lineRule="exact"/>
        <w:rPr>
          <w:sz w:val="20"/>
          <w:szCs w:val="20"/>
          <w:color w:val="auto"/>
        </w:rPr>
      </w:pPr>
    </w:p>
    <w:p>
      <w:pPr>
        <w:ind w:right="20" w:firstLine="648"/>
        <w:spacing w:after="0" w:line="291" w:lineRule="auto"/>
        <w:rPr>
          <w:sz w:val="20"/>
          <w:szCs w:val="20"/>
          <w:color w:val="auto"/>
        </w:rPr>
      </w:pPr>
      <w:r>
        <w:rPr>
          <w:rFonts w:ascii="Times New Roman" w:cs="Times New Roman" w:eastAsia="Times New Roman" w:hAnsi="Times New Roman"/>
          <w:sz w:val="16"/>
          <w:szCs w:val="16"/>
          <w:color w:val="auto"/>
        </w:rPr>
        <w:t xml:space="preserve">We maintain a website with the address </w:t>
      </w:r>
      <w:r>
        <w:rPr>
          <w:rFonts w:ascii="Times New Roman" w:cs="Times New Roman" w:eastAsia="Times New Roman" w:hAnsi="Times New Roman"/>
          <w:sz w:val="16"/>
          <w:szCs w:val="16"/>
          <w:u w:val="single" w:color="auto"/>
          <w:color w:val="0000FF"/>
        </w:rPr>
        <w:t>www.tgtherapeutics.com</w:t>
      </w:r>
      <w:r>
        <w:rPr>
          <w:rFonts w:ascii="Times New Roman" w:cs="Times New Roman" w:eastAsia="Times New Roman" w:hAnsi="Times New Roman"/>
          <w:sz w:val="16"/>
          <w:szCs w:val="16"/>
          <w:color w:val="auto"/>
        </w:rPr>
        <w:t xml:space="preserve"> and maintain a twitter account. We make available free of charge through our corporate website our annual reports on Form 10-K, quarterly reports on Form 10-Q and current reports on Form 8-K, as well as any amendments to these reports, as soon as reasonably practicable after we electronically file such material with, or furnish such material to, the SEC. We are not including the information on our website or our twitter account as a part of, nor incorporating either by reference into, this report. You may read and copy any such reports and amendments thereto at the SEC’s Public Reference Room at 100 F Street, N.E., Washington, D.C. 20549 on official business days during the hours of 10:00 a.m. to 3:00 p.m. Please call the SEC at 1-800-SEC-0330 for information on the Public Reference Room. Additionally, the SEC maintains a website that contains annual, quarterly, and current reports, proxy statements, and other information that issuers (including us) file electronically with the SEC. The SEC’s website address is </w:t>
      </w:r>
      <w:r>
        <w:rPr>
          <w:rFonts w:ascii="Times New Roman" w:cs="Times New Roman" w:eastAsia="Times New Roman" w:hAnsi="Times New Roman"/>
          <w:sz w:val="16"/>
          <w:szCs w:val="16"/>
          <w:u w:val="single" w:color="auto"/>
          <w:color w:val="0563C1"/>
        </w:rPr>
        <w:t>http://www.sec.gov</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intend to use our corporate website, SEC filings, press releases, public conference calls and webcasts as well as social media to communicate with our subscribers and the public about the Company, its services and other issues. It is possible that the information we post on social media could be deemed to be material information. Therefore, in light of the SEC’s guidance, we encourage investors, the media and others interested in the Company to review the information we post on the U.S. social media channels listed on our website.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0" w:lineRule="exact"/>
        <w:rPr>
          <w:sz w:val="20"/>
          <w:szCs w:val="20"/>
          <w:color w:val="auto"/>
        </w:rPr>
      </w:pPr>
    </w:p>
    <w:p>
      <w:pPr>
        <w:ind w:right="540" w:firstLine="648"/>
        <w:spacing w:after="0" w:line="275" w:lineRule="auto"/>
        <w:rPr>
          <w:sz w:val="20"/>
          <w:szCs w:val="20"/>
          <w:color w:val="auto"/>
        </w:rPr>
      </w:pPr>
      <w:r>
        <w:rPr>
          <w:rFonts w:ascii="Times New Roman" w:cs="Times New Roman" w:eastAsia="Times New Roman" w:hAnsi="Times New Roman"/>
          <w:sz w:val="18"/>
          <w:szCs w:val="18"/>
          <w:color w:val="auto"/>
        </w:rPr>
        <w:t>Our goal is to become a fully-integrated, B-cell targeted biopharmaceutical company capable of delivering multi-drug combination treatments for patients with diseases resulting from cancerous or aberrant B-cells. The key tenets of our strategy include the following:</w:t>
      </w:r>
    </w:p>
    <w:p>
      <w:pPr>
        <w:spacing w:after="0" w:line="106" w:lineRule="exact"/>
        <w:rPr>
          <w:sz w:val="20"/>
          <w:szCs w:val="20"/>
          <w:color w:val="auto"/>
        </w:rPr>
      </w:pPr>
    </w:p>
    <w:p>
      <w:pPr>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our current Phase 3 and registration-directed trials for umbralisib and ublituximab, including, UNITY-CLL, UNITY-NHL, and the ULTIMATE Phase 3 Program in 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gaining regulatory approval for umbralisib in NHL, umbralisib plus ublituximab (“U2”) in CLL, and ublituximab in MS;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and effectively prepare for commercial launch and build commercial capability to ensure, when approved, broad access to patients for the approved indications for umbralisib and ublituximab;</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add ublituximab to umbralisib in NHL to advance U2 in NHL;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TG-1501, TG-1701, and TG-1801 through clinical development and define potential regulatory paths for these drug candidates both as single agents and in combination with umbralisib, ublituximab, and/or U2;</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upon the MS program to expand ublituximab into additional MS indications and other autoimmune diseases;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pipeline with mechanisms of importance to B-cell mediated diseases;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potential strategic collaborations to maximize the value of our programs and B-cell directed platform;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“patient first” culture as we grow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and Platform</w:t>
      </w:r>
    </w:p>
    <w:p>
      <w:pPr>
        <w:spacing w:after="0" w:line="160"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approach is to systematically identify targets that have proven activity in the treatment of B-cell diseases. Our preference is to identify targets for which there is human clinical proof of concept that the mechanism is active in B-cell diseases and then to identify drug candidates that effectively modulate the desired molecular target. We identify these drug candidates at academic centers of excellence or in development at biotech companies or pharmaceutical companies globally. Our current drug candidates were acquired through license agreements, collaborations, or joint ventures with biopharmaceutical companies located in the US, France, Switzerland, India, and China. This approach enables us to minimize target risk while looking for the best available drug candidates around the world. By focusing on B-cell diseases and targets </w:t>
      </w:r>
      <w:r>
        <w:rPr>
          <w:rFonts w:ascii="Times New Roman" w:cs="Times New Roman" w:eastAsia="Times New Roman" w:hAnsi="Times New Roman"/>
          <w:sz w:val="20"/>
          <w:szCs w:val="20"/>
          <w:color w:val="auto"/>
        </w:rPr>
        <w:t>with</w:t>
      </w:r>
      <w:r>
        <w:rPr>
          <w:rFonts w:ascii="Times New Roman" w:cs="Times New Roman" w:eastAsia="Times New Roman" w:hAnsi="Times New Roman"/>
          <w:sz w:val="18"/>
          <w:szCs w:val="18"/>
          <w:color w:val="auto"/>
        </w:rPr>
        <w:t xml:space="preserve"> a known activity profile, we believe that we can quickly identify the patients most likely to respond, resulting in a more efficient development path with a greater likelihood of success. Importantly, since all our drug candidates are focused in one disease area, we can rapidly explore combination therapies, which we believe is essential to providing best outcomes for patients and holds the key to identifying cures for patients with B-cell diseases.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approach is enabled by our clinical development platform which includes:</w:t>
      </w:r>
    </w:p>
    <w:p>
      <w:pPr>
        <w:spacing w:after="0" w:line="15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team with a deep understanding of B-cell diseases and the treatment of patients; and</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external clinical trials network composed of over 200 community and academic clinical trial sites globally, specializing in B-cell diseases.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B-CELL DISEASES OVERVIEW</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B-cell mediated diseases comprise a constellation of disorders that result from cancerous B-cells or aberrant B-cells. In the case of cancerous B-cells, the most common forms of B-cell cancers or B-cell malignancies are non-Hodgkin’s Lymphoma (NHL) and Chronic Lymphocytic Leukemia (CLL). In the case of aberrant B-cells, many autoimmune diseases are believed to result from aberrant B-cell activity, including, Multiple Sclerosis (MS), Rheumatoid Arthritis (RA), and Lupus.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current clinical programs are focused on CLL, MZL, FL, and RMS.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Marginal Zone Lymphoma Overview</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MZL comprises a group of indolent (slow growing) B-cell non-Hodgkin lymphomas (NHLs) that begin forming in the marginal zone of lymphoid tissue. With an annual incidence of approximately 7,500 newly diagnosed patients in the United States, MZL is the third most common B-cell NHL, accounting for approximately eight percent of all NHL cases. MZL consists of three different subtypes: extranodal MZL of the mucosal-associated lymphoid tissue (MALT), nodal marginal zone lymphoma (NMZL), and splenic marginal zone lymphoma (SMZL).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Follicular Lymphoma Overview</w:t>
      </w:r>
    </w:p>
    <w:p>
      <w:pPr>
        <w:spacing w:after="0" w:line="22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FL is typically a slow-growing or indolent form of NHL which accounts for 20 to 30 percent of all NHL cases, with a prevalence of approximately 245,000 and an incidence of approximately 31,000 in the US, Japan, and 5 major EU markets. FL is usually not considered to be curable, but more of a chronic disease, with patients living for many years.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Chronic Lymphocytic Leukemia Overview</w:t>
      </w:r>
    </w:p>
    <w:p>
      <w:pPr>
        <w:spacing w:after="0" w:line="22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CLL is the most common type of adult leukemia, and in 2019, it is estimated there will be more than 20,000 new cases of CLL diagnosed in the United States. Although signs of CLL may disappear for a period of time after initial treatment, the disease is considered incurable and many people will require additional treatment due to the return of cancerous cells.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Relapsing Forms of Multiple Sclerosis Overview</w:t>
      </w:r>
    </w:p>
    <w:p>
      <w:pPr>
        <w:spacing w:after="0" w:line="227" w:lineRule="exact"/>
        <w:rPr>
          <w:sz w:val="20"/>
          <w:szCs w:val="20"/>
          <w:color w:val="auto"/>
        </w:rPr>
      </w:pPr>
    </w:p>
    <w:p>
      <w:pPr>
        <w:ind w:right="20" w:firstLine="486"/>
        <w:spacing w:after="0" w:line="296" w:lineRule="auto"/>
        <w:rPr>
          <w:sz w:val="20"/>
          <w:szCs w:val="20"/>
          <w:color w:val="auto"/>
        </w:rPr>
      </w:pPr>
      <w:r>
        <w:rPr>
          <w:rFonts w:ascii="Times New Roman" w:cs="Times New Roman" w:eastAsia="Times New Roman" w:hAnsi="Times New Roman"/>
          <w:sz w:val="16"/>
          <w:szCs w:val="16"/>
          <w:color w:val="auto"/>
        </w:rPr>
        <w:t>Relapsing forms of multiple sclerosis (RMS), a chronic demyelinating disease of the central nervous system (CNS) include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1,000,000 people are living with MS in the United States and approximately 85 percent are initially diagnosed with RRMS. The majority of people who are diagnosed with RRMS will eventually transition to SPMS, in which they experience steadily worsening disability over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UNDER DEVELOPMENT</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have leveraged our B-cell platform to develop a robust drug pipeline of both targeted orally available, potent and selective small molecule kinase inhibitors and intravenously delivered “off-the-shelf” immunotherapies that leverage the patient’s own immune system to fight cancer. We currently own worldwide development and commercial rights, subject to certain limited geographical restrictions, to all of our pre-clinical and clinical programs. The following table summarizes our most advanced drug candidates as of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74295</wp:posOffset>
            </wp:positionV>
            <wp:extent cx="220345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3450" cy="325755"/>
                    </a:xfrm>
                    <a:prstGeom prst="rect">
                      <a:avLst/>
                    </a:prstGeom>
                    <a:noFill/>
                  </pic:spPr>
                </pic:pic>
              </a:graphicData>
            </a:graphic>
          </wp:anchor>
        </w:drawing>
      </w:r>
    </w:p>
    <w:p>
      <w:pPr>
        <w:spacing w:after="0" w:line="97" w:lineRule="exact"/>
        <w:rPr>
          <w:sz w:val="20"/>
          <w:szCs w:val="20"/>
          <w:color w:val="auto"/>
        </w:rPr>
      </w:pPr>
    </w:p>
    <w:tbl>
      <w:tblPr>
        <w:tblLayout w:type="fixed"/>
        <w:tblInd w:w="590" w:type="dxa"/>
        <w:tblCellMar>
          <w:top w:w="0" w:type="dxa"/>
          <w:left w:w="0" w:type="dxa"/>
          <w:bottom w:w="0" w:type="dxa"/>
          <w:right w:w="0" w:type="dxa"/>
        </w:tblCellMar>
      </w:tblPr>
      <w:tr>
        <w:trPr>
          <w:trHeight w:val="215"/>
        </w:trPr>
        <w:tc>
          <w:tcPr>
            <w:tcW w:w="34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Clinical Drug Candidate</w:t>
            </w: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Target Disease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Stage of Development</w:t>
            </w:r>
          </w:p>
        </w:tc>
      </w:tr>
      <w:tr>
        <w:trPr>
          <w:trHeight w:val="237"/>
        </w:trPr>
        <w:tc>
          <w:tcPr>
            <w:tcW w:w="344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(molecular target)</w:t>
            </w:r>
          </w:p>
        </w:tc>
        <w:tc>
          <w:tcPr>
            <w:tcW w:w="34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(pivotal study)</w:t>
            </w:r>
          </w:p>
        </w:tc>
      </w:tr>
      <w:tr>
        <w:trPr>
          <w:trHeight w:val="223"/>
        </w:trPr>
        <w:tc>
          <w:tcPr>
            <w:tcW w:w="34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Ublituximab (anti-CD20/mAb)</w:t>
            </w:r>
          </w:p>
        </w:tc>
        <w:tc>
          <w:tcPr>
            <w:tcW w:w="34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Chronic Lymphocytic Leukemia</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3 trial (UNITY-CLL)</w:t>
            </w:r>
          </w:p>
        </w:tc>
      </w:tr>
      <w:tr>
        <w:trPr>
          <w:trHeight w:val="223"/>
        </w:trPr>
        <w:tc>
          <w:tcPr>
            <w:tcW w:w="680" w:type="dxa"/>
            <w:vAlign w:val="bottom"/>
            <w:tcBorders>
              <w:lef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Multiple Sclerosis</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3 trials (ULTIMATE I and II)</w:t>
            </w: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23"/>
        </w:trPr>
        <w:tc>
          <w:tcPr>
            <w:tcW w:w="344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Umbralisib (PI3K delta inhibitor)</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Chronic Lymphocytic Leukemia</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3 trial (UNITY-CLL)</w:t>
            </w:r>
          </w:p>
        </w:tc>
      </w:tr>
      <w:tr>
        <w:trPr>
          <w:trHeight w:val="223"/>
        </w:trPr>
        <w:tc>
          <w:tcPr>
            <w:tcW w:w="680" w:type="dxa"/>
            <w:vAlign w:val="bottom"/>
            <w:tcBorders>
              <w:lef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Marginal Zone Lymphoma</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2b trial (UNITY-NHL)</w:t>
            </w: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Follicular Lymphoma</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2b trial (UNITY-NHL)</w:t>
            </w:r>
          </w:p>
        </w:tc>
      </w:tr>
      <w:tr>
        <w:trPr>
          <w:trHeight w:val="223"/>
        </w:trPr>
        <w:tc>
          <w:tcPr>
            <w:tcW w:w="6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TG-1501</w:t>
            </w:r>
          </w:p>
        </w:tc>
        <w:tc>
          <w:tcPr>
            <w:tcW w:w="2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(anti-PDL1)</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Cancers</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228"/>
        </w:trPr>
        <w:tc>
          <w:tcPr>
            <w:tcW w:w="6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TG-1701</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(BTK inhibitor)</w:t>
            </w:r>
          </w:p>
        </w:tc>
        <w:tc>
          <w:tcPr>
            <w:tcW w:w="3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Cancers</w:t>
            </w:r>
          </w:p>
        </w:tc>
        <w:tc>
          <w:tcPr>
            <w:tcW w:w="3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211"/>
        </w:trPr>
        <w:tc>
          <w:tcPr>
            <w:tcW w:w="680" w:type="dxa"/>
            <w:vAlign w:val="bottom"/>
            <w:tcBorders>
              <w:left w:val="single" w:sz="8" w:color="auto"/>
              <w:bottom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r>
      <w:tr>
        <w:trPr>
          <w:trHeight w:val="223"/>
        </w:trPr>
        <w:tc>
          <w:tcPr>
            <w:tcW w:w="6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TG-1801</w:t>
            </w:r>
          </w:p>
        </w:tc>
        <w:tc>
          <w:tcPr>
            <w:tcW w:w="2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(anti-CD47/CD19)</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Cancers</w:t>
            </w:r>
          </w:p>
        </w:tc>
        <w:tc>
          <w:tcPr>
            <w:tcW w:w="3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Ublituximab Overview</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Ublituximab (also referred to as TG-1101) is a glycoengineered anti-CD20 monoclonal antibody that targets a unique epitope on the CD20 antigen found on the surface of B-lymphocytes. We hold exclusive worldwide rights to develop and commercialize ublituximab for all indications, except for the territories of France and Belgium for which an option to commercialize has been retained by LFB Biotechnologies, and South Korea and Southeast Asia which were licensed by us to Ildong Pharmaceutical Ltd in November 2012.</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Generally, anti-CD20 antibodies are believed to exert their B-cell depleting effects through three primary mechanisms: antibody dependent cell-mediated cytotoxicity (ADCC), complement dependent cytotoxicity (CDC), and direct or programmed cell death (DCD or PCD). Ublituximab has been specifically glycoengineered to enhance ADCC activity, which should enhance its ability to deplete B-cells and may improve its anti-cancer effects when compared to rituximab the leading anti-CD20 monoclonal antibody, which had worldwide sales in 2018 of approximately $7 billion.</w:t>
      </w:r>
    </w:p>
    <w:p>
      <w:pPr>
        <w:spacing w:after="0" w:line="19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ADCC is a mechanism that is dependent on interactions between the Fc region of the antibody and the FccR receptors on immune system effector cells, most notably the Fc−gammaR (CD16) receptor found on NK cells. These interactions trigger cells to release cytotoxic molecules and proteases resulting in B-cell death. Ublituximab is a next generation, type I chimeric IgG1 monoclonal antibody with a glycoengineered Fc region designed specifically to induce higher ADCC activity in comparison to rituximab. In pre-clinical (non-human) experiments, ublituximab has demonstrated an ability to enhance ADCC by &gt;50x over rituximab, resulting in enhanced potency.</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Umbralisib Overview</w:t>
      </w:r>
    </w:p>
    <w:p>
      <w:pPr>
        <w:spacing w:after="0" w:line="227" w:lineRule="exact"/>
        <w:rPr>
          <w:sz w:val="20"/>
          <w:szCs w:val="20"/>
          <w:color w:val="auto"/>
        </w:rPr>
      </w:pPr>
    </w:p>
    <w:p>
      <w:pPr>
        <w:ind w:right="40" w:firstLine="648"/>
        <w:spacing w:after="0" w:line="293" w:lineRule="auto"/>
        <w:rPr>
          <w:sz w:val="20"/>
          <w:szCs w:val="20"/>
          <w:color w:val="auto"/>
        </w:rPr>
      </w:pPr>
      <w:r>
        <w:rPr>
          <w:rFonts w:ascii="Times New Roman" w:cs="Times New Roman" w:eastAsia="Times New Roman" w:hAnsi="Times New Roman"/>
          <w:sz w:val="16"/>
          <w:szCs w:val="16"/>
          <w:color w:val="auto"/>
        </w:rPr>
        <w:t xml:space="preserve">Umbralisib (also referred to as TGR-1202) is an oral, once daily inhibitor of PI3K delta inhibitor with nanomolar potency to the delta isoform and high selectivity over the alpha, beta, and gamma isoforms. Umbralisib also uniquely inhibits CK1-epsilon, which may allow it to overcome certain tolerability issues associated with first generation PI3K-delta inhibitors. Umbralisib has demonstrated activity in preclinical models of hematologic malignancies and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on primary cells from patients with hematologic malignancies. 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 w:name="page8"/>
    <w:bookmarkEnd w:id="7"/>
    <w:p>
      <w:pPr>
        <w:ind w:right="20" w:firstLine="658"/>
        <w:spacing w:after="0" w:line="254" w:lineRule="auto"/>
        <w:rPr>
          <w:sz w:val="20"/>
          <w:szCs w:val="20"/>
          <w:color w:val="auto"/>
        </w:rPr>
      </w:pPr>
      <w:r>
        <w:rPr>
          <w:rFonts w:ascii="Times New Roman" w:cs="Times New Roman" w:eastAsia="Times New Roman" w:hAnsi="Times New Roman"/>
          <w:sz w:val="18"/>
          <w:szCs w:val="18"/>
          <w:color w:val="auto"/>
        </w:rPr>
        <w:t>Additionally, in October 2016, a manuscript titled, "Silencing c-Myc Translation as a Therapeutic Strategy through Targeting PI3K Delta and CK1 Epsilon in Hematological Malignancies," was published online in the First Edition section of Blood, the Journal of the American Society of Hematology. The publication presents preclinical data describing the synergy of umbralisib with the proteasome inhibitor carfilzomib and the unique effects of the combination to silence c-Myc in various preclinical lymphoma and myeloma models. Importantly, the manuscript for the first time reports on umbralisib’s unique complimentary mechanism of inhibiting the protein kinase casein kinase-1 epsilon (CK1e), which may contribute to what we believe is a differentiated safety profile of umbralisib over first generation PI3K delta inhibitors by supporting T regulatory cells, a part of the immune system necessary to protect against autoimmune mediated toxicities.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 Clinical Development of Ublituximab and Umbralisib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Single Agent Ublituximab (TG-1101) in Relapsed/Refractory NHL &amp; CLL</w:t>
      </w:r>
    </w:p>
    <w:p>
      <w:pPr>
        <w:spacing w:after="0" w:line="2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Two single-agent, dose-escalation, Phase I studies were undertaken with ublituximab to establish an optimal dose in patients with NHL and CLL. The first was a two part first-in-human Phase I clinical trial completed in France in which ublituximab was evaluated in relapsed or refractory CLL. In 2012 a second single-agent Phase I study was undertaken in the US entitled "An Open Label Phase I/II Trial of the Efficacy and Safety of TG-1101 in Patients with B-cell Non-Hodgkin’s Lymphoma who have Relapsed or are Refractory After CD20 Directed Antibody Therapy." In July 2014, this trial completed enrollment of 35 patients, of which 12 patients were included in the dose escalation component and 23 patients in various expansion cohorts. All enrolled patients were relapsed or refractory to rituximab or a rituximab containing regimen, and in most cases multiple other lines of therapy. Dr. Owen O'Connor, Professor of Medicine and Director, Center for Lymphoid Malignancies at New York Presbyterian Columbia Medical Center was the Principal Investigator for the multi-center study. Data from this study was published in full in the </w:t>
      </w:r>
      <w:r>
        <w:rPr>
          <w:rFonts w:ascii="Times New Roman" w:cs="Times New Roman" w:eastAsia="Times New Roman" w:hAnsi="Times New Roman"/>
          <w:sz w:val="18"/>
          <w:szCs w:val="18"/>
          <w:i w:val="1"/>
          <w:iCs w:val="1"/>
          <w:color w:val="auto"/>
        </w:rPr>
        <w:t>British Journal of Haematology</w:t>
      </w:r>
      <w:r>
        <w:rPr>
          <w:rFonts w:ascii="Times New Roman" w:cs="Times New Roman" w:eastAsia="Times New Roman" w:hAnsi="Times New Roman"/>
          <w:sz w:val="18"/>
          <w:szCs w:val="18"/>
          <w:color w:val="auto"/>
        </w:rPr>
        <w:t xml:space="preserve"> in February 2017. In both Phase 1 studies, single agent ublituximab was deemed well tolerated by treating investigators and displayed promising clinical activity in relapsed and refractory patients.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Single Agent Ublituximab (TG-1101) in Relapsing Forms of Multiple Sclerosis</w:t>
      </w:r>
    </w:p>
    <w:p>
      <w:pPr>
        <w:spacing w:after="0" w:line="22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May 2016, we commenced our first study of ublituximab in patients with relapsing forms of multiple sclerosis (RMS), a chronic demyelinating disease of the central nervous system (CNS). The study, entitled "A Placebo-Controlled Multi-Center Phase 2 Dose Finding Study of Ublituximab, a Third-Generation Anti-CD20 Monoclonal Antibody, in Patients with Relapsing Forms of Multiple Sclerosis," was led by Edward Fox, MD, PhD, Director of the Multiple Sclerosis Clinic of Central Texas and Clinical Associate Professor at the University of Texas Dell Medical School in Austin, TX. The primary objective of the study was to determine the optimal dosing regimen for ublituximab with a focus on accelerating infusion times. In addition to monitoring for safety and tolerability at each dosing cohort, B-cell depletion and established MS efficacy endpoints were also evaluated.</w:t>
      </w:r>
    </w:p>
    <w:p>
      <w:pPr>
        <w:spacing w:after="0" w:line="193" w:lineRule="exact"/>
        <w:rPr>
          <w:sz w:val="20"/>
          <w:szCs w:val="20"/>
          <w:color w:val="auto"/>
        </w:rPr>
      </w:pPr>
    </w:p>
    <w:p>
      <w:pPr>
        <w:ind w:right="40" w:firstLine="486"/>
        <w:spacing w:after="0" w:line="293" w:lineRule="auto"/>
        <w:rPr>
          <w:sz w:val="20"/>
          <w:szCs w:val="20"/>
          <w:color w:val="auto"/>
        </w:rPr>
      </w:pPr>
      <w:r>
        <w:rPr>
          <w:rFonts w:ascii="Times New Roman" w:cs="Times New Roman" w:eastAsia="Times New Roman" w:hAnsi="Times New Roman"/>
          <w:sz w:val="16"/>
          <w:szCs w:val="16"/>
          <w:color w:val="auto"/>
        </w:rPr>
        <w:t>In October 2018, final data from this Phase 2 study were presented at the 34th Congress of the European Committee for Treatment and Research in Multiple Sclerosis (ECTRIMS) meeting in Berlin, Germany. The presentation included final data on all 48 patients enrolled in the study through 48 weeks of treatment. Ublituximab was well tolerated across all patients including those receiving rapid infusions, as low as a one hour for the 450mg dose currently being studied in the Phase 3 ULTIMATE program and no study drug related discontinuations occurred. Median B cell depletion was &gt;99% at the primary analysis point of Week 4 (n=48) and maintained at Week 24 and Week 48. Ublituximab also completely eliminated all (100%) T1 Gd-enhancing lesions at Week 24 and maintained complete elimination at Week 48 (n=46) and an Annualized Relapse Rate (ARR) of 0.07 was observed with 93% of subjects relapse free at Week 48.</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Single Agent Umbralisib (TGR-1202) in Patients with Relapsed/Refractory Hematologic Malignancies</w:t>
      </w:r>
    </w:p>
    <w:p>
      <w:pPr>
        <w:spacing w:after="0" w:line="22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January 2013, we initiated a Phase I, open label, multi-center, first-in-human clinical trial of umbralisib in patients with hematologic malignancies. The study entitled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was open to patients with relapsed or refractory NHL, CLL, and other select hematologic malignancies. As of February 2016, this study closed to enrollment.</w:t>
      </w:r>
    </w:p>
    <w:p>
      <w:pPr>
        <w:spacing w:after="0" w:line="19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February 2018, data from this first-in-human Phase 1 clinical trial of umbralisib was published in The Lancet Oncology. The manuscript was titled, “Umbralisib, a novel PI3K and casein kinase-1 epsilon inhibitor, in relapsed or refractory chronic lymphocytic leukemia and lymphoma: an open-label, phase 1, dose-escalation, first-in-human study.” The paper includes safety and efficacy information from 90 patients with relapsed or refractory hematologic malignancies, including patients with CLL and various forms of lymphoma treated with single agent umbralisib. In this study, the data showed that umbralisib was well tolerated with a favorable safety profile distinct from prior generation PI3K delta inhibitors.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Additional Early Studies with Ublituximab (TG-1101) and/or Umbralisib (TGR-1202)</w:t>
      </w:r>
    </w:p>
    <w:p>
      <w:pPr>
        <w:spacing w:after="0" w:line="227"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18"/>
          <w:szCs w:val="18"/>
          <w:color w:val="auto"/>
        </w:rPr>
        <w:t>In addition to the above Phase 1 trials for ublituximab and umbralisib, the following Phase 1 and Phase 2 studies, as well as an integrated analysis were conducted:</w:t>
      </w:r>
    </w:p>
    <w:p>
      <w:pPr>
        <w:spacing w:after="0" w:line="172" w:lineRule="exact"/>
        <w:rPr>
          <w:sz w:val="20"/>
          <w:szCs w:val="20"/>
          <w:color w:val="auto"/>
        </w:rPr>
      </w:pPr>
    </w:p>
    <w:p>
      <w:pPr>
        <w:jc w:val="both"/>
        <w:ind w:left="880" w:hanging="222"/>
        <w:spacing w:after="0" w:line="255"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Ublituximab in Combination with Umbralisib with/without ibrutinib or bendamustine for Relapsed/Refractory NHL &amp; CLL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we initiated a multi-center, Phase I study to evaluate the safety and efficacy of the combination of ublituximab and umbralisib, (U2), for patients with relapsed and/or refractory CLL and NHL. The MD Anderson Cancer Center was the lead center for this clinical trial. Additional cohorts were added to this study to explore the triple therapy combination of U2 plus ibrutinib and the triple therapy combination of U2 plus bendamustine. Both U2 and the triplet combinations demonstrated acceptable levels of tolerability with promising activity. Enrollment in all cohorts is now closed and patients continued to be followed for safety and efficacy. Data highlights from each cohort include the following:</w:t>
      </w:r>
    </w:p>
    <w:p>
      <w:pPr>
        <w:spacing w:after="0" w:line="193" w:lineRule="exact"/>
        <w:rPr>
          <w:rFonts w:ascii="Times New Roman" w:cs="Times New Roman" w:eastAsia="Times New Roman" w:hAnsi="Times New Roman"/>
          <w:sz w:val="18"/>
          <w:szCs w:val="18"/>
          <w:color w:val="auto"/>
        </w:rPr>
      </w:pPr>
    </w:p>
    <w:p>
      <w:pPr>
        <w:jc w:val="both"/>
        <w:ind w:left="1360" w:hanging="215"/>
        <w:spacing w:after="0" w:line="241"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U2: In December 2015 we presented the results from the U2 portion of this trial at the 57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American Society of Hematology (ASH) annual meeting, Abstract Number 1538. The presentation included data from patients with relapsed and refractory NHL and CLL treated with U2. The combination was well tolerated in the 71 patients evaluable for safety at all dose levels up through 1200mg. This was a heavily pretreated population with high-risk features, including 58% refractory to last treatment with multiple previous lines of rituximab-based therapy. Notably, the only Grade 3/4 adverse event occurring in &gt; 5% of patients was neutropenia and of the 71 patients available for safety, only 6 patients (8%) discontinued due to an umbralisib related event. Additionally, 26 patients had been on U2 for 6+ months, with no events of colitis reported as of the date of publication.</w:t>
      </w:r>
    </w:p>
    <w:p>
      <w:pPr>
        <w:spacing w:after="0" w:line="232" w:lineRule="exact"/>
        <w:rPr>
          <w:rFonts w:ascii="Times New Roman" w:cs="Times New Roman" w:eastAsia="Times New Roman" w:hAnsi="Times New Roman"/>
          <w:sz w:val="18"/>
          <w:szCs w:val="18"/>
          <w:color w:val="auto"/>
        </w:rPr>
      </w:pPr>
    </w:p>
    <w:p>
      <w:pPr>
        <w:jc w:val="both"/>
        <w:ind w:left="1360" w:hanging="215"/>
        <w:spacing w:after="0" w:line="256"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data was presented on patients treated at the higher doses of umbralisib (1200mg of the original formulation and 600mg or greater of the micronized formulation). 80% (8 of 10) ORR was observed in patients with CLL/SLL, including 1 complete response (CR) and 7 partial responses (PRs). Notably, 75% of CLL patients had high-risk cytogenetics (17p and/or 11q del). 71% (12 of 17) ORR was observed in heavily pretreated patients with indolent NHL (FL &amp; MZL), including 4 CRs (24%) and 8 PRs, with 4 of the remaining 5 patients achieving stable disease.</w:t>
      </w:r>
    </w:p>
    <w:p>
      <w:pPr>
        <w:spacing w:after="0" w:line="218" w:lineRule="exact"/>
        <w:rPr>
          <w:rFonts w:ascii="Times New Roman" w:cs="Times New Roman" w:eastAsia="Times New Roman" w:hAnsi="Times New Roman"/>
          <w:sz w:val="18"/>
          <w:szCs w:val="18"/>
          <w:color w:val="auto"/>
        </w:rPr>
      </w:pPr>
    </w:p>
    <w:p>
      <w:pPr>
        <w:jc w:val="both"/>
        <w:ind w:left="1360" w:hanging="215"/>
        <w:spacing w:after="0" w:line="234"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U2 plus Bendamustine: In December 2018, updated data for the U2 plus bendamustine cohort was presented at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ASH Annual Meeting. Overall, the U2 plus bendamustine combination was well tolerated and highly active in patients with advanced indolent and aggressive NHL, including those not eligible for HD/SCT or CD19 CART therapy. Efficacy highlights from this poster included an 85% (11 of 13) ORR including a 54% CR rate in patients with relapsed or refractory FL.</w:t>
      </w:r>
    </w:p>
    <w:p>
      <w:pPr>
        <w:spacing w:after="0" w:line="207" w:lineRule="exact"/>
        <w:rPr>
          <w:rFonts w:ascii="Times New Roman" w:cs="Times New Roman" w:eastAsia="Times New Roman" w:hAnsi="Times New Roman"/>
          <w:sz w:val="18"/>
          <w:szCs w:val="18"/>
          <w:color w:val="auto"/>
        </w:rPr>
      </w:pPr>
    </w:p>
    <w:p>
      <w:pPr>
        <w:jc w:val="both"/>
        <w:ind w:left="1360" w:hanging="215"/>
        <w:spacing w:after="0" w:line="255"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U2 plus Ibrutinib: In January 2019, we announced the publication of results from the U2 plus ibrutinib cohort in The Lancet Haematology. Safety data was available from 46 patients and the triple combination of ublituximab, umbralisib, and ibrutinib was well tolerated with a manageable adverse event profile, and no maximum tolerated dose achieved for the combination. Efficacy data was available from 44 patients and showed the U2 plus ibrutinib combination to be highly active. The ORR amongst all evaluable patients was 84%, with 100% (22 of 22) of patients with CLL/SLL achieving a response, including 36% achieving a CR. Among patients with NHL, 68% (15 of 22) achieved a response, including a 71% ORR in FL (n=7), a 100% ORR in MZL (n=3), and a 100% ORR in MCL (n=6).</w:t>
      </w:r>
    </w:p>
    <w:p>
      <w:pPr>
        <w:spacing w:after="0" w:line="191" w:lineRule="exact"/>
        <w:rPr>
          <w:rFonts w:ascii="Times New Roman" w:cs="Times New Roman" w:eastAsia="Times New Roman" w:hAnsi="Times New Roman"/>
          <w:sz w:val="18"/>
          <w:szCs w:val="18"/>
          <w:color w:val="auto"/>
        </w:rPr>
      </w:pPr>
    </w:p>
    <w:p>
      <w:pPr>
        <w:jc w:val="both"/>
        <w:ind w:left="880" w:hanging="222"/>
        <w:spacing w:after="0" w:line="255"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Umbralisib as a single agent in CLL patients who are intolerant to prior BTK inhibitor or PI3K delta inhibitor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June 2018,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23rd Congress of the European Hematology Association (EHA), data was presented from 47 patients with CLL who were intolerant to prior BTK or PI3K delta inhibitor therapy who were then treated with single agent umbralisib. Umbralisib demonstrated a favorable safety profile with only 13% of patients discontinuing due to an adverse event, of which only one patient discontinued due to a recurrent adverse event (AE) also experienced with prior kinase inhibitor therapy. As of the data presentation, nearly half of the patients enrolled had been on umbralisib for a duration longer than their prior kinase inhibitor. The median progression free survival (PFS) and overall survival (OS) has not been reached with a median follow-up of 9.5 months. Enrollment is now closed with patients continuing to be followed.</w:t>
      </w:r>
    </w:p>
    <w:p>
      <w:pPr>
        <w:spacing w:after="0" w:line="189" w:lineRule="exact"/>
        <w:rPr>
          <w:rFonts w:ascii="Times New Roman" w:cs="Times New Roman" w:eastAsia="Times New Roman" w:hAnsi="Times New Roman"/>
          <w:sz w:val="18"/>
          <w:szCs w:val="18"/>
          <w:color w:val="auto"/>
        </w:rPr>
      </w:pPr>
    </w:p>
    <w:p>
      <w:pPr>
        <w:jc w:val="both"/>
        <w:ind w:left="880" w:hanging="222"/>
        <w:spacing w:after="0" w:line="253"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Umbralisib Long-term Follow-up Integrated Analysis in Patients with Relapsed/Refractory Hematologic Malignancies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December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59th ASH Annual Meeting, the Company presented integrated long-term follow-up data from 347 patients exposed to umbralisib across 5 studies, which continued to demonstrate high response rates in CLL, and FL coupled with a favorable safety profile distinct from other PI3K delta inhibitors. In June 2018, an update on the data was presented at the 23rd Congress of the European Hematology Association (EHA). The presentation included data pooled from 4 completed or ongoing Phase 1 or 2 studies containing umbralisib, focusing on 177 patients who have been on daily umbralisib for a minimum of 6 months. Patients were heavily pretreated, with 45% of patients having seen 3 or more prior lines of therapy. Umbralisib continued to exhibit a differentiated safety profile compared to prior generation PI3K delta inhibitors. Serious adverse events occurring in &gt;1% of patients after 6 months on therapy were limited to pneumonia (3%), diarrhea (2%), and cellulitis (2%) with only 2% of patients discontinuing umbralisib as a result of diarrhea/colitis after being on umbralisib for more than 6 months.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9" w:name="page10"/>
    <w:bookmarkEnd w:id="9"/>
    <w:p>
      <w:pPr>
        <w:jc w:val="both"/>
        <w:ind w:left="880" w:hanging="222"/>
        <w:spacing w:after="0" w:line="254"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Phase 2 trial of Ublituximab plus Ibrutinib in patients with relapsed or refractory CLL and Mantle Cell Lymphoma (MCL)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2013, we initiated a multi-center Phase 2 clinical trial to evaluate the safety and efficacy of the combination of ublituximab and ibrutinib for patients with CLL and MCL. Jeff P. Sharman, MD, Medical Director, Hematology Research, US Oncology Network, was the Study Chair. This trial has completed enrollment. Final data from the MCL cohort of this study was presented at the 57th ASH meeting held in December 2015, with data from the CLL cohort published in the </w:t>
      </w:r>
      <w:r>
        <w:rPr>
          <w:rFonts w:ascii="Times New Roman" w:cs="Times New Roman" w:eastAsia="Times New Roman" w:hAnsi="Times New Roman"/>
          <w:sz w:val="18"/>
          <w:szCs w:val="18"/>
          <w:i w:val="1"/>
          <w:iCs w:val="1"/>
          <w:color w:val="auto"/>
        </w:rPr>
        <w:t>British Journal of Haematology</w:t>
      </w:r>
      <w:r>
        <w:rPr>
          <w:rFonts w:ascii="Times New Roman" w:cs="Times New Roman" w:eastAsia="Times New Roman" w:hAnsi="Times New Roman"/>
          <w:sz w:val="18"/>
          <w:szCs w:val="18"/>
          <w:color w:val="auto"/>
        </w:rPr>
        <w:t xml:space="preserve"> in December 2016. The combination displayed marked clinical activity, reporting an 88% (35/41) response rate in patients with CLL, a 95% (19/21) response rate in those CLL patients with high-risk cytogenetics, and an 87% (13/15) response rate in patients with MCL. The data from the CLL cohort of this study supported the Phase 3 GENUINE study evaluating ublituximab plus ibrutinib in CLL patients with high-risk cytogenetics.</w:t>
      </w:r>
    </w:p>
    <w:p>
      <w:pPr>
        <w:spacing w:after="0" w:line="192" w:lineRule="exact"/>
        <w:rPr>
          <w:rFonts w:ascii="Times New Roman" w:cs="Times New Roman" w:eastAsia="Times New Roman" w:hAnsi="Times New Roman"/>
          <w:sz w:val="18"/>
          <w:szCs w:val="18"/>
          <w:color w:val="auto"/>
        </w:rPr>
      </w:pPr>
    </w:p>
    <w:p>
      <w:pPr>
        <w:jc w:val="both"/>
        <w:ind w:left="880" w:hanging="222"/>
        <w:spacing w:after="0" w:line="287" w:lineRule="auto"/>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Phase 2 trial of Umbralisib plus Ibrutinib in patients with relapsed or refractory CLL and MCL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December 2018, we announced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publication of results from the multicenter Phase 1/1b trial of umbralisib in combination with ibrutinib, the oral Bruton's tyrosine kinase (BTK) inhibitor, in Lancet Haematology. This investigator-initiated trial was conducted at Dana-Farber Cancer Institute and four additional centers across the USA in collaboration with the Leukemia and Lymphoma Society, Blood Cancer Research Partnership with funding by TG Therapeutics. The publication includes safety and efficacy information from a total of 42 relapsed or refractory patients, 21 with CLL and 21 with MCL. In this study, the combination of umbralisib and ibrutinib was well tolerated and consistent with the additive toxicity profile of the two drugs individually. No dose-limiting toxicities were observed, and the maximum-tolerated dose of umbralisib when combined with ibrutinib was not reached. The recommended phase 2 dose of umbralisib when given in combination with ibrutinib was 800 mg once daily. Importantly, serious immune-mediated toxicities were not observed with this combination, as had previously been reported with combinations of different agents targeting this pathway, with only one case of transient Grade 3 transaminitis and no Grade 3/4 colitis or pneumonitis. The combination of umbralisib and ibrutinib was also clinically active, with 90% of relapsed/refractory CLL patients achieving an overall response (n=19), of which 62% (n=13) achieved a partial response or partial response with lymphocytosis, and 29% (n=6) achieved a complete response. Of the 21 patients treated with MCL, 67% (n=14) achieved an overall response, of which 48% (n=10) achieved a partial response and 19% (n=4) achieved a complete response.</w:t>
      </w:r>
    </w:p>
    <w:p>
      <w:pPr>
        <w:spacing w:after="0" w:line="384" w:lineRule="exact"/>
        <w:rPr>
          <w:rFonts w:ascii="Times New Roman" w:cs="Times New Roman" w:eastAsia="Times New Roman" w:hAnsi="Times New Roman"/>
          <w:sz w:val="16"/>
          <w:szCs w:val="16"/>
          <w:color w:val="auto"/>
        </w:rPr>
      </w:pPr>
    </w:p>
    <w:p>
      <w:pPr>
        <w:jc w:val="both"/>
        <w:ind w:left="880" w:hanging="222"/>
        <w:spacing w:after="0" w:line="259"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early combination studies utilizing umbralisib with approved agents</w:t>
      </w:r>
      <w:r>
        <w:rPr>
          <w:rFonts w:ascii="Times New Roman" w:cs="Times New Roman" w:eastAsia="Times New Roman" w:hAnsi="Times New Roman"/>
          <w:sz w:val="18"/>
          <w:szCs w:val="18"/>
          <w:color w:val="auto"/>
        </w:rPr>
        <w:t>— Umbralisib has been evaluated in combination with the anti-CD30 antibody drug conjugate, brentuximab vedotin, in patients with relapsed or refractory Hodgkin’s lymphoma and in combination with the JAK inhibitor, ruxolitinib, in patients with Myelofibrosis or Polycythemia Vera. Additional investigator sponsored trials are also underway which are combining umbralisib and or the U2 combination with other approved agents for the treatment of B-cell malignancies.</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Phase 3 and Registration-Directed Clinical Trials for Ublituximab and Umbralisib</w:t>
      </w:r>
    </w:p>
    <w:p>
      <w:pPr>
        <w:spacing w:after="0" w:line="227" w:lineRule="exact"/>
        <w:rPr>
          <w:sz w:val="20"/>
          <w:szCs w:val="20"/>
          <w:color w:val="auto"/>
        </w:rPr>
      </w:pPr>
    </w:p>
    <w:p>
      <w:pPr>
        <w:ind w:right="140" w:firstLine="648"/>
        <w:spacing w:after="0" w:line="339" w:lineRule="auto"/>
        <w:rPr>
          <w:sz w:val="20"/>
          <w:szCs w:val="20"/>
          <w:color w:val="auto"/>
        </w:rPr>
      </w:pPr>
      <w:r>
        <w:rPr>
          <w:rFonts w:ascii="Times New Roman" w:cs="Times New Roman" w:eastAsia="Times New Roman" w:hAnsi="Times New Roman"/>
          <w:sz w:val="16"/>
          <w:szCs w:val="16"/>
          <w:color w:val="auto"/>
        </w:rPr>
        <w:t>The company has initiated and enrolled several Phase 3 and registration-directed Phase 2b clinical trials (ie, clinical trials that may support a marketing application for approval). The following are the current Phase 3 trials and registration-directed Phase 2b clinical trials in the order of expected top-line data:</w:t>
      </w:r>
    </w:p>
    <w:p>
      <w:pPr>
        <w:spacing w:after="0" w:line="126"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i w:val="1"/>
          <w:iCs w:val="1"/>
          <w:color w:val="auto"/>
        </w:rPr>
        <w:t>The UNITY-NHL Trial—Marginal Zone Lymphoma (MZL) and Follicular Lymphoma (FL)/Small Lymphocytic Lymphoma (SLL) Cohorts (Umbralisib single agent)</w:t>
      </w:r>
    </w:p>
    <w:p>
      <w:pPr>
        <w:spacing w:after="0" w:line="17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UNITY-NHL study is a broad Phase 2b multiple cohort trial designed to evaluate the efficacy and safety of umbralisib monotherapy and in combination with ublituximab in previously treated subjects with NHL. In 2017, the UNITY-NHL study began enrolling a cohort of patients with FL/SLL and an additional cohort of patients with MZL. These cohorts of the trial are being led by Nathan H. Fowler, MD, Associate Professor, Department of Lymphoma/Myeloma at the University of Texas MD Anderson Cancer Center. The primary objective of these cohorts of the study are to assess the efficacy of umbralisib single agent as measured by ORR.</w:t>
      </w:r>
    </w:p>
    <w:p>
      <w:pPr>
        <w:spacing w:after="0" w:line="193" w:lineRule="exact"/>
        <w:rPr>
          <w:sz w:val="20"/>
          <w:szCs w:val="20"/>
          <w:color w:val="auto"/>
        </w:rPr>
      </w:pPr>
    </w:p>
    <w:p>
      <w:pPr>
        <w:ind w:right="660" w:firstLine="648"/>
        <w:spacing w:after="0" w:line="275" w:lineRule="auto"/>
        <w:rPr>
          <w:sz w:val="20"/>
          <w:szCs w:val="20"/>
          <w:color w:val="auto"/>
        </w:rPr>
      </w:pPr>
      <w:r>
        <w:rPr>
          <w:rFonts w:ascii="Times New Roman" w:cs="Times New Roman" w:eastAsia="Times New Roman" w:hAnsi="Times New Roman"/>
          <w:sz w:val="18"/>
          <w:szCs w:val="18"/>
          <w:color w:val="auto"/>
        </w:rPr>
        <w:t>For the FL/SLL cohort, adult patients were enrolled who had two prior lines of therapy that included an anti-CD20 monoclonal antibody and an alkylating agent. This cohort is fully enrolled with approximately 125 patients and top-line data are expected in second half 2019.</w:t>
      </w:r>
    </w:p>
    <w:p>
      <w:pPr>
        <w:spacing w:after="0" w:line="174" w:lineRule="exact"/>
        <w:rPr>
          <w:sz w:val="20"/>
          <w:szCs w:val="20"/>
          <w:color w:val="auto"/>
        </w:rPr>
      </w:pPr>
    </w:p>
    <w:p>
      <w:pPr>
        <w:ind w:right="160" w:firstLine="648"/>
        <w:spacing w:after="0" w:line="293" w:lineRule="auto"/>
        <w:rPr>
          <w:sz w:val="20"/>
          <w:szCs w:val="20"/>
          <w:color w:val="auto"/>
        </w:rPr>
      </w:pPr>
      <w:r>
        <w:rPr>
          <w:rFonts w:ascii="Times New Roman" w:cs="Times New Roman" w:eastAsia="Times New Roman" w:hAnsi="Times New Roman"/>
          <w:sz w:val="16"/>
          <w:szCs w:val="16"/>
          <w:color w:val="auto"/>
        </w:rPr>
        <w:t>For the MZL cohort, adult patients were enrolled who had one prior line of therapy that included an anti-CD20 monoclonal antibody. On February 28, 2019 we announced that the MZL cohort of the UNITY-NHL Phase 2b pivotal trial evaluating umbralisib monotherapy met the primary endpoint of Overall Response Rate (ORR) as determined by Independent Review Committee (IRC) for all treated patients (n=69). The results met the Company’s target guidance of 40-50% ORR. Interim safety and efficacy data from this study will be presented in an oral presentation at the upcoming American Association of Cancer Research (AACR) annual meeting on April 1, 2019 and full data from this study are expected to be presented at a medical meeting later this year. We plan to discuss the results with the U.S. Food and Drug Administration (FDA) regarding a potential new drug application (NDA) filing for accelerated approval.</w:t>
      </w:r>
    </w:p>
    <w:p>
      <w:pPr>
        <w:spacing w:after="0" w:line="9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multicenter, open-label, UNITY-NHL Phase 2b study - MZL cohort was designed to evaluate the safety and efficacy of single agent umbralisib in patients with MZL who have received at least one prior anti-CD20 regimen. The primary endpoint is ORR as determined by IRC assessment. The primary analysis of ORR will be conducted once all treated patients have had at least 9 cycles (Cycle = 28 days) of follow-up. Secondary endpoints include safety, duration of response, and progression-free survival (PFS).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 w:name="page11"/>
    <w:bookmarkEnd w:id="10"/>
    <w:p>
      <w:pPr>
        <w:jc w:val="both"/>
        <w:ind w:right="220" w:firstLine="648"/>
        <w:spacing w:after="0" w:line="262" w:lineRule="auto"/>
        <w:rPr>
          <w:sz w:val="20"/>
          <w:szCs w:val="20"/>
          <w:color w:val="auto"/>
        </w:rPr>
      </w:pPr>
      <w:r>
        <w:rPr>
          <w:rFonts w:ascii="Times New Roman" w:cs="Times New Roman" w:eastAsia="Times New Roman" w:hAnsi="Times New Roman"/>
          <w:sz w:val="18"/>
          <w:szCs w:val="18"/>
          <w:color w:val="auto"/>
        </w:rPr>
        <w:t>The positive ORR outcome announced in February 2019 was based on all 69 enrolled and treated patients, however at the time all patients had not yet been followed for a minimum of 9 cycles as required for the primary analysis of ORR. Accordingly, the study is on-going and patients with benefit on therapy (stable disease or in response) remain on study. Safety data are currently being analyzed.</w:t>
      </w:r>
    </w:p>
    <w:p>
      <w:pPr>
        <w:spacing w:after="0" w:line="119"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18"/>
          <w:szCs w:val="18"/>
          <w:color w:val="auto"/>
        </w:rPr>
        <w:t>In January 2019, the FDA granted Breakthrough Therapy Designation (BTD) for umbralisib for the treatment of adult patients with MZL who have received at least one prior anti-CD20 regimen. The BTD was based on interim data from the MZL cohort of the UNITY-NHL trial.</w:t>
      </w:r>
    </w:p>
    <w:p>
      <w:pPr>
        <w:spacing w:after="0" w:line="174" w:lineRule="exact"/>
        <w:rPr>
          <w:sz w:val="20"/>
          <w:szCs w:val="20"/>
          <w:color w:val="auto"/>
        </w:rPr>
      </w:pPr>
    </w:p>
    <w:p>
      <w:pPr>
        <w:ind w:right="240" w:firstLine="648"/>
        <w:spacing w:after="0" w:line="275" w:lineRule="auto"/>
        <w:rPr>
          <w:sz w:val="20"/>
          <w:szCs w:val="20"/>
          <w:color w:val="auto"/>
        </w:rPr>
      </w:pPr>
      <w:r>
        <w:rPr>
          <w:rFonts w:ascii="Times New Roman" w:cs="Times New Roman" w:eastAsia="Times New Roman" w:hAnsi="Times New Roman"/>
          <w:sz w:val="18"/>
          <w:szCs w:val="18"/>
          <w:color w:val="auto"/>
        </w:rPr>
        <w:t>There are additional exploratory cohorts of the UNITY-NHL trial focused on Diffuse Large B-Cell Lymphoma (DLBCL) and Mantle Cell Lymphoma (MCL). Each cohort of the UNITY-NHL trial including, MZL, FL/SLL, DLBCL, and MCL, is enrolled to and evaluated independently.</w:t>
      </w:r>
    </w:p>
    <w:p>
      <w:pPr>
        <w:spacing w:after="0" w:line="199" w:lineRule="exact"/>
        <w:rPr>
          <w:sz w:val="20"/>
          <w:szCs w:val="20"/>
          <w:color w:val="auto"/>
        </w:rPr>
      </w:pPr>
    </w:p>
    <w:p>
      <w:pPr>
        <w:ind w:right="600" w:firstLine="34"/>
        <w:spacing w:after="0" w:line="277" w:lineRule="auto"/>
        <w:rPr>
          <w:sz w:val="20"/>
          <w:szCs w:val="20"/>
          <w:color w:val="auto"/>
        </w:rPr>
      </w:pPr>
      <w:r>
        <w:rPr>
          <w:rFonts w:ascii="Times New Roman" w:cs="Times New Roman" w:eastAsia="Times New Roman" w:hAnsi="Times New Roman"/>
          <w:sz w:val="18"/>
          <w:szCs w:val="18"/>
          <w:i w:val="1"/>
          <w:iCs w:val="1"/>
          <w:color w:val="auto"/>
        </w:rPr>
        <w:t>The UNITY-CLL Trial—Combination of Ublituximab (TG-1101) plus Umbralisib (TGR-1202) in patients with Front-line or Relapsed/Refractory Chronic Lymphocytic Leukemia</w:t>
      </w:r>
    </w:p>
    <w:p>
      <w:pPr>
        <w:spacing w:after="0" w:line="10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September 2015, we reached an agreement with the FDA regarding a Special Protocol Assessment (SPA) on the design, endpoints and statistical analysis approach of a Phase 3 clinical trial, UNITY-CLL, for the proprietary combination of ublituximab plus umbralisib, for the treatment of CLL. The SPA provides agreement that the Phase 3 trial design adequately addresses objectives that, if met, would support the regulatory submission for drug approval of both ublituximab and umbralisib in combination.</w:t>
      </w:r>
    </w:p>
    <w:p>
      <w:pPr>
        <w:spacing w:after="0" w:line="19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Phase 3 trial, called the UNITY-CLL trial, is a randomized controlled clinical trial that includes two key objectives: first, to demonstrate contribution of each agent in the ublituximab plus umbralisib regimen (the combination sometimes referred to as "U2"), and second, to demonstrate superiority in PFS over the standard of care to support the submission for full approval of the combination. The study randomized patients into four treatment arms: ublituximab plus umbralisib, ublituximab alone, umbralisib alone, and an active control arm of obinutuzumab + chlorambucil. The UNITY-CLL trial is being led by John Gribben, MD, professor of Medical Oncology, Barts Cancer Institute, United Kingdom. The study enrolled over 600 patients across the four treatment arms with approximately 420 patients in the U2 and the active control arm combined. Enrollment completed in October 2017.</w:t>
      </w:r>
    </w:p>
    <w:p>
      <w:pPr>
        <w:spacing w:after="0" w:line="19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May 2017, an early interim analysis was conducted to assess contribution of each single agent in the ublituximab plus umbralisib combination regimen, which allowed for the early termination of both single agent arms. A second interim analysis was planned to evaluate ORR to support accelerated approval when all patients in the U2 arm and the active control arm had at least 6 months of follow-up. In September 2018, we announced that the independent Data Safety Monitoring Board (“DSMB”) reviewed ongoing data from the trial and advised us that the second interim analysis of ORR could not be conducted at that time as the data were not sufficiently mature to conduct the analysis. Given the uncertainty surrounding the timing and outcome of the ORR analysis, as well as the significant regulatory hurdles associated with accelerated approval in CLL, we are no longer planning to seek accelerated approval for U2 in CLL based on ORR. The Company remains blinded to all efficacy data and the trial continues to be conducted under SPA agreement with the FDA. We await the results for the primary endpoint for the study, PFS, to seek full approval for U2 in patients with CLL, if the study is positive. Importantly, an application based on PFS is expected to support full approval versus accelerated approval, which is a conditional approval.</w:t>
      </w:r>
    </w:p>
    <w:p>
      <w:pPr>
        <w:spacing w:after="0" w:line="197"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Additionally, in September 2018, the DSMB reviewed safety data from over 600 patients, including over 300 patients treated with umbralisib either alone or in combination with ublituximab, of which approximately 60% were treatment naïve. After review of the data, the DSMB identified no safety concerns and recommended the trial continue without modification.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GENUINE Trial— Ublituximab + Ibrutinib in patients with high risk Chronic Lymphocytic Leukemia</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GENUINE trial is a randomized controlled clinical trial in patients with previously treated CLL with specific high-risk cytogenetic abnormalities, with patients randomized to receive either ublituximab plus ibrutinib or ibrutinib alone. Due to enrollment challenges associated with this study, in October 2016, we announced revisions to the design of the GENUINE study to accelerate its completion. Initially the study was being conducted pursuant to an SPA with the FDA, and was designed to enroll approximately 330 patients, with a two-part analysis of both ORR and PFS. The trial as amended in October 2016 removed PFS as a co-primary endpoint leaving ORR as the sole primary endpoint. The target number of patients was also reduced to 120 patients. The SPA was terminated at the time the changes were implemented.</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2017, we reported positive top-line data from the GENUINE study and in June 2017, the results were presented by Dr. Jeff P. Sharman, Medical Director, Hematology Research, US Oncology in an oral session during the 53rd American Society of Clinical Oncology ("ASCO") Annual Meeting in Chicago, IL. We had hoped to use the ORR results from the GENUINE trial to file for accelerated approval for the combination of ublituximab plus ibrutinib. In October of 2017, we announced the results of a meeting with the FDA related to the potential accelerated approval application. The FDA had expressed concern that an intervening approval for the treatment of relapsed or refractory CLL could, as available therapy, have the effect of blocking our accelerated approval application. In June 2018, venetoclax received full approval for the treatment of relapsed or refractory CLL, the same indication for which we planned to file accelerated approval. While we do believe under the FDA guidance related to accelerated approval that there are benefits of ublituximab plus ibrutinib over presently available therapies that could support approval, we have decided at this time to not pursue the filing of the results from the GENUINE trial to support accelerated approval. We continue to follow patients in the GENUINE study for safety and efficacy including Overall Response Rate, Minimal Residual Disease (MRD) and PFS.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The ULTIMATE I and ULTIMATE II Phase 3 Clinical Trials—Single Agent Ublituximab in relapsing forms of Multiple Sclerosis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2017, we reached an agreement with the FDA regarding an SPA on the design of two Phase 3 clinical trials for ublituximab, referred to as the ULTIMATE I and ULTIMATE II trials, for the treatment of relapsing forms of Multiple Sclerosis (RMS). The SPA provides agreement that the two Phase 3 trial designs adequately address objectives that, if met, would support the regulatory submission for approval of ublituximab in RMS. Each trial is a global, randomized, multi-center, double-blinded, double-dummy, active-controlled study comparing ublituximab to teriflunomide in subjects with RMS. The primary endpoint for each study is Annualized Relapse Rate (ARR) following 96 weeks of treatment. Each trial was designed to enroll approximately 440 subjects, randomized in a 1:1 ratio. This trial is being led by Lawrence Steinman, MD, George A. Zimmermann Professor and Professor of Pediatrics, Neurology and Neurological Sciences at Stanford University.</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August 2018, we announced that target enrollment into the ULTIMATE I and II trials had been achieved, and that enrollment would continue into September 2018 to allow identified patients to participate in the study. At completion of full enrollment in October of 2018, approximately 1,100 subjects were enrolled in both studies combined.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TG-1501 (anti-PD-L1 monoclonal antibody) Overview</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TG-1501 is a fully human monoclonal antibody of IgG1 subtype that binds to Programmed Death-Ligand 1 (PD-L1) and blocks its interactions with PD-1 and B7.1 receptors. Cancer cells elude anti-tumor immunity through multiple mechanisms, including upregulated expression of ligands for inhibitory immune checkpoint receptors. Signals from PD-L1 on tumor cells and in the tumor microenvironment help those tumors avoid immune attack and elimination by preventing activation of tumor specific effector T-cells. Anti-PD-L1 antibodies are designed to block that signal, permitting effector T-cells to attack the cancer. Clinical studies have shown that blockade of the PD-1/PD-L1 pathway by monoclonal antibodies can enhance the immune response and result in anti-tumor activity.</w:t>
      </w:r>
    </w:p>
    <w:p>
      <w:pPr>
        <w:spacing w:after="0" w:line="12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Preclinically, it has been shown that the effects of anti-PD-L1 intervention can be enhanced by utilizing other mechanisms targeting the tumor microenvironment. Combining immunotherapies like anti-PD-L1, that counters the tumor's immune-evading defense system with other anti-cancer agents such as ublituximab or umbralisib may better engage the body's own immune system to help fight cancer.</w:t>
      </w:r>
    </w:p>
    <w:p>
      <w:pPr>
        <w:spacing w:after="0" w:line="119" w:lineRule="exact"/>
        <w:rPr>
          <w:sz w:val="20"/>
          <w:szCs w:val="20"/>
          <w:color w:val="auto"/>
        </w:rPr>
      </w:pPr>
    </w:p>
    <w:p>
      <w:pPr>
        <w:jc w:val="both"/>
        <w:ind w:right="140" w:firstLine="648"/>
        <w:spacing w:after="0" w:line="310" w:lineRule="auto"/>
        <w:rPr>
          <w:sz w:val="20"/>
          <w:szCs w:val="20"/>
          <w:color w:val="auto"/>
        </w:rPr>
      </w:pPr>
      <w:r>
        <w:rPr>
          <w:rFonts w:ascii="Times New Roman" w:cs="Times New Roman" w:eastAsia="Times New Roman" w:hAnsi="Times New Roman"/>
          <w:sz w:val="16"/>
          <w:szCs w:val="16"/>
          <w:color w:val="auto"/>
        </w:rPr>
        <w:t>A comprehensive array of in vitro biochemical and cellular assays was established to characterize the binding and the functional activities of TG-1501. The in vitro data demonstrated that the affinity, PD-L1 binding capability, relative ability to inhibit PD-1/PDL-1 interactions, and functional activity of TG-1501 in cellular assays are comparable to those of atezolizumab, durvalumab and avelumab - the currently approved products sharing the same mechanism of action.</w:t>
      </w:r>
    </w:p>
    <w:p>
      <w:pPr>
        <w:spacing w:after="0" w:line="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TG-1501 is currently being evaluated in an ongoing study (Study CK-301-101: NCT03212404), enrolling patients with select solid tumors, being conducted by our licensor. In the dose escalation portion of this trial, doses ranging from 200mg to 800mg were tested with no dose-limiting toxicities observed and no maximum tolerated dose (MTD) was achieved; therefore, a fixed dose of 800 mg was the selected starting dose of TG-1501 for patients with hematologic malignancies.</w:t>
      </w:r>
    </w:p>
    <w:p>
      <w:pPr>
        <w:spacing w:after="0" w:line="12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December 2018, the FDA approved an IND for TG-1501 and a Phase 1 study in subjects with select subtypes of lymphoma is expected to commence in Q1 2019. After characterizing the safety profile of TG-1501 as monotherapy in hematological malignancies, the study may evaluate TG-1501 in combination with other therapies, including ublituximab and/or umbralisib. Based on our rapidly evolving understanding of the pathobiology of lymphoma subtypes, we envision further combinations with other immunotherapies in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TG-1701 (BTK inhibitor) Overview</w:t>
      </w:r>
    </w:p>
    <w:p>
      <w:pPr>
        <w:spacing w:after="0" w:line="2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TG-1701 is a novel, orally available and covalently-bound Bruton’s tyrosine kinase (BTK) inhibitor that exhibits superior selectivity to BTK compared to ibrutinib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kinase screening.</w:t>
      </w:r>
    </w:p>
    <w:p>
      <w:pPr>
        <w:spacing w:after="0" w:line="17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B-cell receptor (BCR) signaling is crucial for normal B-cell development and supports the survival and growth of malignant B-cells in patients with B-cell leukemias or lymphomas. Targeting BTK, an essential element of BCR signaling pathway which regulates the survival, activation, proliferation, and differentiation of B lymphocytes, has shown remarkable efficacy with an acceptable safety profile in B-cell malignancies.</w:t>
      </w:r>
    </w:p>
    <w:p>
      <w:pPr>
        <w:spacing w:after="0" w:line="186" w:lineRule="exact"/>
        <w:rPr>
          <w:sz w:val="20"/>
          <w:szCs w:val="20"/>
          <w:color w:val="auto"/>
        </w:rPr>
      </w:pPr>
    </w:p>
    <w:p>
      <w:pPr>
        <w:jc w:val="both"/>
        <w:ind w:right="4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2018, pre-clinical data for TG-1701 demonstrating favorable pharmacologic properties was presented at the 23rd Congress of the European Hematology Association (EHA) in Stockholm, Sweden.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pharmacology studies have revealed that TG-1701 inhibited BTK with greater than 10-fold selectivity as measured by IC50 on the kinase activities of EGFR, ITK, TXK, JAK3, HER2 and HER4.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pharmacology studies showed that TG-1701 significantly inhibited the growth of xenograft lymphoid tumors including OCI-LY-10 and DOHH-2 in nude mice.</w:t>
      </w:r>
    </w:p>
    <w:p>
      <w:pPr>
        <w:spacing w:after="0" w:line="123"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We are currently evaluating TG-1701 in a Phase 1, multi-center, dose-escalation clinical trial in patients with B-cell malignancies. This trial is designed to evaluate the safety and tolerability of TG-1701 in adults with B-cell malignancies and determine the recommended Phase 2 dose. Key secondary objectives include evaluation of pharmacokinetics (PK), pharmacodynamics, and preliminary anticancer activity.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TG-1801 (anti-CD47/anti-CD19 bispecific monoclonal antibody) Overview</w:t>
      </w:r>
    </w:p>
    <w:p>
      <w:pPr>
        <w:spacing w:after="0" w:line="227" w:lineRule="exact"/>
        <w:rPr>
          <w:sz w:val="20"/>
          <w:szCs w:val="20"/>
          <w:color w:val="auto"/>
        </w:rPr>
      </w:pPr>
    </w:p>
    <w:p>
      <w:pPr>
        <w:ind w:firstLine="615"/>
        <w:spacing w:after="0" w:line="253" w:lineRule="auto"/>
        <w:rPr>
          <w:sz w:val="20"/>
          <w:szCs w:val="20"/>
          <w:color w:val="auto"/>
        </w:rPr>
      </w:pPr>
      <w:r>
        <w:rPr>
          <w:rFonts w:ascii="Times New Roman" w:cs="Times New Roman" w:eastAsia="Times New Roman" w:hAnsi="Times New Roman"/>
          <w:sz w:val="18"/>
          <w:szCs w:val="18"/>
          <w:color w:val="auto"/>
        </w:rPr>
        <w:t>TG-1801 is a first-in-class, bispecific CD47 and CD19 antibody. It is the first therapy to target both CD19, a B-cell specific market widely express across B-cell malignancies, and CD47, the "don’t eat me" signal used by both healthy and tumor cells to evade macrophage mediated phagocytosis. CD47 is expressed ubiquitously on normal cells, including red blood cells and platelets. CD19 is a specific B-cell marker, expressed early during pre-B cell ontogeny and until terminal differentiation into early plasma cells. The majority of B-cell lineage malignancies (more than 90%) express CD19, including NHL, CLL and acute lymphoblastic leukemia (ALL). Tumor B-cells that have lost the expression of CD20 after anti-CD20 mAb therapy, have been found to maintain the expression of CD19, making CD19 an attractive target in the treatment of B cell malignancies. By co-targeting both CD47 and CD19, TG-1801 has the potential to overcome the limitations of existing CD47 targeted therapies by avoiding the side effects caused by indiscriminate blockade of CD47 on healthy cells. In addition to potentially enhancing tolerability, the co-targeting of CD19 by TG-1801 may provide a secondary mechanism of direct anti-tumor activity through the engagement of effector cells and induction of antibody dependent cellular cytotoxicity (ADCC).</w:t>
      </w:r>
    </w:p>
    <w:p>
      <w:pPr>
        <w:spacing w:after="0" w:line="224"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18"/>
          <w:szCs w:val="18"/>
          <w:color w:val="auto"/>
        </w:rPr>
        <w:t>TG-1801 binds to human CD19 with significantly higher affinity than towards CD47. This difference between its affinity to CD19 and CD47 allows TG-1801 to bind and selectively block CD47 on CD19</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B-cells but not on CD19</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red blood cells or platelets in human peripheral blood.</w:t>
      </w:r>
    </w:p>
    <w:p>
      <w:pPr>
        <w:spacing w:after="0" w:line="94" w:lineRule="exact"/>
        <w:rPr>
          <w:sz w:val="20"/>
          <w:szCs w:val="20"/>
          <w:color w:val="auto"/>
        </w:rPr>
      </w:pPr>
    </w:p>
    <w:p>
      <w:pPr>
        <w:ind w:right="180" w:firstLine="702"/>
        <w:spacing w:after="0" w:line="264"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TG-1801 induces antibody-dependent cellular phagocytosis (ADCP) and antibody-dependent cellular cytotoxicity (ADCC) of malignant tumor B-cell lines and primary tumor B-cells from patients with B-cell acute lymphoblastic leukemia (B-ALL), B-cell chronic lymphocytic leukemia (B-CLL) and numerous subtypes of NHL.</w:t>
      </w:r>
    </w:p>
    <w:p>
      <w:pPr>
        <w:spacing w:after="0" w:line="114" w:lineRule="exact"/>
        <w:rPr>
          <w:sz w:val="20"/>
          <w:szCs w:val="20"/>
          <w:color w:val="auto"/>
        </w:rPr>
      </w:pPr>
    </w:p>
    <w:p>
      <w:pPr>
        <w:ind w:right="100" w:firstLine="648"/>
        <w:spacing w:after="0" w:line="264"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tumor models, treatment with TG-1801 inhibited tumor growth in Raji cell subcutaneous xenograft model, NALM-6 cell disseminated tumor model, and patient-derived xenograft models, including primary tumor cells from patients with diffuse large B-cell lymphoma (DLBCL) and B-ALL. In addition, the combination of rituximab and TG-1801 demonstrated enhanced activity over TG-1801 monotherapy.</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summary, TG-1801 demonstrates anti-tumor activity in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(ADCP and ADCC)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tumor models.</w:t>
      </w:r>
    </w:p>
    <w:p>
      <w:pPr>
        <w:spacing w:after="0" w:line="16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In the first quarter of 2019 we commenced, a Phase 1 first-in-human, dose-escalation study of TG-1801. This study will evaluate escalating doses of TG-1801 in patients with B-Cell lymphoma. The primary objective of the study is to determine the recommended Phase 2 dose and to characterize the safety profile of TG-1801. Key secondary objectives are to evaluate the pharmacokinetics of TG-1801 and its preliminary anticancer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Programs</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addition to our clinical programs, we currently have licensed preclinical programs for BET (TG-1601), IRAK4, and GITR.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TIME TO COMPLETE PRODUCT DEVELOPMENT</w:t>
      </w:r>
    </w:p>
    <w:p>
      <w:pPr>
        <w:spacing w:after="0" w:line="22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information below provides estimates regarding the costs associated with the completion of the current development phase and our current estimated range of the time that will be necessary to complete that development phase for our key pipeline products. We also direct your attention to the risk factors which could significantly affect our ability to meet these cost and time estimates found in this report in Item 1A under the heading “Risks Related to the Company’s Business and Industry.”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Completion of</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9"/>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Product Candidate</w:t>
            </w:r>
          </w:p>
        </w:tc>
        <w:tc>
          <w:tcPr>
            <w:tcW w:w="1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Target Indication</w:t>
            </w: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Phase</w:t>
            </w:r>
          </w:p>
        </w:tc>
        <w:tc>
          <w:tcPr>
            <w:tcW w:w="12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Estimated Cost to Complete Phase</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Ublituximab &amp; Umbralisib</w:t>
            </w:r>
          </w:p>
        </w:tc>
        <w:tc>
          <w:tcPr>
            <w:tcW w:w="12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CLL patients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III</w:t>
            </w:r>
          </w:p>
        </w:tc>
        <w:tc>
          <w:tcPr>
            <w:tcW w:w="1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Approximately $5 million</w:t>
            </w:r>
          </w:p>
        </w:tc>
      </w:tr>
      <w:tr>
        <w:trPr>
          <w:trHeight w:val="24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Umbralisib +/-Ublituximab</w:t>
            </w:r>
          </w:p>
        </w:tc>
        <w:tc>
          <w:tcPr>
            <w:tcW w:w="12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Relapsed/refractory NHL patients</w:t>
            </w:r>
          </w:p>
        </w:tc>
        <w:tc>
          <w:tcPr>
            <w:tcW w:w="12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Phase IIb</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$5 million</w:t>
            </w:r>
          </w:p>
        </w:tc>
      </w:tr>
      <w:tr>
        <w:trPr>
          <w:trHeight w:val="203"/>
        </w:trPr>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6"/>
              </w:rPr>
              <w:t>In Relapsing forms of Multiple Sclerosis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Ublituximab</w:t>
            </w:r>
          </w:p>
        </w:tc>
        <w:tc>
          <w:tcPr>
            <w:tcW w:w="1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III</w:t>
            </w:r>
          </w:p>
        </w:tc>
        <w:tc>
          <w:tcPr>
            <w:tcW w:w="1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Approximately $35 million</w:t>
            </w:r>
          </w:p>
        </w:tc>
      </w:tr>
    </w:tbl>
    <w:p>
      <w:pPr>
        <w:spacing w:after="0"/>
        <w:rPr>
          <w:sz w:val="20"/>
          <w:szCs w:val="20"/>
          <w:color w:val="auto"/>
        </w:rPr>
      </w:pPr>
      <w:r>
        <w:rPr>
          <w:rFonts w:ascii="Times New Roman" w:cs="Times New Roman" w:eastAsia="Times New Roman" w:hAnsi="Times New Roman"/>
          <w:sz w:val="18"/>
          <w:szCs w:val="18"/>
          <w:color w:val="auto"/>
        </w:rPr>
        <w:t>*Completion of phase for this study indicates completion of portion of study, which, if successful, would support an accelerated approval</w:t>
      </w:r>
    </w:p>
    <w:p>
      <w:pPr>
        <w:spacing w:after="0" w:line="21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Completion dates and costs in the above table are estimates due to the uncertainties associated with clinical trials and the related requirements of development. In the cases where the requirements for clinical trials and development programs have not been fully defined, or are dependent on the success of other trials, we cannot estimate trial completion or cost with any certainty. The actual spending on each trial during the year is also dependent on funding. We therefore direct your attention to Item 7 under the heading “Liquidity and Capital Resources.”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INTELLECTUAL PROPERTY AND PATENTS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9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also depend upon the skills, knowledge and experience of our scientific and technical personnel, as well as that of our advisors, consultants and other contractors. This knowledge, trade secrets, proprietary information and experience we call “know-how.” To help protect our proprietary know-how which is not patentable, and for inventions for which patents may be difficult to enforce, we rely on trade secret protection and confidentiality agreements to protect our interests. To this end, we require all employees, consultants, advisors and other contractors to enter into confidentiality agreements which prohibit the disclosure of confidential information and, where applicable, require disclosure and assignment to us of the ideas, developments, discoveries and inventions important to our business.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9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Generally, patent applications in the U.S. are maintained in secrecy for a period of 18 months or more. Since publication of discoveries in the scientific or patent literature often lag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 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 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195" w:lineRule="exact"/>
        <w:rPr>
          <w:sz w:val="20"/>
          <w:szCs w:val="20"/>
          <w:color w:val="auto"/>
        </w:rPr>
      </w:pPr>
    </w:p>
    <w:p>
      <w:pPr>
        <w:jc w:val="both"/>
        <w:ind w:right="180" w:firstLine="648"/>
        <w:spacing w:after="0" w:line="287" w:lineRule="auto"/>
        <w:rPr>
          <w:sz w:val="20"/>
          <w:szCs w:val="20"/>
          <w:color w:val="auto"/>
        </w:rPr>
      </w:pPr>
      <w:r>
        <w:rPr>
          <w:rFonts w:ascii="Times New Roman" w:cs="Times New Roman" w:eastAsia="Times New Roman" w:hAnsi="Times New Roman"/>
          <w:sz w:val="16"/>
          <w:szCs w:val="16"/>
          <w:color w:val="auto"/>
        </w:rPr>
        <w:t>We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combinations of our drugs together and with drugs developed by others. The intellectual property portfolios for our most advanced drug candidates as of February 28, 2018 are summarized below.</w:t>
      </w:r>
    </w:p>
    <w:p>
      <w:pPr>
        <w:spacing w:after="0" w:line="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auto"/>
        </w:rPr>
        <w:t>Each of these portfolios contain pending patent applications covering our drug candidates and uses and combinations of the drug candidates, prosecution has just begun or is in progress. Prosecution is a lengthy process, during which the scope of the claims initially submitted for examination by the USPTO often significantly narrowed by the time they issue, if they issue at all. We expect this to be the case with respect to our pending patent applications referred to below.</w:t>
      </w:r>
    </w:p>
    <w:p>
      <w:pPr>
        <w:spacing w:after="0" w:line="90" w:lineRule="exact"/>
        <w:rPr>
          <w:sz w:val="20"/>
          <w:szCs w:val="20"/>
          <w:color w:val="auto"/>
        </w:rPr>
      </w:pPr>
    </w:p>
    <w:p>
      <w:pPr>
        <w:ind w:right="540" w:firstLine="648"/>
        <w:spacing w:after="0" w:line="275" w:lineRule="auto"/>
        <w:rPr>
          <w:sz w:val="20"/>
          <w:szCs w:val="20"/>
          <w:color w:val="auto"/>
        </w:rPr>
      </w:pPr>
      <w:r>
        <w:rPr>
          <w:rFonts w:ascii="Times New Roman" w:cs="Times New Roman" w:eastAsia="Times New Roman" w:hAnsi="Times New Roman"/>
          <w:sz w:val="18"/>
          <w:szCs w:val="18"/>
          <w:color w:val="auto"/>
        </w:rPr>
        <w:t>Additionally, because the date for any potential regulatory approval is currently unknown we cannot predict the expected expiration date, and it is possible that the life of these patents following regulatory approval could be minimal.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Ublituximab</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Pursuant to our license for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protections include composition of matter patents relating to the structure and mechanism of action for ublituximab as well as method of use patents which cover use of ublituximab in combination with various agents and for various therapeutic indications.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14" w:name="page15"/>
    <w:bookmarkEnd w:id="14"/>
    <w:p>
      <w:pPr>
        <w:ind w:right="280" w:firstLine="648"/>
        <w:spacing w:after="0" w:line="301" w:lineRule="auto"/>
        <w:rPr>
          <w:sz w:val="20"/>
          <w:szCs w:val="20"/>
          <w:color w:val="auto"/>
        </w:rPr>
      </w:pPr>
      <w:r>
        <w:rPr>
          <w:rFonts w:ascii="Times New Roman" w:cs="Times New Roman" w:eastAsia="Times New Roman" w:hAnsi="Times New Roman"/>
          <w:sz w:val="16"/>
          <w:szCs w:val="16"/>
          <w:color w:val="auto"/>
        </w:rPr>
        <w:t>The composition of matter patent for ublituximab has been issued in the U.S. and Europe, which affords patent protection until 2029 in the U.S. and 2025 in Europe, exclusive of patent term extensions. We also have a method of use patent on the combination of umbralisib and ublituximab which has been issued in the U.S., EU, and Japan, and is pending in other territories globally. Additionally, we have numerous granted patents and pending patent applications outside the U.S. which include claims directed to the composition of matter and methods of treatment with ublituximab in various settings.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Umbralisib</w:t>
      </w:r>
    </w:p>
    <w:p>
      <w:pPr>
        <w:spacing w:after="0" w:line="227" w:lineRule="exact"/>
        <w:rPr>
          <w:sz w:val="20"/>
          <w:szCs w:val="20"/>
          <w:color w:val="auto"/>
        </w:rPr>
      </w:pPr>
    </w:p>
    <w:p>
      <w:pPr>
        <w:ind w:right="100" w:firstLine="648"/>
        <w:spacing w:after="0" w:line="291" w:lineRule="auto"/>
        <w:rPr>
          <w:sz w:val="20"/>
          <w:szCs w:val="20"/>
          <w:color w:val="auto"/>
        </w:rPr>
      </w:pPr>
      <w:r>
        <w:rPr>
          <w:rFonts w:ascii="Times New Roman" w:cs="Times New Roman" w:eastAsia="Times New Roman" w:hAnsi="Times New Roman"/>
          <w:sz w:val="16"/>
          <w:szCs w:val="16"/>
          <w:color w:val="auto"/>
        </w:rPr>
        <w:t>Pursuant to our license for umbralisib with Rhizen, we have the exclusive commercial rights to a series of patent applications in the U.S. and abroad. The patent applications include composition of matter patents relating to the structure, mechanism of action, and formulation for umbralisib as well as method of use patents which cover use of umbralisib in combination with various agents and for various therapeutic indications. Our composition of matter patent for umbralisib has been issued in the U.S. and Europe, which affords patent protection until 2033, exclusive of patent term extensions. We also have a method of use patent on the combination of umbralisib and ublituximab which has been issued in the U.S., EU, and Japan, and is pending in other territories globally. All other patent applications currently filed for umbralisib are currently pending. Because the dates for any potential regulatory approval are currently unknown we cannot predict the expected expiration date, and it is possible that the life of these patents following regulatory approval could be minimal.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TG-1501 (anti-PDL1 monoclonal antibody)</w:t>
      </w:r>
    </w:p>
    <w:p>
      <w:pPr>
        <w:spacing w:after="0" w:line="227" w:lineRule="exact"/>
        <w:rPr>
          <w:sz w:val="20"/>
          <w:szCs w:val="20"/>
          <w:color w:val="auto"/>
        </w:rPr>
      </w:pPr>
    </w:p>
    <w:p>
      <w:pPr>
        <w:jc w:val="both"/>
        <w:ind w:right="100" w:firstLine="648"/>
        <w:spacing w:after="0" w:line="262" w:lineRule="auto"/>
        <w:rPr>
          <w:sz w:val="20"/>
          <w:szCs w:val="20"/>
          <w:color w:val="auto"/>
        </w:rPr>
      </w:pPr>
      <w:r>
        <w:rPr>
          <w:rFonts w:ascii="Times New Roman" w:cs="Times New Roman" w:eastAsia="Times New Roman" w:hAnsi="Times New Roman"/>
          <w:sz w:val="18"/>
          <w:szCs w:val="18"/>
          <w:color w:val="auto"/>
        </w:rPr>
        <w:t>Pursuant to our Global Collaboration with Checkpoint Therapeutics, we have the exclusive commercial rights in the treatment of hematological cancers and autoimmune diseases to a series of patent applications pending in the United States, Australia, Canada, Europe, Israel and Korea. Any patents maturing from these pending applications will expire no sooner than October 2033.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TG-1701 (BTK inhibitor)</w:t>
      </w:r>
    </w:p>
    <w:p>
      <w:pPr>
        <w:spacing w:after="0" w:line="227" w:lineRule="exact"/>
        <w:rPr>
          <w:sz w:val="20"/>
          <w:szCs w:val="20"/>
          <w:color w:val="auto"/>
        </w:rPr>
      </w:pPr>
    </w:p>
    <w:p>
      <w:pPr>
        <w:jc w:val="both"/>
        <w:ind w:right="220" w:firstLine="648"/>
        <w:spacing w:after="0" w:line="262" w:lineRule="auto"/>
        <w:rPr>
          <w:sz w:val="20"/>
          <w:szCs w:val="20"/>
          <w:color w:val="auto"/>
        </w:rPr>
      </w:pPr>
      <w:r>
        <w:rPr>
          <w:rFonts w:ascii="Times New Roman" w:cs="Times New Roman" w:eastAsia="Times New Roman" w:hAnsi="Times New Roman"/>
          <w:sz w:val="18"/>
          <w:szCs w:val="18"/>
          <w:color w:val="auto"/>
        </w:rPr>
        <w:t>Pursuant to our license agreement with Jiangsu Hengrui, we have the exclusive commercial rights to a patent family which covers the composition of matter and proposed methods of use for various therapeutic indications. All patent applications currently filed for the BTK program are currently pending. Any patents maturing from these pending applications will expire no sooner than October 2034.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TG-1801 (anti-CD47/anti-CD19 bispecific antibody)</w:t>
      </w:r>
    </w:p>
    <w:p>
      <w:pPr>
        <w:spacing w:after="0" w:line="227"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Pursuant to our joint venture and license option agreement with Novimmune, we have the exclusive commercial rights to a series of global patent applications, all of which are currently pending. Any patents maturing from these pending applications will expire no sooner than December 2032.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Patent Rights and Trade Secrets</w:t>
      </w:r>
    </w:p>
    <w:p>
      <w:pPr>
        <w:spacing w:after="0" w:line="227"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Times New Roman" w:cs="Times New Roman" w:eastAsia="Times New Roman" w:hAnsi="Times New Roman"/>
          <w:sz w:val="18"/>
          <w:szCs w:val="18"/>
          <w:i w:val="1"/>
          <w:iCs w:val="1"/>
          <w:color w:val="auto"/>
        </w:rPr>
        <w:t>“Item 1A – Risk Factors -- Risks Related to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In addition, the limited patent protection may adversely affect the value of our product candidates and may inhibit our ability to obtain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partner at terms acceptable to us, if at all.</w:t>
      </w:r>
    </w:p>
    <w:p>
      <w:pPr>
        <w:spacing w:after="0" w:line="19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90"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8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6"/>
          <w:szCs w:val="16"/>
          <w:color w:val="auto"/>
        </w:rPr>
        <w:t>In addition, while we have and plan to continue to enter into confidentiality agreements designed to protect our trade secrets, know-how and proprietary information and to grant us ownership of inventions that are developed by individuals in connection with their relationship with us, these agreements may not, however, provide protection for our trade secrets, know-how and proprietary information in the event of unauthorized disclosure of such information.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Orphan Drug Designation</w:t>
      </w:r>
    </w:p>
    <w:p>
      <w:pPr>
        <w:spacing w:after="0" w:line="254" w:lineRule="exact"/>
        <w:rPr>
          <w:sz w:val="20"/>
          <w:szCs w:val="20"/>
          <w:color w:val="auto"/>
        </w:rPr>
      </w:pPr>
    </w:p>
    <w:p>
      <w:pPr>
        <w:ind w:right="120" w:firstLine="702"/>
        <w:spacing w:after="0" w:line="255" w:lineRule="auto"/>
        <w:rPr>
          <w:sz w:val="20"/>
          <w:szCs w:val="20"/>
          <w:color w:val="auto"/>
        </w:rPr>
      </w:pPr>
      <w:r>
        <w:rPr>
          <w:rFonts w:ascii="Times New Roman" w:cs="Times New Roman" w:eastAsia="Times New Roman" w:hAnsi="Times New Roman"/>
          <w:sz w:val="18"/>
          <w:szCs w:val="18"/>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220" w:lineRule="exact"/>
        <w:rPr>
          <w:sz w:val="20"/>
          <w:szCs w:val="20"/>
          <w:color w:val="auto"/>
        </w:rPr>
      </w:pPr>
    </w:p>
    <w:p>
      <w:pPr>
        <w:jc w:val="both"/>
        <w:ind w:right="240" w:firstLine="648"/>
        <w:spacing w:after="0" w:line="262" w:lineRule="auto"/>
        <w:rPr>
          <w:sz w:val="20"/>
          <w:szCs w:val="20"/>
          <w:color w:val="auto"/>
        </w:rPr>
      </w:pPr>
      <w:r>
        <w:rPr>
          <w:rFonts w:ascii="Times New Roman" w:cs="Times New Roman" w:eastAsia="Times New Roman" w:hAnsi="Times New Roman"/>
          <w:sz w:val="18"/>
          <w:szCs w:val="18"/>
          <w:color w:val="auto"/>
        </w:rPr>
        <w:t>Pursuant to these regulations, ublituximab has received Orphan Drug Designation from the FDA for the treatment of MZL (Nodal and Extranodal) in September 2013, for the treatment of CLL in August of 2010, and Orphan Drug Designation by the European Medicines Agency (“EMA”) for the treatment of CLL in November of 2009.</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also obtained Orphan Drug Designation for umbralisib as monotherapy for the treatment of CLL in August 2016, and in January 2017, we announced that the FDA granted Orphan Drug Designation covering the combination of ublituximab and umbralisib for the treatment of patients with CLL and DLBCL. We believe that ublituximab and umbralisib, as well as our other pipeline products may be eligible for additional Orphan Drug Designations; however, we cannot assure you that ublituximab, umbralisib, or any other drug candidates we may acquire or in-license, will obtain such Orphan Drug Designations or that we will be the first to receive FDA approval for any drug candidates that do obtain Orphan Drug Designation so as to be eligible for market exclusivity protection.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Patent Term Restoration and Marketing Exclusivity</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26"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18"/>
          <w:szCs w:val="18"/>
          <w:color w:val="auto"/>
        </w:rPr>
        <w:t>Upon FDA approval, we believe that ublituximab and umbralisib each would qualify as a New Chemical Entity, or NCE, which provides for five years of exclusivity following approval as discussed above.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LICENSING AGREEMENTS AND COLLABORATIONS</w:t>
      </w:r>
    </w:p>
    <w:p>
      <w:pPr>
        <w:spacing w:after="0" w:line="227" w:lineRule="exact"/>
        <w:rPr>
          <w:sz w:val="20"/>
          <w:szCs w:val="20"/>
          <w:color w:val="auto"/>
        </w:rPr>
      </w:pPr>
    </w:p>
    <w:p>
      <w:pPr>
        <w:ind w:right="400" w:firstLine="486"/>
        <w:spacing w:after="0" w:line="275" w:lineRule="auto"/>
        <w:rPr>
          <w:sz w:val="20"/>
          <w:szCs w:val="20"/>
          <w:color w:val="auto"/>
        </w:rPr>
      </w:pPr>
      <w:r>
        <w:rPr>
          <w:rFonts w:ascii="Times New Roman" w:cs="Times New Roman" w:eastAsia="Times New Roman" w:hAnsi="Times New Roman"/>
          <w:sz w:val="18"/>
          <w:szCs w:val="18"/>
          <w:color w:val="auto"/>
        </w:rPr>
        <w:t>We have formed strategic alliances with a number of companies for the manufacture and commercialization of our products. Our current key strategic alliances are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Ublituximab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LFB Biotechnologies S.A.S, GTC Biotherapeutics, LFB/GTC LLC.</w:t>
      </w:r>
    </w:p>
    <w:p>
      <w:pPr>
        <w:spacing w:after="0" w:line="227" w:lineRule="exact"/>
        <w:rPr>
          <w:sz w:val="20"/>
          <w:szCs w:val="20"/>
          <w:color w:val="auto"/>
        </w:rPr>
      </w:pPr>
    </w:p>
    <w:p>
      <w:pPr>
        <w:ind w:right="20" w:firstLine="486"/>
        <w:spacing w:after="0" w:line="290" w:lineRule="auto"/>
        <w:rPr>
          <w:sz w:val="20"/>
          <w:szCs w:val="20"/>
          <w:color w:val="auto"/>
        </w:rPr>
      </w:pPr>
      <w:r>
        <w:rPr>
          <w:rFonts w:ascii="Times New Roman" w:cs="Times New Roman" w:eastAsia="Times New Roman" w:hAnsi="Times New Roman"/>
          <w:sz w:val="16"/>
          <w:szCs w:val="16"/>
          <w:color w:val="auto"/>
        </w:rPr>
        <w:t>In January 2012, we entered into an exclusive license agreement with LFB Biotechnologies, GTC Biotherapeutics, and LFB/GTC LLC, all wholly-owned subsidiaries of LFB Group, relating to the development of ublituximab. Under the license agreement, we have acquired the exclusive worldwide rights (exclusive of France/Belgium) for the development and commercialization of ublituximab. To date, we have made no payments to LFB Group under the license agreement, excluding an upfront equity payment. LFB Group is eligible to receive payments of up to an aggregate of approximately $31.0 million upon our successful achievement of certain clinical development, regulatory and sales milestones, in addition to royalty payments on net sales of ublituximab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Ildong Pharmaceutical Co. Ltd.</w:t>
      </w:r>
    </w:p>
    <w:p>
      <w:pPr>
        <w:spacing w:after="0" w:line="227" w:lineRule="exact"/>
        <w:rPr>
          <w:sz w:val="20"/>
          <w:szCs w:val="20"/>
          <w:color w:val="auto"/>
        </w:rPr>
      </w:pPr>
    </w:p>
    <w:p>
      <w:pPr>
        <w:ind w:firstLine="486"/>
        <w:spacing w:after="0" w:line="290" w:lineRule="auto"/>
        <w:rPr>
          <w:sz w:val="20"/>
          <w:szCs w:val="20"/>
          <w:color w:val="auto"/>
        </w:rPr>
      </w:pPr>
      <w:r>
        <w:rPr>
          <w:rFonts w:ascii="Times New Roman" w:cs="Times New Roman" w:eastAsia="Times New Roman" w:hAnsi="Times New Roman"/>
          <w:sz w:val="16"/>
          <w:szCs w:val="16"/>
          <w:color w:val="auto"/>
        </w:rPr>
        <w:t>In November 2012, we entered into an exclusive (within the territory) sublicense agreement with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To date, we have received $2 million in the form of an upfront payment from Ildong and are eligible to receive sales-based milestone payments up to an aggregate of $5 million and royalty payments on net sales of ublituximab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Umbralisib</w:t>
      </w:r>
    </w:p>
    <w:p>
      <w:pPr>
        <w:spacing w:after="0" w:line="254" w:lineRule="exact"/>
        <w:rPr>
          <w:sz w:val="20"/>
          <w:szCs w:val="20"/>
          <w:color w:val="auto"/>
        </w:rPr>
      </w:pPr>
    </w:p>
    <w:p>
      <w:pPr>
        <w:ind w:right="80" w:firstLine="486"/>
        <w:spacing w:after="0" w:line="262" w:lineRule="auto"/>
        <w:rPr>
          <w:sz w:val="20"/>
          <w:szCs w:val="20"/>
          <w:color w:val="auto"/>
        </w:rPr>
      </w:pPr>
      <w:r>
        <w:rPr>
          <w:rFonts w:ascii="Times New Roman" w:cs="Times New Roman" w:eastAsia="Times New Roman" w:hAnsi="Times New Roman"/>
          <w:sz w:val="18"/>
          <w:szCs w:val="18"/>
          <w:color w:val="auto"/>
        </w:rPr>
        <w:t>In September 2014, we exercised our option to license the global rights to umbralisib, thereby entering into an exclusive licensing agreement (the “Umbralisib License”) with Rhizen Pharmaceuticals, S A (“Rhizen”) for the development and commercialization of umbralisib. Prior to this, we had been jointly developing umbralisib in a 50:50 joint venture with Rhizen.</w:t>
      </w:r>
    </w:p>
    <w:p>
      <w:pPr>
        <w:spacing w:after="0" w:line="18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Under the terms of the Umbralisib License, Rhizen received a $4.0 million cash payment and 371,530 shares of our common stock as an upfront license fee. With respect to umbralisib, Rhizen will be eligible to receive regulatory filing, approval and sales 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will be entitled to tiered royalties that escalate from high single digits to low double digits on our future net sales of umbralisib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(ii) by either party due to a breach of the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TG-1501 (anti-PD-L1 monoclonal antibody)</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March 2015, we entered into a Global Collaboration (the “Collaboration”) with Checkpoint Therapeutics, Inc. (“Checkpoint”) for the development and commercialization of Checkpoint’s anti-PD-L1 and anti-GITR antibody research programs in the field of hematological malignancies with an option to acquire rights in autoimmune diseases. These antibodies were generated at Dana-Farber Cancer Institute (Dana-Farber). Under the terms of the Collaboration, we made an up-front payment of $500,000, will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Dana Farber containing a valid claim to any licensed product in such country. We are currently renegotiating certain terms of the Collaboration agreement with Checkpoint and may incur additional upfront payments when a definitive agreement is reached.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TG-1701 (BTK inhibitor)</w:t>
      </w:r>
    </w:p>
    <w:p>
      <w:pPr>
        <w:spacing w:after="0" w:line="227"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6"/>
          <w:szCs w:val="16"/>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for hematologic malignancies. Pursuant to the agreement, we paid Hengrui an upfront fee of $1.0 million in our common stock.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Additionally, before we can license, sell, develop, or commercialize ublituximab within China, we must notify Hengrui, giving Hengrui the right of first offer. The agreement allows combinations of TG-1701 or TG-1702 with umbralisib, ublituximab, or U2. Additional combinations may be undertaken under the agreement subject to additional pre-specified payments to Hengrui.</w:t>
      </w:r>
    </w:p>
    <w:p>
      <w:pPr>
        <w:spacing w:after="0" w:line="167"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The term of the agreement expires after the expiration of the last royalty term to expire with respect to any of the patent rights under the agreement. We or Hengrui may terminate the agreement upon notice to the other upon breach without remedy or upon insolvency. In addition, either party may terminate the agreement upon a material breach, after providing the other party with adequate notice and allowing 45 days to cure.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TG-1801 (anti-CD47/anti-CD19 bispecific antibody)</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IRAK4</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June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90" w:lineRule="exact"/>
        <w:rPr>
          <w:sz w:val="20"/>
          <w:szCs w:val="20"/>
          <w:color w:val="auto"/>
        </w:rPr>
      </w:pPr>
    </w:p>
    <w:p>
      <w:pPr>
        <w:ind w:right="40" w:firstLine="648"/>
        <w:spacing w:after="0" w:line="293" w:lineRule="auto"/>
        <w:rPr>
          <w:sz w:val="20"/>
          <w:szCs w:val="20"/>
          <w:color w:val="auto"/>
        </w:rPr>
      </w:pPr>
      <w:r>
        <w:rPr>
          <w:rFonts w:ascii="Times New Roman" w:cs="Times New Roman" w:eastAsia="Times New Roman" w:hAnsi="Times New Roman"/>
          <w:sz w:val="16"/>
          <w:szCs w:val="16"/>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 The license will terminate on a country by country basis upon the expiration of the last licensed patent right or 10 years after the first commercial sale of a product in such country, unless the agreement is earlier terminated by either party due to a breach of the agreement in the event of the insolvency of the other party.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TG-1601 (BET inhibitor)</w:t>
      </w:r>
    </w:p>
    <w:p>
      <w:pPr>
        <w:spacing w:after="0" w:line="22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In May 2016, as part of a broader agreement with Jubilant Biosys (Jubilant), an India-based biotechnology company, we entered into a sub-license agreement (JBET Agreement) with Checkpoint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9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1"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19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drugs that we are attempting to develop will have to compete with existing therapies. In addition, a large number of companies are pursuing the development of pharmaceuticals that target the same diseases and conditions that we are targeting. Other companies have products or drug candidates in various stages of pre-clinical or clinical development to treat diseases for which we are also seeking to discover and develop drug candidates. Some of these potential competing drugs are further advanced in development than our drug candidates and may be commercialized earlier. The resulting changes in standard of care can impact the likelihood of regulatory accelerated approval opportunities for our drug candidates.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cancer indications for which we are developing our products there are a number of established therapies with which we will compete:</w:t>
      </w:r>
    </w:p>
    <w:p>
      <w:pPr>
        <w:spacing w:after="0" w:line="225" w:lineRule="exact"/>
        <w:rPr>
          <w:sz w:val="20"/>
          <w:szCs w:val="20"/>
          <w:color w:val="auto"/>
        </w:rPr>
      </w:pPr>
    </w:p>
    <w:p>
      <w:pPr>
        <w:jc w:val="both"/>
        <w:ind w:left="1300" w:hanging="320"/>
        <w:spacing w:after="0" w:line="25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treatment of Chronic Lymphocytic Leukemia, if U2 is approved, we expect U2 to compete with recently approved drugs such as ibrutinib (AbbVie and Janssen), venetoclax (AbbVie and Roche), obinutuzumab (Roche), idelalisib (Gilead) and duvelisib (Verastem), and established treatments such as rituximab (Roche), and several generically available chemotherapies. Additionally, there are two second generation BTK inhibitors similar to ibrutinib in late-stage clinical testing for CLL that could enter the market in the next 12-36 months. Each of these agents can be used as monotherapy or in combination with one or more of the other agents.</w:t>
      </w:r>
    </w:p>
    <w:p>
      <w:pPr>
        <w:spacing w:after="0" w:line="192"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treatment of Marginal Zone Lymphoma, if approved, we expect umbralisib to compete with ibrutinib (AbbVie and Janssen) and established treatments such as rituximab and several generically available chemotherapies. Additionally, the combination of rituximab and lenalidomide (Celgene) has been studied in MZL and may be approved.</w:t>
      </w:r>
    </w:p>
    <w:p>
      <w:pPr>
        <w:spacing w:after="0" w:line="186"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treatment of Follicular Lymphoma, if approved, we expect umbralisib to compete with recently approved drugs such as obinutuzumab (Roche), idelalisib (Gilead), copanlisib (Bayer), and duvelisib (Verastem), and established treatments such as rituximab (Roche), and several generically available chemotherapies. Each of these agents can be used as monotherapy or in combination with one or more of the other agents. The combination of rituximab and lenalidomide (Celgene) has also been studied in FL and may be approved. There are also several PI3K delta inhibitors in earlier stages of development.</w:t>
      </w:r>
    </w:p>
    <w:p>
      <w:pPr>
        <w:spacing w:after="0" w:line="192"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Multiple Sclerosis for which we are developing ublituximab there are a number of established therapies with which we will compete:</w:t>
      </w:r>
    </w:p>
    <w:p>
      <w:pPr>
        <w:spacing w:after="0" w:line="225" w:lineRule="exact"/>
        <w:rPr>
          <w:sz w:val="20"/>
          <w:szCs w:val="20"/>
          <w:color w:val="auto"/>
        </w:rPr>
      </w:pPr>
    </w:p>
    <w:p>
      <w:pPr>
        <w:jc w:val="both"/>
        <w:ind w:left="1300" w:hanging="320"/>
        <w:spacing w:after="0" w:line="258"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is one anti-CD20 monoclonal antibody approved, ocrelizumab (Roche), and another in Phase 3 development, ofatumumab (Novartis), which is expected to enter the market in the next 12-24 months.</w:t>
      </w:r>
    </w:p>
    <w:p>
      <w:pPr>
        <w:spacing w:after="0" w:line="19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TG-1501, TG-1701 and TG-1801 if approved will also face competition from drugs on the market and under development that have the same mechanism of action as each of those drugs.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can be found under Item “1A - Risk Factors – Other Risks Related to Our Business” within this report.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limited experience in manufacturing products for clinical or commercial purposes. We currently do not have any manufacturing capabilities of our own. We have established contract manufacturing relationships for the supply of ublituximab. We have also established contract manufacturing relationships for the supply of umbralisib as part of our licensing agreement with Rhizen. As with any supply program, obtaining pre-clinical and clinical materials of sufficient quality and quantity to meet the requirements of our development programs cannot be guaranteed and we cannot ensure that we will be successful in this endeavor. In addition, as we move closer to commercialization for ublituximab and umbralisib we will need to scale-up production to ensure adequate commercial supply, complete validation batches and complete pre-approval inspection batches. We are currently in the process of scaling up ublituximab and completing validation and pre-approval inspection batches for both ublituximab and umbralisib. This is an expensive process which will require significant investment on our part over the next 24 months and there can be no assurance given that such scale-up and process validation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w:t>
      </w:r>
    </w:p>
    <w:p>
      <w:pPr>
        <w:spacing w:after="0" w:line="19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Process improvements are common during clinical development to accommodate raw material and component variability, enhance productivity and/or accommodate different or larger equipment utilized during the scale-up process required for commercial manufacture. These types of incremental process changes have been made during clinical development for both TG’s small and large molecule programs. For example, our UNITY-CLL Phase 3 clinical trial contains ublituximab produced from both a pre-commercial process and the current commercial process. While there are some analytical differences between the two materials, we do not expect those differences to have an effect on the clinical performance of ublituximab. The primary difference is that the commercial process has resulted in further enhancement to the ADCC effect, potentially enhancing potency. We will analyze the Phase 3 data to ensure that the materials are substantially similar in performance. If there are material differences in safety or efficacy, we may need to adjust our statistical analysis of the Phase 3 study, which could impact the approvability of the U2 combination in CLL.</w:t>
      </w:r>
    </w:p>
    <w:p>
      <w:pPr>
        <w:spacing w:after="0" w:line="19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At the time of commercial sale, to the extent possible and commercially practicable, we would seek to engage back-up suppliers for raw materials, manufacturing and testing services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93"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8"/>
          <w:szCs w:val="18"/>
          <w:color w:val="auto"/>
        </w:rPr>
        <w:t>We expect to similarly rely on contract manufacturing relationships for any products that we may in-license or acquire in the future. However, there can be no assurance that we will be able to successfully contract with such manufacturers on terms acceptable to us, or at all.</w:t>
      </w:r>
    </w:p>
    <w:p>
      <w:pPr>
        <w:spacing w:after="0" w:line="17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Contract manufacturers are subject to ongoing periodic and unannounced inspections by the FDA, the Drug Enforcement Administration and corresponding state agencies to ensure strict compliance with cGMP and other state and federal regulations. Our contractors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93"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18"/>
          <w:szCs w:val="18"/>
          <w:color w:val="auto"/>
        </w:rPr>
        <w:t>If we need to change manufacturers after commercialization, the FDA and corresponding foreign regulatory agencies must approve these new manufacturers in advance, which will involve testing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INDUSTRY REGULATION</w:t>
      </w:r>
    </w:p>
    <w:p>
      <w:pPr>
        <w:spacing w:after="0" w:line="22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Numerous governmental authorities, principally the FDA and corresponding state and foreign regulatory agencies, impose substantial regulations upon the clinical development, manufacture and marketing of our drug candidates, as well as our ongoing research and development activities. None of our drug candidates have been approved for sale in any market in which we have marketing rights. Before marketing in the U.S., any drug that we develop must undergo rigorous pre-clinical testing and clinical trials and an extensive regulatory approval process implemented by the FDA under the FDCA. The FDA regulates, among other things, the pre-clinical and clinical testing, safety, efficacy, approval, manufacturing, record keeping, adverse event reporting, packaging, labeling, storage, advertising, promotion, export, sale and distribution of biopharmaceutical products.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0" w:name="page21"/>
    <w:bookmarkEnd w:id="20"/>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Clinical testing must meet requirements for institutional review board oversight, informed consent and good clinical practices, and must be conducted pursuant to an IND, unless exempted. 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NDA approval, clinical trials are typically conducted in the following sequential phases:</w:t>
      </w:r>
    </w:p>
    <w:p>
      <w:pPr>
        <w:spacing w:after="0" w:line="223" w:lineRule="exact"/>
        <w:rPr>
          <w:sz w:val="20"/>
          <w:szCs w:val="20"/>
          <w:color w:val="auto"/>
        </w:rPr>
      </w:pPr>
    </w:p>
    <w:p>
      <w:pPr>
        <w:ind w:left="1200" w:hanging="217"/>
        <w:spacing w:after="0" w:line="277"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is administered to a small group of humans, either healthy volunteers or patients, to test for safety, dosage tolerance,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absorption, metabolism, excretion, and clinical pharmacology.</w:t>
      </w:r>
    </w:p>
    <w:p>
      <w:pPr>
        <w:spacing w:after="0" w:line="170" w:lineRule="exact"/>
        <w:rPr>
          <w:rFonts w:ascii="Times New Roman" w:cs="Times New Roman" w:eastAsia="Times New Roman" w:hAnsi="Times New Roman"/>
          <w:sz w:val="18"/>
          <w:szCs w:val="18"/>
          <w:color w:val="auto"/>
        </w:rPr>
      </w:pPr>
    </w:p>
    <w:p>
      <w:pPr>
        <w:ind w:left="1200" w:hanging="217"/>
        <w:spacing w:after="0" w:line="277"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Studies are conducted on a larger number of patients to assess the efficacy of the product, to ascertain dose tolerance and the optimal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dose range, and to gather additional data relating to safety and potential adverse events.</w:t>
      </w:r>
    </w:p>
    <w:p>
      <w:pPr>
        <w:spacing w:after="0" w:line="170" w:lineRule="exact"/>
        <w:rPr>
          <w:rFonts w:ascii="Times New Roman" w:cs="Times New Roman" w:eastAsia="Times New Roman" w:hAnsi="Times New Roman"/>
          <w:sz w:val="18"/>
          <w:szCs w:val="18"/>
          <w:color w:val="auto"/>
        </w:rPr>
      </w:pPr>
    </w:p>
    <w:p>
      <w:pPr>
        <w:ind w:left="1200" w:hanging="217"/>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Studies establish safety and efficacy in an expanded patient population.</w:t>
      </w:r>
    </w:p>
    <w:p>
      <w:pPr>
        <w:spacing w:after="0" w:line="225" w:lineRule="exact"/>
        <w:rPr>
          <w:rFonts w:ascii="Times New Roman" w:cs="Times New Roman" w:eastAsia="Times New Roman" w:hAnsi="Times New Roman"/>
          <w:sz w:val="18"/>
          <w:szCs w:val="18"/>
          <w:color w:val="auto"/>
        </w:rPr>
      </w:pPr>
    </w:p>
    <w:p>
      <w:pPr>
        <w:ind w:left="1200" w:right="20" w:hanging="217"/>
        <w:spacing w:after="0" w:line="277"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4</w:t>
      </w:r>
      <w:r>
        <w:rPr>
          <w:rFonts w:ascii="Times New Roman" w:cs="Times New Roman" w:eastAsia="Times New Roman" w:hAnsi="Times New Roman"/>
          <w:sz w:val="18"/>
          <w:szCs w:val="18"/>
          <w:color w:val="auto"/>
        </w:rPr>
        <w:t>: The FDA may require Phase 4 post-marketing studies to find out more about the drug’s long-term risks, benefits, and optimal use,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the drug in different populations.</w:t>
      </w:r>
    </w:p>
    <w:p>
      <w:pPr>
        <w:spacing w:after="0" w:line="172" w:lineRule="exact"/>
        <w:rPr>
          <w:sz w:val="20"/>
          <w:szCs w:val="20"/>
          <w:color w:val="auto"/>
        </w:rPr>
      </w:pPr>
    </w:p>
    <w:p>
      <w:pPr>
        <w:jc w:val="both"/>
        <w:ind w:right="260" w:firstLine="527"/>
        <w:spacing w:after="0" w:line="262" w:lineRule="auto"/>
        <w:rPr>
          <w:sz w:val="20"/>
          <w:szCs w:val="20"/>
          <w:color w:val="auto"/>
        </w:rPr>
      </w:pPr>
      <w:r>
        <w:rPr>
          <w:rFonts w:ascii="Times New Roman" w:cs="Times New Roman" w:eastAsia="Times New Roman" w:hAnsi="Times New Roman"/>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213" w:lineRule="exact"/>
        <w:rPr>
          <w:sz w:val="20"/>
          <w:szCs w:val="20"/>
          <w:color w:val="auto"/>
        </w:rPr>
      </w:pPr>
    </w:p>
    <w:p>
      <w:pPr>
        <w:ind w:left="1200" w:hanging="217"/>
        <w:spacing w:after="0" w:line="275"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patient enrollment due to the nature of the clinical trial plan, the proximity of patients to clinical sites, the eligibility criteria for participation in the study or other factors;</w:t>
      </w:r>
    </w:p>
    <w:p>
      <w:pPr>
        <w:spacing w:after="0" w:line="173" w:lineRule="exact"/>
        <w:rPr>
          <w:rFonts w:ascii="Times New Roman" w:cs="Times New Roman" w:eastAsia="Times New Roman" w:hAnsi="Times New Roman"/>
          <w:sz w:val="18"/>
          <w:szCs w:val="18"/>
          <w:color w:val="auto"/>
        </w:rPr>
      </w:pPr>
    </w:p>
    <w:p>
      <w:pPr>
        <w:ind w:left="1200" w:right="20" w:hanging="217"/>
        <w:spacing w:after="0" w:line="275"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inadequately trained or insufficient personnel at the study site to assist in overseeing and monitoring clinical trials or delays in approvals from a study site’s review board;</w:t>
      </w:r>
    </w:p>
    <w:p>
      <w:pPr>
        <w:spacing w:after="0" w:line="173" w:lineRule="exact"/>
        <w:rPr>
          <w:rFonts w:ascii="Times New Roman" w:cs="Times New Roman" w:eastAsia="Times New Roman" w:hAnsi="Times New Roman"/>
          <w:sz w:val="18"/>
          <w:szCs w:val="18"/>
          <w:color w:val="auto"/>
        </w:rPr>
      </w:pPr>
    </w:p>
    <w:p>
      <w:pPr>
        <w:ind w:left="1200" w:hanging="217"/>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treatment time required to demonstrate efficacy or determine the appropriate product dose;</w:t>
      </w:r>
    </w:p>
    <w:p>
      <w:pPr>
        <w:spacing w:after="0" w:line="225" w:lineRule="exact"/>
        <w:rPr>
          <w:rFonts w:ascii="Times New Roman" w:cs="Times New Roman" w:eastAsia="Times New Roman" w:hAnsi="Times New Roman"/>
          <w:sz w:val="18"/>
          <w:szCs w:val="18"/>
          <w:color w:val="auto"/>
        </w:rPr>
      </w:pPr>
    </w:p>
    <w:p>
      <w:pPr>
        <w:ind w:left="1200" w:hanging="217"/>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of the drug candidates;</w:t>
      </w:r>
    </w:p>
    <w:p>
      <w:pPr>
        <w:spacing w:after="0" w:line="225" w:lineRule="exact"/>
        <w:rPr>
          <w:rFonts w:ascii="Times New Roman" w:cs="Times New Roman" w:eastAsia="Times New Roman" w:hAnsi="Times New Roman"/>
          <w:sz w:val="18"/>
          <w:szCs w:val="18"/>
          <w:color w:val="auto"/>
        </w:rPr>
      </w:pPr>
    </w:p>
    <w:p>
      <w:pPr>
        <w:ind w:left="1200" w:hanging="217"/>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medical events or side effects in treated patients; and</w:t>
      </w:r>
    </w:p>
    <w:p>
      <w:pPr>
        <w:spacing w:after="0" w:line="225" w:lineRule="exact"/>
        <w:rPr>
          <w:rFonts w:ascii="Times New Roman" w:cs="Times New Roman" w:eastAsia="Times New Roman" w:hAnsi="Times New Roman"/>
          <w:sz w:val="18"/>
          <w:szCs w:val="18"/>
          <w:color w:val="auto"/>
        </w:rPr>
      </w:pPr>
    </w:p>
    <w:p>
      <w:pPr>
        <w:ind w:left="1200" w:hanging="217"/>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the drug candidates.</w:t>
      </w:r>
    </w:p>
    <w:p>
      <w:pPr>
        <w:spacing w:after="0" w:line="25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For clinical trials that are intended to form the basis of a new drug or biologics license application for approval, sponsors of drugs may apply for an SPA from the FDA, by which the FDA provides official evaluation and written guidance on the design and size of proposed protocols. While obtaining an SPA provides some assurance the design of a trial should be sufficient for approval, the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1" w:name="page22"/>
    <w:bookmarkEnd w:id="21"/>
    <w:p>
      <w:pPr>
        <w:ind w:right="20" w:firstLine="648"/>
        <w:spacing w:after="0" w:line="291" w:lineRule="auto"/>
        <w:rPr>
          <w:sz w:val="20"/>
          <w:szCs w:val="20"/>
          <w:color w:val="auto"/>
        </w:rPr>
      </w:pPr>
      <w:r>
        <w:rPr>
          <w:rFonts w:ascii="Times New Roman" w:cs="Times New Roman" w:eastAsia="Times New Roman" w:hAnsi="Times New Roman"/>
          <w:sz w:val="16"/>
          <w:szCs w:val="16"/>
          <w:color w:val="auto"/>
        </w:rPr>
        <w:t>In September 2015, we reached an agreement with the FDA regarding an SPA on the design, endpoints and statistical analysis approach of a Phase 3 clinical trial, referred to as the UNITY-CLL trial, for the proprietary combination of ublituximab and umbralisib, for the treatment of CLL. The SPA provides agreement that the Phase 3 trial design adequately addresses objectives that, if met, would support the regulatory submission for drug approval of both ublituximab and umbralisib in combination. Additionally, in August 2017, we reached an agreement with the FDA regarding an SPA on the design of two Phase 3 clinical trials for ublituximab, referred to as the ULTIMATE I and ULTIMATE II Phase 3 clinical trials, for the treatment of relapsing forms of Multiple Sclerosis (RMS). The SPA provides agreement that the two Phase 3 trial designs adequately address objectives that, if met, would support the regulatory submission for approval of ublituximab. Despite obtaining an SPA the trials may not be positive and even if positive may not support FDA approval.</w:t>
      </w:r>
    </w:p>
    <w:p>
      <w:pPr>
        <w:spacing w:after="0" w:line="16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FDA may permit expedited development, evaluation, and marketing of new therapies intended to treat persons with serious or life-threatening conditions for which there is an unmet medical need under its fast track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90" w:lineRule="exact"/>
        <w:rPr>
          <w:sz w:val="20"/>
          <w:szCs w:val="20"/>
          <w:color w:val="auto"/>
        </w:rPr>
      </w:pPr>
    </w:p>
    <w:p>
      <w:pPr>
        <w:ind w:left="1200" w:hanging="217"/>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drug is intended to treat a serious or life-threatening condition;</w:t>
      </w:r>
    </w:p>
    <w:p>
      <w:pPr>
        <w:spacing w:after="0" w:line="252" w:lineRule="exact"/>
        <w:rPr>
          <w:rFonts w:ascii="Times New Roman" w:cs="Times New Roman" w:eastAsia="Times New Roman" w:hAnsi="Times New Roman"/>
          <w:sz w:val="18"/>
          <w:szCs w:val="18"/>
          <w:color w:val="auto"/>
        </w:rPr>
      </w:pPr>
    </w:p>
    <w:p>
      <w:pPr>
        <w:ind w:left="1200" w:hanging="217"/>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nonclinical or clinical data demonstrate the potential to address an unmet medical need</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ordinarily are eligible for priority review of a completed application in six months or less and also may be permitted to submit portions of a New Drug Application (“NDA”) to the FDA for review before the complete application is submitted.</w:t>
      </w:r>
    </w:p>
    <w:p>
      <w:pPr>
        <w:spacing w:after="0" w:line="193" w:lineRule="exact"/>
        <w:rPr>
          <w:sz w:val="20"/>
          <w:szCs w:val="20"/>
          <w:color w:val="auto"/>
        </w:rPr>
      </w:pPr>
    </w:p>
    <w:p>
      <w:pPr>
        <w:ind w:right="200" w:firstLine="736"/>
        <w:spacing w:after="0" w:line="255" w:lineRule="auto"/>
        <w:rPr>
          <w:sz w:val="20"/>
          <w:szCs w:val="20"/>
          <w:color w:val="auto"/>
        </w:rPr>
      </w:pPr>
      <w:r>
        <w:rPr>
          <w:rFonts w:ascii="Times New Roman" w:cs="Times New Roman" w:eastAsia="Times New Roman" w:hAnsi="Times New Roman"/>
          <w:sz w:val="18"/>
          <w:szCs w:val="18"/>
          <w:color w:val="auto"/>
        </w:rPr>
        <w:t>In addition, sponsors may also apply to the FDA for Breakthrough Therapy Designation (“BTD”). The procedures and requirements for BTD are similar to those required for fast track such that the Breakthrough Therapy Designation is intended to expedite the development and review of a potential new drug for serious or life-threatening diseases however with BTD, there is a further requirement that the sponsor present “preliminary clinical evidence” which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126" w:lineRule="exact"/>
        <w:rPr>
          <w:sz w:val="20"/>
          <w:szCs w:val="20"/>
          <w:color w:val="auto"/>
        </w:rPr>
      </w:pPr>
    </w:p>
    <w:p>
      <w:pPr>
        <w:ind w:right="20" w:firstLine="662"/>
        <w:spacing w:after="0" w:line="262" w:lineRule="auto"/>
        <w:rPr>
          <w:sz w:val="20"/>
          <w:szCs w:val="20"/>
          <w:color w:val="auto"/>
        </w:rPr>
      </w:pPr>
      <w:r>
        <w:rPr>
          <w:rFonts w:ascii="Times New Roman" w:cs="Times New Roman" w:eastAsia="Times New Roman" w:hAnsi="Times New Roman"/>
          <w:sz w:val="18"/>
          <w:szCs w:val="18"/>
          <w:color w:val="auto"/>
        </w:rPr>
        <w:t>In January 2019, we announced that the FDA granted Breakthrough Therapy Designation for umbralisib for the treatment of adult patients with marginal zone lymphoma (MZL) who have received at least one prior anti-CD20 regimen based on interim results from a subset of patients from the MZL cohort of the UNITY-NHL clinical trial.</w:t>
      </w:r>
    </w:p>
    <w:p>
      <w:pPr>
        <w:spacing w:after="0" w:line="186" w:lineRule="exact"/>
        <w:rPr>
          <w:sz w:val="20"/>
          <w:szCs w:val="20"/>
          <w:color w:val="auto"/>
        </w:rPr>
      </w:pPr>
    </w:p>
    <w:p>
      <w:pPr>
        <w:ind w:firstLine="692"/>
        <w:spacing w:after="0" w:line="252" w:lineRule="auto"/>
        <w:rPr>
          <w:sz w:val="20"/>
          <w:szCs w:val="20"/>
          <w:color w:val="auto"/>
        </w:rPr>
      </w:pPr>
      <w:r>
        <w:rPr>
          <w:rFonts w:ascii="Times New Roman" w:cs="Times New Roman" w:eastAsia="Times New Roman" w:hAnsi="Times New Roman"/>
          <w:sz w:val="18"/>
          <w:szCs w:val="18"/>
          <w:color w:val="auto"/>
        </w:rPr>
        <w:t>Sponsors of drugs designated as fast track and as breakthrough therapy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To obtain accelerated approval you have to be the first company to have a treatment that successfully addresses a certain unmet medical need or you need to clearly be better than all other treatments for that medical need, subject to certain qualifications. Many companies have filed for accelerated approval and have subsequently failed to obtain such approval for a variety of reasons, including not being first or not being best. To the extent a product does obtain an accelerated approval, such approval will be subject to the requirement that the applicant study the drug further in a post-marketing confirmation clinical trial to verify and describe its clinical benefit where there is uncertainty as to the relation of the surrogate endpoint to clinical benefit or uncertainty as to the relation of the observed clinical benefit to ultimate outcome. Accelerated approval is sometimes referred to as conditional approval because if the results of these confirmation clinical trials are not successful, the FDA has the right to remove the drug from the market and has done so in the past. Post-marketing confirmation studies are usually underway at the time an applicant files the NDA. When required to be conducted, such post-marketing confirmation studies must also be adequate and well-controlled. The applicant must carry out any such post-marketing confirmation studies with due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2" w:name="page23"/>
    <w:bookmarkEnd w:id="22"/>
    <w:p>
      <w:pPr>
        <w:ind w:right="20" w:firstLine="571"/>
        <w:spacing w:after="0" w:line="262" w:lineRule="auto"/>
        <w:rPr>
          <w:sz w:val="20"/>
          <w:szCs w:val="20"/>
          <w:color w:val="auto"/>
        </w:rPr>
      </w:pPr>
      <w:r>
        <w:rPr>
          <w:rFonts w:ascii="Times New Roman" w:cs="Times New Roman" w:eastAsia="Times New Roman" w:hAnsi="Times New Roman"/>
          <w:sz w:val="18"/>
          <w:szCs w:val="18"/>
          <w:color w:val="auto"/>
        </w:rPr>
        <w:t>It is also becoming more common for the FDA to request a Risk Evaluation and Mitigation Strategy, or REMS, as part of a NDA/BLA. The REMS plan contains post-market obligations of the sponsor to train prescribing physicians, monitor off-label drug use, and conduct Phase 4 follow-up studies and registries to ensure the continued safe use of the drug.</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approval process, the FDA must inspect and approve each manufacturing facility. Among the conditions of approval is the requirement that a manufacturer’s quality control and manufacturing procedures conform to cGMP. Manufacturers must expend significant time, money and effort to ensure continued compliance, and the FDA conducts periodic inspections to certify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 Many drug approvals have been delayed due to issues at contract manufacturing facilities. If we were to experience any such delay that would negatively impact our business and timeline to commercialization of any of our drug candidates affected by such manufacturing issue.</w:t>
      </w:r>
    </w:p>
    <w:p>
      <w:pPr>
        <w:spacing w:after="0" w:line="19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If the FDA grants approval, the approval will be limited to those disease states, conditions and patient populations for which the product is safe and effective, as demonstrated through clinical studies. Further, a product may be marketed only in those dosage forms and for those indications approved in the NDA/BLA. Certain changes to an approved NDA/BLA, including, with certain exceptions, any significant changes to labeling, require approval of a supplemental application before the drug may be marketed as changed. Any products that we manufacture or distribute pursuant to FDA approvals are subject to continued monitoring and regulation by the FDA, including compliance with cGMP and the reporting of adverse experiences with the drugs. The nature of marketing claims that the FDA will permit us to make in the labeling and advertising of our products will generally be limited to those specified in FDA approved labeling, and the advertising of our products will be subject to comprehensive monitoring and regulation by the FDA. Drugs whose review was accelerated may carry additional requirements on marketing activities, including the requirement that all promotional materials are pre-submitted to the FDA. Claims exceeding those contained in approved labeling will constitute a violation of the FDCA. Violations of the FDCA or regulatory requirements at any time during the product development process, approval process, or marketing and sale following approval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20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Importantly, the level of evidence of efficacy and safety necessary to apply for marketing authorization for a drug candidate differs from country to country. In particular, clinical trial endpoints, and the level of clinical evidence that may support an accelerated approval filing with the US FDA, such as the ORR data we intend to use as the basis for a filing for umbralisib in MZL, may be insufficient to file for marketing application outside of the US. At present, companies are typically required to apply for foreign marketing authorizations at a national level. However, within the European Union, registration procedures are available to companies wishing to market a product in more than one European Union member state.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222" w:lineRule="exact"/>
        <w:rPr>
          <w:sz w:val="20"/>
          <w:szCs w:val="20"/>
          <w:color w:val="auto"/>
        </w:rPr>
      </w:pPr>
    </w:p>
    <w:p>
      <w:pPr>
        <w:ind w:right="20" w:firstLine="648"/>
        <w:spacing w:after="0" w:line="310" w:lineRule="auto"/>
        <w:rPr>
          <w:sz w:val="20"/>
          <w:szCs w:val="20"/>
          <w:color w:val="auto"/>
        </w:rPr>
      </w:pPr>
      <w:r>
        <w:rPr>
          <w:rFonts w:ascii="Times New Roman" w:cs="Times New Roman" w:eastAsia="Times New Roman" w:hAnsi="Times New Roman"/>
          <w:sz w:val="16"/>
          <w:szCs w:val="16"/>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6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3" w:name="page24"/>
    <w:bookmarkEnd w:id="23"/>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is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30"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2025 unless additional Congressional action is taken. On January 2, 2013, then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 In January 2017, Congress voted to adopt a budget resolution for fiscal year 2017, that while not a law, is widely viewed as the first step toward the passage of legislation that would repeal certain aspects of the Affordable Care Act. The 2017 Tax Cuts and Jobs Act, or TJCA, includes a provision repealing the individual mandate, effective January 1, 2019.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In addition, CMS has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There may be further action to repeal, replace or modify the Affordable Care Act. While any legislative and regulatory changes will likely take time to develop, and may or may not have an impact on the regulatory regime to which we are subject, we cannot predict the ultimate content, timing or effect of any healthcare reform legislation or the impact of potential legislation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4" w:name="page25"/>
    <w:bookmarkEnd w:id="24"/>
    <w:p>
      <w:pPr>
        <w:ind w:firstLine="692"/>
        <w:spacing w:after="0" w:line="254"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United States and generally tend to be significantly lower.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Healthcare Laws</w:t>
      </w:r>
    </w:p>
    <w:p>
      <w:pPr>
        <w:spacing w:after="0" w:line="160"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and physician sunshine laws and regulations.</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125" w:lineRule="exact"/>
        <w:rPr>
          <w:sz w:val="20"/>
          <w:szCs w:val="20"/>
          <w:color w:val="auto"/>
        </w:rPr>
      </w:pPr>
    </w:p>
    <w:p>
      <w:pPr>
        <w:ind w:right="100" w:firstLine="736"/>
        <w:spacing w:after="0" w:line="290" w:lineRule="auto"/>
        <w:rPr>
          <w:sz w:val="20"/>
          <w:szCs w:val="20"/>
          <w:color w:val="auto"/>
        </w:rPr>
      </w:pPr>
      <w:r>
        <w:rPr>
          <w:rFonts w:ascii="Times New Roman" w:cs="Times New Roman" w:eastAsia="Times New Roman" w:hAnsi="Times New Roman"/>
          <w:sz w:val="16"/>
          <w:szCs w:val="16"/>
          <w:color w:val="auto"/>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9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2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There has also been a recent trend of increased federal and state regulation of payments made to physicians and other healthcare providers. The Affordable Care Act,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are required to submit annual reports to the Centers for Medicare &amp; Medicaid Services, which publicly posts the data on its website. Certain states also mandate implementation of compliance programs, impose restrictions on drug manufacturer marketing practices and/or require the tracking and reporting of gifts, compensation and other remuneration to physicians.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25" w:name="page26"/>
    <w:bookmarkEnd w:id="25"/>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As of February 20, 2019, we had 105 full and part-time employees. None of our employees are represented by a collective bargaining agreement, and we have never experienced a work stoppage. We consider our relations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right="80" w:firstLine="648"/>
        <w:spacing w:after="0" w:line="302" w:lineRule="auto"/>
        <w:rPr>
          <w:sz w:val="20"/>
          <w:szCs w:val="20"/>
          <w:color w:val="auto"/>
        </w:rPr>
      </w:pPr>
      <w:r>
        <w:rPr>
          <w:rFonts w:ascii="Times New Roman" w:cs="Times New Roman" w:eastAsia="Times New Roman" w:hAnsi="Times New Roman"/>
          <w:sz w:val="16"/>
          <w:szCs w:val="16"/>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Annual Report before making an investment in our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156"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and undertaking pre-clinical studies and commencing clinical trials and conducting Phase 3 and registration directed clinical trials for our most advanced drug candidates, ublituximab and umbralisib. We have never generated any revenue from drug sales. We have not obtained regulatory approvals for any of our drug candidates.</w:t>
      </w:r>
    </w:p>
    <w:p>
      <w:pPr>
        <w:spacing w:after="0" w:line="126" w:lineRule="exact"/>
        <w:rPr>
          <w:sz w:val="20"/>
          <w:szCs w:val="20"/>
          <w:color w:val="auto"/>
        </w:rPr>
      </w:pPr>
    </w:p>
    <w:p>
      <w:pPr>
        <w:ind w:right="180" w:firstLine="682"/>
        <w:spacing w:after="0" w:line="296" w:lineRule="auto"/>
        <w:rPr>
          <w:sz w:val="20"/>
          <w:szCs w:val="20"/>
          <w:color w:val="auto"/>
        </w:rPr>
      </w:pPr>
      <w:r>
        <w:rPr>
          <w:rFonts w:ascii="Times New Roman" w:cs="Times New Roman" w:eastAsia="Times New Roman" w:hAnsi="Times New Roman"/>
          <w:sz w:val="16"/>
          <w:szCs w:val="16"/>
          <w:color w:val="auto"/>
        </w:rPr>
        <w:t>We have not yet demonstrated our ability to successfully complete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Since inception, we have focused substantially all of our efforts and financial resources on clinical trials and manufacturing of our drug candidates. To date, we have financed our operations primarily through public offerings of our common stock and a debt financing. Through March 1, 2019, we have received an aggregate of approximately $450 million from such transactions, including approximately $420 million in aggregate gross proceeds from the sale of common stock in one or more offerings and through the use of our ATM from January 2012 through December 2018 but excluding $30.0 million in gross proceeds from the debt financing in February 2019.</w:t>
      </w:r>
    </w:p>
    <w:p>
      <w:pPr>
        <w:spacing w:after="0" w:line="125"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16"/>
          <w:szCs w:val="16"/>
          <w:color w:val="auto"/>
        </w:rPr>
        <w:t>Since inception, we have incurred significant operating losses. As of December 31, 2018, we had an accumulated deficit of $528.3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6" w:name="page27"/>
    <w:bookmarkEnd w:id="26"/>
    <w:p>
      <w:pPr>
        <w:jc w:val="both"/>
        <w:ind w:right="140" w:firstLine="527"/>
        <w:spacing w:after="0" w:line="287" w:lineRule="auto"/>
        <w:rPr>
          <w:sz w:val="20"/>
          <w:szCs w:val="20"/>
          <w:color w:val="auto"/>
        </w:rPr>
      </w:pPr>
      <w:r>
        <w:rPr>
          <w:rFonts w:ascii="Times New Roman" w:cs="Times New Roman" w:eastAsia="Times New Roman" w:hAnsi="Times New Roman"/>
          <w:sz w:val="16"/>
          <w:szCs w:val="16"/>
          <w:color w:val="auto"/>
        </w:rPr>
        <w:t>To date, we have not generated any significant revenue from our drug candidates and we do not expect to generate any revenue from the sale of drugs in the near future. 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Accordingly, we do not expect to generate significant and sustained revenue unless and until we obtain marketing approval of, and begin to sell umbralisib, ublituximab and/or one of our other product candidates. Our ability to generate revenue depends on a number of factors, including, but not limited to, our ability to:</w:t>
      </w:r>
    </w:p>
    <w:p>
      <w:pPr>
        <w:spacing w:after="0" w:line="192"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2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non-clinical studies required to obtain US and Foreign marketing approval for our drug candidates;</w:t>
      </w: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US FDA and Foreign equivalent to market and sell our drug candidates;</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 manufacturing capabilities alone and/or with third parties that are satisfactory to the regulatory authorities, cost effective, and that are capable of providing commercial supply of our drug candidates</w:t>
      </w:r>
    </w:p>
    <w:p>
      <w:pPr>
        <w:ind w:left="1300" w:hanging="320"/>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 infrastructure to commercialize our drug candidates, if approved, by developing a sales force and/or entering into collaborations with third parties; and</w:t>
      </w: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drug candidates in the medical community and with third-party payors.</w:t>
      </w:r>
    </w:p>
    <w:p>
      <w:pPr>
        <w:spacing w:after="0" w:line="145" w:lineRule="exact"/>
        <w:rPr>
          <w:sz w:val="20"/>
          <w:szCs w:val="20"/>
          <w:color w:val="auto"/>
        </w:rPr>
      </w:pPr>
    </w:p>
    <w:p>
      <w:pPr>
        <w:ind w:right="460" w:firstLine="486"/>
        <w:spacing w:after="0" w:line="275" w:lineRule="auto"/>
        <w:rPr>
          <w:sz w:val="20"/>
          <w:szCs w:val="20"/>
          <w:color w:val="auto"/>
        </w:rPr>
      </w:pPr>
      <w:r>
        <w:rPr>
          <w:rFonts w:ascii="Times New Roman" w:cs="Times New Roman" w:eastAsia="Times New Roman" w:hAnsi="Times New Roman"/>
          <w:sz w:val="18"/>
          <w:szCs w:val="18"/>
          <w:color w:val="auto"/>
        </w:rPr>
        <w:t>If we are unable to generate significant continuing revenues, we will not become profitable and we may be unable to continue our operations without continued funding.</w:t>
      </w:r>
    </w:p>
    <w:p>
      <w:pPr>
        <w:spacing w:after="0" w:line="10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02"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currently advancing our most advanced drug candidates, umbralisib, ublituximab, TG-1501, TG-1701 and TG-1801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Moreover, in anticipation of filing for regulatory approvals for umbralisib and ublituximab we will need to expend substantial resources on manufacturing and new drug application (NDA)/ new biologics license application (BLA) preparation over the next 12-24+ months, which could exceed any cost savings associated with lower clinical trial expenses during the same period.</w:t>
      </w:r>
    </w:p>
    <w:p>
      <w:pPr>
        <w:spacing w:after="0" w:line="197" w:lineRule="exact"/>
        <w:rPr>
          <w:sz w:val="20"/>
          <w:szCs w:val="20"/>
          <w:color w:val="auto"/>
        </w:rPr>
      </w:pPr>
    </w:p>
    <w:p>
      <w:pPr>
        <w:ind w:right="20" w:firstLine="486"/>
        <w:spacing w:after="0" w:line="275" w:lineRule="auto"/>
        <w:rPr>
          <w:sz w:val="20"/>
          <w:szCs w:val="20"/>
          <w:color w:val="auto"/>
        </w:rPr>
      </w:pPr>
      <w:r>
        <w:rPr>
          <w:rFonts w:ascii="Times New Roman" w:cs="Times New Roman" w:eastAsia="Times New Roman" w:hAnsi="Times New Roman"/>
          <w:sz w:val="18"/>
          <w:szCs w:val="18"/>
          <w:color w:val="auto"/>
        </w:rPr>
        <w:t>While this timing is our current estimate, the amount and timing of our future funding requirements will depend on many factors, including, but not limited to, the following:</w:t>
      </w:r>
    </w:p>
    <w:p>
      <w:pPr>
        <w:spacing w:after="0" w:line="174" w:lineRule="exact"/>
        <w:rPr>
          <w:sz w:val="20"/>
          <w:szCs w:val="20"/>
          <w:color w:val="auto"/>
        </w:rPr>
      </w:pPr>
    </w:p>
    <w:p>
      <w:pPr>
        <w:ind w:left="1300" w:hanging="320"/>
        <w:spacing w:after="0" w:line="257"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candidate;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sales or distribution capabilities;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our products;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14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umbralisib and/or ublituximab or any of our product candidates and otherwise forego attractive business opportunities. Any additional sources of financing will likely involve the issuance of our equity securities, which would have a dilutive effect to stockholders. 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 Accordingly, our prospects must be considered in light of the uncertainties, risks, expenses and difficulties frequently encountered by companies in the early stages of operations and the competitive environment in which we operate.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ind w:right="5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02"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14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restrictive covenants limiting or restricting our ability to take specific actions, such as incurring additional debt, making capital expenditures, declaring dividends, acquiring, selling or licensing intellectual property rights and other operating restrictions that could adversely impact our ability to conduct our business. We could also be required to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For example, see our risk factors under the heading “Risks Related to Our Indebtedness.”</w:t>
      </w:r>
    </w:p>
    <w:p>
      <w:pPr>
        <w:spacing w:after="0" w:line="31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product candidate development timelines and projections in this report are based on the assumption of further financing.</w:t>
      </w:r>
    </w:p>
    <w:p>
      <w:pPr>
        <w:spacing w:after="0" w:line="229"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8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Due to limited resources w</w:t>
      </w:r>
      <w:r>
        <w:rPr>
          <w:rFonts w:ascii="Times New Roman" w:cs="Times New Roman" w:eastAsia="Times New Roman" w:hAnsi="Times New Roman"/>
          <w:sz w:val="18"/>
          <w:szCs w:val="18"/>
          <w:b w:val="1"/>
          <w:bCs w:val="1"/>
          <w:i w:val="1"/>
          <w:iCs w:val="1"/>
          <w:color w:val="181717"/>
        </w:rPr>
        <w:t>e may fail to capitalize on programs or product candidates that may present a greater commercial opportunity or for which there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181717"/>
        </w:rPr>
        <w:t>a greater likelihood of success.</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181717"/>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28" w:lineRule="exact"/>
        <w:rPr>
          <w:sz w:val="20"/>
          <w:szCs w:val="20"/>
          <w:color w:val="auto"/>
        </w:rPr>
      </w:pPr>
    </w:p>
    <w:p>
      <w:pPr>
        <w:jc w:val="both"/>
        <w:ind w:right="440" w:firstLine="648"/>
        <w:spacing w:after="0" w:line="262" w:lineRule="auto"/>
        <w:rPr>
          <w:sz w:val="20"/>
          <w:szCs w:val="20"/>
          <w:color w:val="auto"/>
        </w:rPr>
      </w:pPr>
      <w:r>
        <w:rPr>
          <w:rFonts w:ascii="Times New Roman" w:cs="Times New Roman" w:eastAsia="Times New Roman" w:hAnsi="Times New Roman"/>
          <w:sz w:val="18"/>
          <w:szCs w:val="18"/>
          <w:color w:val="181717"/>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223"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69" w:lineRule="exact"/>
        <w:rPr>
          <w:sz w:val="20"/>
          <w:szCs w:val="20"/>
          <w:color w:val="auto"/>
        </w:rPr>
      </w:pPr>
    </w:p>
    <w:p>
      <w:pPr>
        <w:ind w:right="100" w:firstLine="702"/>
        <w:spacing w:after="0" w:line="290" w:lineRule="auto"/>
        <w:rPr>
          <w:sz w:val="20"/>
          <w:szCs w:val="20"/>
          <w:color w:val="auto"/>
        </w:rPr>
      </w:pPr>
      <w:r>
        <w:rPr>
          <w:rFonts w:ascii="Times New Roman" w:cs="Times New Roman" w:eastAsia="Times New Roman" w:hAnsi="Times New Roman"/>
          <w:sz w:val="16"/>
          <w:szCs w:val="16"/>
          <w:color w:val="auto"/>
        </w:rPr>
        <w:t>In February 2019, we entered into a Loan and Security Agreement (the "Loan Agreement"), with Hercules Capital, Inc., a Maryland corporation (“Hercules”) (See Note 14 for more information) . Under the Loan Agreement, Hercules will provide access to term loans with an aggregate principal amount of up to $60.0 million (the Term Loan). Concurrently with the closing of the Loan Agreement, we borrowed an initial tranche of $30.0 million. In addition, we have incurred long term liabilities of approximately $18.0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66"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6" w:lineRule="exact"/>
        <w:rPr>
          <w:sz w:val="20"/>
          <w:szCs w:val="20"/>
          <w:color w:val="auto"/>
        </w:rPr>
      </w:pPr>
    </w:p>
    <w:p>
      <w:pPr>
        <w:ind w:left="980" w:hanging="324"/>
        <w:spacing w:after="0" w:line="257"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it to make interest or principal payments on its indebtedness when due.</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Loan Agreement, or breaching any of its covenants under the Loan Agreement,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 self. Hercules could also exercise its rights as collateral agent to take possession and dispose of the collateral securing the term loans for its benefit, which collateral includes substantially all of our property other than intellectual property. Our business, financial condition and results of operations could be materially adversely affected as a result of any of these events. We are subject to certain restrictive covenants which, if breached, could have a material adverse effect on our business and prospects.</w:t>
      </w:r>
    </w:p>
    <w:p>
      <w:pPr>
        <w:spacing w:after="0" w:line="197" w:lineRule="exact"/>
        <w:rPr>
          <w:sz w:val="20"/>
          <w:szCs w:val="20"/>
          <w:color w:val="auto"/>
        </w:rPr>
      </w:pPr>
    </w:p>
    <w:p>
      <w:pPr>
        <w:ind w:right="120" w:firstLine="588"/>
        <w:spacing w:after="0" w:line="275" w:lineRule="auto"/>
        <w:rPr>
          <w:sz w:val="20"/>
          <w:szCs w:val="20"/>
          <w:color w:val="auto"/>
        </w:rPr>
      </w:pPr>
      <w:r>
        <w:rPr>
          <w:rFonts w:ascii="Times New Roman" w:cs="Times New Roman" w:eastAsia="Times New Roman" w:hAnsi="Times New Roman"/>
          <w:sz w:val="18"/>
          <w:szCs w:val="18"/>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74"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156"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29" w:name="page30"/>
    <w:bookmarkEnd w:id="29"/>
    <w:p>
      <w:pPr>
        <w:ind w:firstLine="648"/>
        <w:spacing w:after="0" w:line="288" w:lineRule="auto"/>
        <w:rPr>
          <w:sz w:val="20"/>
          <w:szCs w:val="20"/>
          <w:color w:val="auto"/>
        </w:rPr>
      </w:pPr>
      <w:r>
        <w:rPr>
          <w:rFonts w:ascii="Times New Roman" w:cs="Times New Roman" w:eastAsia="Times New Roman" w:hAnsi="Times New Roman"/>
          <w:sz w:val="16"/>
          <w:szCs w:val="16"/>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 variety of reasons. We have invested substantially all of our efforts and financial resources in the identification, pre-clinical and clinical development of our drug candidates, including ublituximab, umbralisib, TG-1501, TG-1701 and TG-1801. Our ability to generate drug revenues, which we do not expect will occur for a number of years, if ever, will depend heavily on the successful completion of our current and future Phase 3 and registration-directed clinical trials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The success of our most advanced drug candidates and other drug candidates will depend on several factors, including the following:</w:t>
      </w:r>
    </w:p>
    <w:p>
      <w:pPr>
        <w:spacing w:after="0" w:line="3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UNITY-NHL trial, UNITY-CLL trial and our ULTIMATE I and II trials;</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drug candidates;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 for clinical supply and commercial manufacturing;</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drug candidates, if and when approved, whether alone or in collaboration with others;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if and when approved, by patients, the medical community and third-party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differentiating and competing with other therapies;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the drug candidates following approval.</w:t>
      </w:r>
    </w:p>
    <w:p>
      <w:pPr>
        <w:spacing w:after="0" w:line="145" w:lineRule="exact"/>
        <w:rPr>
          <w:sz w:val="20"/>
          <w:szCs w:val="20"/>
          <w:color w:val="auto"/>
        </w:rPr>
      </w:pPr>
    </w:p>
    <w:p>
      <w:pPr>
        <w:ind w:right="460" w:firstLine="648"/>
        <w:spacing w:after="0" w:line="275"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0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develop or receive regulatory approval for or successfully commercialize any of our product candidates, we will not be able to generate product revenues and we may not be able to continue our operations. Even if we are able to develop or receive regulatory approval for or successfully commercialize any of our product candidates, we may not be able to gain market acceptance for our product candidates and future products and may never become profitable.</w:t>
      </w:r>
    </w:p>
    <w:p>
      <w:pPr>
        <w:spacing w:after="0" w:line="186"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6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Once a drug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222" w:lineRule="exact"/>
        <w:rPr>
          <w:sz w:val="20"/>
          <w:szCs w:val="20"/>
          <w:color w:val="auto"/>
        </w:rPr>
      </w:pPr>
    </w:p>
    <w:p>
      <w:pPr>
        <w:ind w:right="60" w:firstLine="648"/>
        <w:spacing w:after="0" w:line="285" w:lineRule="auto"/>
        <w:rPr>
          <w:sz w:val="20"/>
          <w:szCs w:val="20"/>
          <w:color w:val="auto"/>
        </w:rPr>
      </w:pPr>
      <w:r>
        <w:rPr>
          <w:rFonts w:ascii="Times New Roman" w:cs="Times New Roman" w:eastAsia="Times New Roman" w:hAnsi="Times New Roman"/>
          <w:sz w:val="16"/>
          <w:szCs w:val="16"/>
          <w:color w:val="auto"/>
        </w:rPr>
        <w:t>For instance, early clinical results seen with ublituximab (TG-1101) and umbralisib (TGR-1202) in a small number of patients may not be reproduced in expanded or larger clinical trials such as in our UNITY-CLL, UNITY-NHL and ULTIMATE I and II programs. Additionally, individually reported outcomes of patients treated in clinical trials may not be representative of the entire population of treated patients in such studies. Further,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In addition, early clinical trial results from interim analysis or from the review of a Data Safety Monitoring Board (“DSMB”) or similar safety committee may not be reflective of the results of the entire study, when completed. Clinical trial results can change over time as additional patients are accrued to a study or as additional follow-up is conducted, which may result in a material negative impact on the preliminary results. For instance, we recently announced that the MZL cohort of the UNITY-NHL study met the primary endpoint of ORR, falling within our target range which was between 40%-50%, and while we believe that the ORR results have the potential to increase over time within this range, or beyond, as patients continue to be followed, no assurance can be given that that will be the case, and the results may ultimately fall at the lower end of the range. Further, time to event based endpoints such as duration of response (DOR) and progression-free survival (PFS) have the potential to change, sometimes drastically, with longer follow-up. No assurance can be provided that the ORR, DOR and PFS data from the MZL cohort of the UNITY-NHL study will be supportive of an FDA approval or will support broad market uptake based on the profile of competitor drugs which may be available. Additionally, while the MZL cohort of the UNITY-NHL study met its primary endpoint, each cohort of this study is operated and analyzed independently, and no assurance can be given that other cohorts from the UNITY-NHL study, including the FL/SLL cohort and the DLBCL cohort, will meet their primary endpoint, have a positive outcome, or will be supportive of an FDA filing.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0" w:name="page31"/>
    <w:bookmarkEnd w:id="30"/>
    <w:p>
      <w:pPr>
        <w:jc w:val="both"/>
        <w:ind w:firstLine="748"/>
        <w:spacing w:after="0" w:line="255" w:lineRule="auto"/>
        <w:rPr>
          <w:sz w:val="20"/>
          <w:szCs w:val="20"/>
          <w:color w:val="auto"/>
        </w:rPr>
      </w:pPr>
      <w:r>
        <w:rPr>
          <w:rFonts w:ascii="Times New Roman" w:cs="Times New Roman" w:eastAsia="Times New Roman" w:hAnsi="Times New Roman"/>
          <w:sz w:val="18"/>
          <w:szCs w:val="18"/>
          <w:color w:val="auto"/>
        </w:rPr>
        <w:t>All of our Phase 3 and registration directed clinical trials such as UNITY-CLL, UNITY-NHL and ULTIMATE I and II utilize international clinical research sites, including sites in eastern European countries. The Company works with what we believe are reputable Clinical Research Organization’s (“CRO”) and clinical research sites in conducting our studies internationally. Nevertheless, the risk of fraud, incompetence, unexpected patient variability and other issues affecting the quality and the outcome of our Phase 3 and registration directed studies could arise from US or international sites. If that were to occur, the study could be negatively impacted, potentially even preventing it from being useful for regulatory approval. If such event were to occur, it would have a substantial negative impact on the Company.</w:t>
      </w:r>
    </w:p>
    <w:p>
      <w:pPr>
        <w:spacing w:after="0" w:line="193" w:lineRule="exact"/>
        <w:rPr>
          <w:sz w:val="20"/>
          <w:szCs w:val="20"/>
          <w:color w:val="auto"/>
        </w:rPr>
      </w:pPr>
    </w:p>
    <w:p>
      <w:pPr>
        <w:ind w:right="80" w:firstLine="527"/>
        <w:spacing w:after="0" w:line="285" w:lineRule="auto"/>
        <w:rPr>
          <w:sz w:val="20"/>
          <w:szCs w:val="20"/>
          <w:color w:val="auto"/>
        </w:rPr>
      </w:pPr>
      <w:r>
        <w:rPr>
          <w:rFonts w:ascii="Times New Roman" w:cs="Times New Roman" w:eastAsia="Times New Roman" w:hAnsi="Times New Roman"/>
          <w:sz w:val="16"/>
          <w:szCs w:val="16"/>
          <w:color w:val="auto"/>
        </w:rPr>
        <w:t>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All of our current Phase 3 and registration directed studies such as UNITY-CLL, UNITY-NHL and ULTIMATE I and II trials utilize blinded, independent, centrally review to assess the primary endpoint of such studies. If the results from interim analysis are not consistent with final results or results from our registration directed trials are different from the results found in the earlier studies of ublituximab and umbralisib, we may need to terminate or revise our clinical development plan, which could extend the time for conducting our development program and could have a material adverse effect on our business. For example, we recently presented to the FDA, interim results from the Marginal Zone Lymphoma (“MZL”) cohort of our UNITY-NHL trial that supported the granting of BTD. These interim results were also accepted for presentation at the 2019 American Association of Cancer Research (AACR) annual meeting. No assurance can be given that the final results from that cohort will reflect the activity seen in these interim results, or that the final results will be sufficient to file for accelerated approval for umbralisib for the treatment of MZL, and if filed that umbralisib will receive accelerated approval. Similarly, while early Phase 1 data for umbralisib and ublituximab alone and together looked promising there is no assurance that the UNITY-CLL trial will be positive. Moreover, while we believe one of the key differentiators for umbralisib is its tolerability and side effect profile compared to other drugs in the same class, no assurance can be given that a differentiated safety and tolerability profile will be realized in our Phase 3 or registration directed trials such as UNITY-CLL or UNITY-NHL. Specifically, we have not yet analyzed the safety data from the MZL cohort of the UNITY-NHL study, therefore there can be no assurance given that the safety data, once analyzed, will be consistent with prior safety data presented on umbralisib, will be differentiated from other similar agents in the same class, or that it will be favorable enough to support an FDA filing. In addition, no assurance can be given that new toxicities, or an increase in the severity or frequency of previously seen toxicities, will not be observed, which could have a material negative impact on the approvability or marketability of umbralisib or any of our product candidates. Finally, while the Phase 2 data for ublituximab in MS looked promising, no assurance can be given that the profile will carry into Phase 3 and that the ULTIMATE I and II clinical trials will be positive.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to umbralisib and ublituximab, we have a number of compounds in early clinical development, such as TG-1501, TG-1701 and TG-1801. Many drugs fail in the early stages of clinical development for safety and tolerability issues, despite promising pre-clinical results. Accordingly, no assurance can be made that a safe and efficacious dose can be found for these compounds or that they will ever enter into advanced clinical trials alone or in combination with umbralisib and/or ublituximab.</w:t>
      </w:r>
    </w:p>
    <w:p>
      <w:pPr>
        <w:spacing w:after="0" w:line="186"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drug candidates umbralisib and ublituximab are in several Phase 3 and registration directed clinical trials such as UNITY-CLL, UNITY-NHL and ULTIMATE I and II. As with all clinical trials,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Accordingly, our current Phase 3 and registration directed trials, such as UNITY-CLL, UNITY-NHL and ULTIMATE I and II and future clinical trials may not be successful.</w:t>
      </w:r>
    </w:p>
    <w:p>
      <w:pPr>
        <w:spacing w:after="0" w:line="222"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NDA, a BLA to the U.S. FDA and a Marketing Authorization Application (“MAA”), in the European Union for each drug candidate and, consequently, the ultimate approval and commercial marketing of our drug candidates. We do not know whether any of our clinical trials for our drug candidates will be completed on schedule, if at all.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1" w:name="page32"/>
    <w:bookmarkEnd w:id="31"/>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Whether or not and how quickly we complete clinical trials is dependent in part upon the rate at which we are able to engage clinical research/trial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28" w:lineRule="exact"/>
        <w:rPr>
          <w:sz w:val="20"/>
          <w:szCs w:val="20"/>
          <w:color w:val="auto"/>
        </w:rPr>
      </w:pPr>
    </w:p>
    <w:p>
      <w:pPr>
        <w:ind w:left="1300" w:hanging="320"/>
        <w:spacing w:after="0" w:line="257"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authorities or institutional review boards (“IRBs”), or ethics committees may not authorize us or our investigators to commence a clinical trial or conduct a clinical trial at a prospective trial site or country;</w:t>
      </w:r>
    </w:p>
    <w:p>
      <w:pPr>
        <w:jc w:val="both"/>
        <w:ind w:left="1300" w:hanging="320"/>
        <w:spacing w:after="0" w:line="250"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health authorities may require us, to conduct additional pre-clinical studies or clinical trials or we may decide to abandon drug development programs;</w:t>
      </w:r>
    </w:p>
    <w:p>
      <w:pPr>
        <w:jc w:val="both"/>
        <w:ind w:left="1300" w:hanging="320"/>
        <w:spacing w:after="0" w:line="250"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health authorities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and</w:t>
      </w:r>
    </w:p>
    <w:p>
      <w:pPr>
        <w:jc w:val="both"/>
        <w:ind w:left="1300" w:hanging="320"/>
        <w:spacing w:after="0" w:line="255"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health authorities, IRBs or ethics committees to suspend or terminate the trials, or reports may arise from pre-clinical or clinical testing of other cancer therapies that raise safety or efficacy concerns about our drug candidates.</w:t>
      </w:r>
    </w:p>
    <w:p>
      <w:pPr>
        <w:spacing w:after="0" w:line="219" w:lineRule="exact"/>
        <w:rPr>
          <w:sz w:val="20"/>
          <w:szCs w:val="20"/>
          <w:color w:val="auto"/>
        </w:rPr>
      </w:pPr>
    </w:p>
    <w:p>
      <w:pPr>
        <w:ind w:right="40" w:firstLine="648"/>
        <w:spacing w:after="0" w:line="285" w:lineRule="auto"/>
        <w:rPr>
          <w:sz w:val="20"/>
          <w:szCs w:val="20"/>
          <w:color w:val="auto"/>
        </w:rPr>
      </w:pPr>
      <w:r>
        <w:rPr>
          <w:rFonts w:ascii="Times New Roman" w:cs="Times New Roman" w:eastAsia="Times New Roman" w:hAnsi="Times New Roman"/>
          <w:sz w:val="16"/>
          <w:szCs w:val="16"/>
          <w:color w:val="auto"/>
        </w:rPr>
        <w:t>We could encounter delays if a clinical trial is suspended or terminated by us, by the IRBs of the institutions in which such trials are being conducted, by the DSMB for such trial or by the FDA or other regulatory authorities. Such health authorities may impose a suspension or termination due to a number offactors, including failure to conduct the clinical trial in accordance with regulatory requirements or our clinical protocols, inspection of the clinical trial operations or trial site by the FDA or other regulatory authorities resulting in the impositionof a clinical hold, unforeseen safety issues or adverse side effects, failure to demonstrate a benefit from using a drug, changes in governmental regulations or administrative actions or lack of adequate funding to continue the clinical trial. Many of thefactors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 This could happen even for a protocol that has received an SPA. In September 2015, we announced a Phase 3 clinical trial for the combination of ublituximab plus umbralisib for patients with CLL, which is being conducted pursuant to a SPA with the FDA and in August 2017 we announced an SPA for our registration program for ublituximab in RMS. Many companies which have been granted SPAs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prior to making its final decision.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2" w:name="page33"/>
    <w:bookmarkEnd w:id="32"/>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3"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testing requirements; 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1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regulatory approvals. We may also incur additional costs if enrollment is increased. All our current Phase 3 and registration-directed clinical trials, such as UNITY-CLL, UNITY-NHL and ULTIMATE I and II enrolled larger number of patients than our initial projections, adding significant costs to those studies over and above what had been projected. We do not know whether any of our clinical trials will begin as planned, will need to be restructured or will be completed on schedule, or at all. Certain clinical trials are designed to continue until a pre-determined number of events have occurred in the patients enrolled. Trials such as this are subject to delays stemming from patient withdrawal and from lower than expected event rates. UNITY-CLL is an event-driven study, which means the study can only end when a certain pre-specified number of events have occurred. In the case of UNITY-CLL, an event is defined as disease progression or death. Given that these events cannot be predicted with certainty, predicting accurately when this study will reach a sufficient number of events to be complete is impossible. We have stated we believe the number of events can be reached by YE19 or in 2020 but there can be no assurance that that will occur and timelines for the completion of this study should not be relied on given the inherent uncertainty. Delays beyond early 2020 could have a material and adverse impact on the Company. Significant clinical trial delays also could shorten any periods during which we may have the exclusive right to commercialize our drug candidates or allow our competitors to bring products to market before we do and impair our ability to successfully commercialize our drug candidates. Any delays in our pre-clinical or future clinical development programs may harm our business, financial condition and prospects significantly.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sufficiency of our clinical trial results for accelerated approval are subject to FDA’s discretion.</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and will continue to explore strategies for ublituximab and/or umbralisib that involve use of the FDA’s accelerated approval pathway. Obtaining accelerated approval for an agent requires demonstration of meaningful benefit over all available therapies for a serious condition. While we believe we have an understanding of what is considered available therapy today, ultimately the determination of what constitutes available therapy is wholly up to the FDA and is subject to change.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 We are currently awaiting final results from our UNITY-NHL trial, in particular the MZL cohort, which we are hoping will be useful for accelerated approval if positive. Even if the results are positive, no assurance can be given that umbralisib will obtain accelerated approval for a variety of reasons, including if a new treatment receives full approval prior to our potential receipt of accelerated approval. Previously, we were hopeful to utilize the results from our GENUINE study for accelerated approval but the intervening full approval of a drug called venetoclax for relapsed/refractory CLL has made that potential application more challenging. While no final decision has been made as to the filing of the GENUINE study for accelerated approval, the Company has no plans to pursue that filing at this time. No assurance can be given that a filing based on the GENUINE results will ever be made.</w:t>
      </w:r>
    </w:p>
    <w:p>
      <w:pPr>
        <w:spacing w:after="0" w:line="201"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8"/>
          <w:szCs w:val="18"/>
          <w:color w:val="auto"/>
        </w:rPr>
        <w:t>Finally,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0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or FDA’s willingness to accept such data, may be jeopardized.</w:t>
      </w:r>
    </w:p>
    <w:p>
      <w:pPr>
        <w:spacing w:after="0" w:line="20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0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3" w:name="page34"/>
    <w:bookmarkEnd w:id="33"/>
    <w:p>
      <w:pPr>
        <w:ind w:right="100" w:firstLine="702"/>
        <w:spacing w:after="0" w:line="256"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25" w:lineRule="exact"/>
        <w:rPr>
          <w:sz w:val="20"/>
          <w:szCs w:val="20"/>
          <w:color w:val="auto"/>
        </w:rPr>
      </w:pPr>
    </w:p>
    <w:p>
      <w:pPr>
        <w:ind w:right="40" w:firstLine="682"/>
        <w:spacing w:after="0" w:line="258" w:lineRule="auto"/>
        <w:rPr>
          <w:sz w:val="20"/>
          <w:szCs w:val="20"/>
          <w:color w:val="auto"/>
        </w:rPr>
      </w:pPr>
      <w:r>
        <w:rPr>
          <w:rFonts w:ascii="Times New Roman" w:cs="Times New Roman" w:eastAsia="Times New Roman" w:hAnsi="Times New Roman"/>
          <w:sz w:val="18"/>
          <w:szCs w:val="18"/>
          <w:color w:val="auto"/>
        </w:rPr>
        <w:t>Many compounds that initially showed promise in early 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severe side effects of our drug candidates may only be uncovered with a significantly larger number of patients exposed to the drug candidate in Phase 3 or registration directed trials and on the market.</w:t>
      </w:r>
    </w:p>
    <w:p>
      <w:pPr>
        <w:spacing w:after="0" w:line="123"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6"/>
          <w:szCs w:val="16"/>
          <w:color w:val="auto"/>
        </w:rPr>
        <w:t>We are currently running our Phase 3 and registration-directed trials, such as UNITY-CLL, UNITY-NHL and ULTIMATE I and II and have not completed testing of any of our product candidates for the treatment of the indications for which we intend to seek product approval in humans, and we currently do not know the extent that the adverse events, if any, will be observed in patients who receive any of our product candidates. To date, clinical trials using ublituximab and umbralisib have demonstrated a toxicity profile that was deemed acceptable by the investigators performing such studies. Such interpretation may not be shared by future investigators or by the health authorities and in the case of ublituximab and umbralisib, even if deemed acceptable for oncology and/or autoimmune indications, it may not be acceptable for diseases outside the oncology and autoimmune settings, and likewise for any other product candidates we may develop. Additionally, the severity, duration and incidence of adverse events may increase in larger study populations such as found in our on-going Phase 3 and registration-directed trials. Particularly, with respect to umbralisib, although over 1,000 patients to date have been dosed amongst all ongoing umbralisib studies, the full adverse effect profile of umbralisib is not known. It is also unknown as additional patients are exposed for longer durations to umbralisib, whether greater frequency and/or severity of adverse events are likely to occur. Common toxicities of other drugs in the same class as umbralisib include high levels of liver toxicity, infections and colitis, the latter of which notably has presented with later onset, with incidence increasing with duration of exposure. No assurance can be given that an acceptable safety and tolerability profile for umbralisib will continue to be demonstrated in the future with longer durations of exposure, at the fixed 800mg dose being evaluated in our registration-directed trials and in multiple drug combinations.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200" w:lineRule="exact"/>
        <w:rPr>
          <w:sz w:val="20"/>
          <w:szCs w:val="20"/>
          <w:color w:val="auto"/>
        </w:rPr>
      </w:pPr>
    </w:p>
    <w:p>
      <w:pPr>
        <w:spacing w:after="0" w:line="215" w:lineRule="exact"/>
        <w:rPr>
          <w:sz w:val="20"/>
          <w:szCs w:val="20"/>
          <w:color w:val="auto"/>
        </w:rPr>
      </w:pPr>
    </w:p>
    <w:p>
      <w:pPr>
        <w:ind w:firstLine="864"/>
        <w:spacing w:after="0" w:line="290" w:lineRule="auto"/>
        <w:rPr>
          <w:sz w:val="20"/>
          <w:szCs w:val="20"/>
          <w:color w:val="auto"/>
        </w:rPr>
      </w:pPr>
      <w:r>
        <w:rPr>
          <w:rFonts w:ascii="Times New Roman" w:cs="Times New Roman" w:eastAsia="Times New Roman" w:hAnsi="Times New Roman"/>
          <w:sz w:val="16"/>
          <w:szCs w:val="16"/>
          <w:color w:val="auto"/>
        </w:rPr>
        <w:t>Additionally, in drug-combination clinical development, there is an inherent risk of drug-drug interactions between combination agents which may affect each component’s individual pharmacologic properties and the overall efficacy and safety of the combination regimen. Both ublituximab and umbralisib are being evaluated in combination with each other, as well as with a variety of other active anti-cancer agents, which may cause unforeseen toxicity, or impact the severity, duration, and incidence of adverse events observed compared to those seen in the single agent studies of these agents. We also intend to explore multiple combination studies involving TG-1501,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66" w:lineRule="exact"/>
        <w:rPr>
          <w:sz w:val="20"/>
          <w:szCs w:val="20"/>
          <w:color w:val="auto"/>
        </w:rPr>
      </w:pPr>
    </w:p>
    <w:p>
      <w:pPr>
        <w:ind w:right="240" w:firstLine="702"/>
        <w:spacing w:after="0" w:line="275" w:lineRule="auto"/>
        <w:rPr>
          <w:sz w:val="20"/>
          <w:szCs w:val="20"/>
          <w:color w:val="auto"/>
        </w:rPr>
      </w:pPr>
      <w:r>
        <w:rPr>
          <w:rFonts w:ascii="Times New Roman" w:cs="Times New Roman" w:eastAsia="Times New Roman" w:hAnsi="Times New Roman"/>
          <w:sz w:val="18"/>
          <w:szCs w:val="18"/>
          <w:color w:val="auto"/>
        </w:rPr>
        <w:t>If any of our drug candidates receive marketing approval and we or others later identify undesirable or unacceptable side effects caused by such drug candidates (or any other similar drugs) after such approval, a number of potentially significant negative consequences could result, including:</w:t>
      </w:r>
    </w:p>
    <w:p>
      <w:pPr>
        <w:spacing w:after="0" w:line="106"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 candidates;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more significant clinical benefit for approval to offset the risk;</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including warnings, contra-indications, or precautions, that could diminish the usage of the product or otherwise limit the commercial success of the affected product;</w:t>
      </w: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conduct additional clinical trials;</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 candidates;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45" w:lineRule="exact"/>
        <w:rPr>
          <w:sz w:val="20"/>
          <w:szCs w:val="20"/>
          <w:color w:val="auto"/>
        </w:rPr>
      </w:pPr>
    </w:p>
    <w:p>
      <w:pPr>
        <w:ind w:right="380" w:firstLine="682"/>
        <w:spacing w:after="0" w:line="262"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4" w:name="page35"/>
    <w:bookmarkEnd w:id="34"/>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69" w:lineRule="exact"/>
        <w:rPr>
          <w:sz w:val="20"/>
          <w:szCs w:val="20"/>
          <w:color w:val="auto"/>
        </w:rPr>
      </w:pPr>
    </w:p>
    <w:p>
      <w:pPr>
        <w:ind w:right="40" w:firstLine="648"/>
        <w:spacing w:after="0" w:line="288" w:lineRule="auto"/>
        <w:rPr>
          <w:sz w:val="20"/>
          <w:szCs w:val="20"/>
          <w:color w:val="auto"/>
        </w:rPr>
      </w:pPr>
      <w:r>
        <w:rPr>
          <w:rFonts w:ascii="Times New Roman" w:cs="Times New Roman" w:eastAsia="Times New Roman" w:hAnsi="Times New Roman"/>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In the United States, we are not permitted to market a product candidate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REMS requiring prescriber training, post-market registries, or otherwise restricting the marketing and dissemination of these products. Despite the time and expense invested in the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these countries.</w:t>
      </w:r>
    </w:p>
    <w:p>
      <w:pPr>
        <w:spacing w:after="0" w:line="200" w:lineRule="exact"/>
        <w:rPr>
          <w:sz w:val="20"/>
          <w:szCs w:val="20"/>
          <w:color w:val="auto"/>
        </w:rPr>
      </w:pPr>
    </w:p>
    <w:p>
      <w:pPr>
        <w:spacing w:after="0" w:line="212" w:lineRule="exact"/>
        <w:rPr>
          <w:sz w:val="20"/>
          <w:szCs w:val="20"/>
          <w:color w:val="auto"/>
        </w:rPr>
      </w:pPr>
    </w:p>
    <w:p>
      <w:pPr>
        <w:ind w:firstLine="527"/>
        <w:spacing w:after="0" w:line="256" w:lineRule="auto"/>
        <w:rPr>
          <w:sz w:val="20"/>
          <w:szCs w:val="20"/>
          <w:color w:val="auto"/>
        </w:rPr>
      </w:pPr>
      <w:r>
        <w:rPr>
          <w:rFonts w:ascii="Times New Roman" w:cs="Times New Roman" w:eastAsia="Times New Roman" w:hAnsi="Times New Roman"/>
          <w:sz w:val="18"/>
          <w:szCs w:val="18"/>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93"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1"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an indication;</w:t>
      </w:r>
    </w:p>
    <w:p>
      <w:pPr>
        <w:ind w:left="1300" w:hanging="320"/>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is potentially different from the United States;</w:t>
      </w:r>
    </w:p>
    <w:p>
      <w:pPr>
        <w:ind w:left="1300" w:hanging="320"/>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1300" w:right="20" w:hanging="320"/>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ind w:left="1300" w:hanging="320"/>
        <w:spacing w:after="0" w:line="261"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raising questions about the safety of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8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drug candidates, including umbralisib for the treatment of adult patients with relapsed or refractory Marginal Zone Lymphoma (MZL) who have received at least one prior treatment including an anti-CD20 monoclonal antibody, may not lead to a faster development or regulatory review or approval process, and it does not ensure that our drug candidates will receive marketing approval.</w:t>
      </w:r>
    </w:p>
    <w:p>
      <w:pPr>
        <w:spacing w:after="0" w:line="11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January 2019, the FDA granted breakthrough therapy designation to umbralisib for the treatment of adult patients with relapsed or refractory MZL who have received at least one prior treatment including an anti-CD20 monoclonal antibody.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Our breakthrough therapy designation was based on interim data from the MZL cohort of the UNITY-NHL clinical trial. No assurance can be given that the full results from the MZL cohort of the UNITY-NHL clinical trial will be positive and support a filing for accelerated approval.</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5" w:name="page36"/>
    <w:bookmarkEnd w:id="35"/>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Designation as a breakthrough therapy is wholly within the discretion of the FDA. Accordingly, even if we believe one of our drug candidates meets the criteria for designation as a breakthrough therapy, the FDA may disagree and instead determine not to grant such designation to the drug candidate.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 and rescind the designation.</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right="220" w:firstLine="682"/>
        <w:spacing w:after="0" w:line="255" w:lineRule="auto"/>
        <w:rPr>
          <w:sz w:val="20"/>
          <w:szCs w:val="20"/>
          <w:color w:val="auto"/>
        </w:rPr>
      </w:pPr>
      <w:r>
        <w:rPr>
          <w:rFonts w:ascii="Times New Roman" w:cs="Times New Roman" w:eastAsia="Times New Roman" w:hAnsi="Times New Roman"/>
          <w:sz w:val="18"/>
          <w:szCs w:val="18"/>
          <w:color w:val="auto"/>
        </w:rPr>
        <w:t>We may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22"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orphan drug designation for umbralisib and ublituximab for specified indications, we may seek additional orphan drug designation for those and some of our other drug candidates. However, we may be unsuccessful in obtaining or may be unable to maintain the benefits associated with orphan drug designation, including the potential for market exclusivity.</w:t>
      </w:r>
    </w:p>
    <w:p>
      <w:pPr>
        <w:spacing w:after="0" w:line="11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Ublituximab received orphan-drug designation from the FDA for the treatment of Marginal Zone Lymphoma (Nodal and Extranodal) in September 2013, for the treatment of CLL in August of 2010, and orphan-drug designation by the EMA for the treatment of CLL in November of 2009. We also obtained orphan drug designation for umbralisib as monotherapy for the treatment of CLL in August 2016, and in January 2017, we announced that the FDA granted Orphan Drug designation covering the combination of ublituximab and umbralisib for the treatment of patients with CLL and DLBCL. As part of our business strategy, we may seek orphan drug designation for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5"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6"/>
          <w:szCs w:val="16"/>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w:t>
      </w:r>
    </w:p>
    <w:p>
      <w:pPr>
        <w:spacing w:after="0" w:line="163"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 all of our product candidates are still under development, manufacturing site additions, scale-up and process improvements implemented in the production of those product candidates may affect their ultimate activity or function.</w:t>
      </w:r>
    </w:p>
    <w:p>
      <w:pPr>
        <w:spacing w:after="0" w:line="16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product candidates are in the initial stages of development and are currently manufactured in relatively small batches for use in pre-clinical and clinical studies. Process improvements implemented to date have changed, and process improvements in the future may change, the activity/ and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Phase 3 and material from more than one manufacturing process were utilized in the Phase 3 UNITY-CLL trial.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also can be negatively impacted by such process changes. Given the uncertainty of the impact on product specifications, quality and performance, process improvements made during Phase 3 development carry a higher level of risk then those made prior to Phase 3 development. If there are significant differences in product attributes between the two materials, we may need to adjust our statistical analysis plans of the Phase 3 study to confirm that there is no difference in safety or efficacy between product made by each process in order to and allow us to utilize data from all enrolled patients, as well as be able to integrate clinical safety and/or efficacy results across studies to support any potential marketing application. There can be no assurance given that such analyses will be successful in demonstrating no clinical differences between these drug products, which could substantially impact the approvability of the U2 combination based on the results of the UNITY-CLL study. In such circumstances, that would have a material adverse effect on the Company.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6" w:name="page37"/>
    <w:bookmarkEnd w:id="36"/>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engaged a secondary manufacturer for ublituximab to meet our current clinical and future commercial needs and anticipate engaging additional manufacturing sources for umbralisib to meet expanded clinical trial and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umbralisib as manufactured to date and used in currently available pre-clinical data and or in early clinical trials presented publicly or reported in this or any previous filing, or that the relevant regulatory agencies will agree with our interpretation of comparability.</w:t>
      </w:r>
    </w:p>
    <w:p>
      <w:pPr>
        <w:spacing w:after="0" w:line="12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as we move closer to commercialization for ublituximab and umbralisib we will need to scale-up production to ensure adequate commercial supply. We are currently in the process of scaling up ublituximab.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15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1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precise incidence and/or prevalence of CLL, relapsed/refractory MZL, relapsed/refractory FL and MS are unknown. </w:t>
      </w:r>
      <w:r>
        <w:rPr>
          <w:rFonts w:ascii="Times New Roman" w:cs="Times New Roman" w:eastAsia="Times New Roman" w:hAnsi="Times New Roman"/>
          <w:sz w:val="18"/>
          <w:szCs w:val="18"/>
          <w:color w:val="181717"/>
        </w:rPr>
        <w:t>Our projections of both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 xml:space="preserve">number of people who are affected by disease within our target indications, as well as the subset of these people who have the potential to benefit from treatment with </w:t>
      </w:r>
      <w:r>
        <w:rPr>
          <w:rFonts w:ascii="Times New Roman" w:cs="Times New Roman" w:eastAsia="Times New Roman" w:hAnsi="Times New Roman"/>
          <w:sz w:val="18"/>
          <w:szCs w:val="18"/>
          <w:color w:val="000000"/>
        </w:rPr>
        <w:t>our</w:t>
      </w:r>
      <w:r>
        <w:rPr>
          <w:rFonts w:ascii="Times New Roman" w:cs="Times New Roman" w:eastAsia="Times New Roman" w:hAnsi="Times New Roman"/>
          <w:sz w:val="18"/>
          <w:szCs w:val="18"/>
          <w:color w:val="181717"/>
        </w:rPr>
        <w:t xml:space="preserve"> product candidates, are based on our beliefs and estimates. Our beliefs are typically based on one on one and group interactions with target physicians and our estimates have been derived from a variety of sources, including the scientific literature, healthcare utilization databases and market research, and may prove to be incorrect. Further, new studies may change the estimated incidence or prevalence of these diseases.</w:t>
      </w:r>
    </w:p>
    <w:p>
      <w:pPr>
        <w:spacing w:after="0" w:line="220" w:lineRule="exact"/>
        <w:rPr>
          <w:sz w:val="20"/>
          <w:szCs w:val="20"/>
          <w:color w:val="auto"/>
        </w:rPr>
      </w:pPr>
    </w:p>
    <w:p>
      <w:pPr>
        <w:ind w:right="100" w:firstLine="648"/>
        <w:spacing w:after="0" w:line="296" w:lineRule="auto"/>
        <w:rPr>
          <w:sz w:val="20"/>
          <w:szCs w:val="20"/>
          <w:color w:val="auto"/>
        </w:rPr>
      </w:pPr>
      <w:r>
        <w:rPr>
          <w:rFonts w:ascii="Times New Roman" w:cs="Times New Roman" w:eastAsia="Times New Roman" w:hAnsi="Times New Roman"/>
          <w:sz w:val="16"/>
          <w:szCs w:val="16"/>
          <w:color w:val="auto"/>
        </w:rPr>
        <w:t>The total addressable market opportunity for umbralisib and ublituximab for the treatment of patients with CLL, MZL, FL and MS will ultimately depend upon, among other things, the final label indication, approved for sale for these indications, acceptance by the medical community, patient access,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5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02" w:lineRule="exact"/>
        <w:rPr>
          <w:sz w:val="20"/>
          <w:szCs w:val="20"/>
          <w:color w:val="auto"/>
        </w:rPr>
      </w:pPr>
    </w:p>
    <w:p>
      <w:pPr>
        <w:ind w:right="260" w:firstLine="699"/>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37" w:name="page38"/>
    <w:bookmarkEnd w:id="37"/>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cancer indications for which we are developing our products there are a number of established therapies with which we will compete:</w:t>
      </w:r>
    </w:p>
    <w:p>
      <w:pPr>
        <w:spacing w:after="0" w:line="225" w:lineRule="exact"/>
        <w:rPr>
          <w:sz w:val="20"/>
          <w:szCs w:val="20"/>
          <w:color w:val="auto"/>
        </w:rPr>
      </w:pPr>
    </w:p>
    <w:p>
      <w:pPr>
        <w:jc w:val="both"/>
        <w:ind w:left="1300" w:hanging="320"/>
        <w:spacing w:after="0" w:line="25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treatment of CLL, if U2 is approved, we expect U2 to compete with recently approved drugs such as ibrutinib (AbbVie and Janssen), venetoclax (AbbVie and Roche), obinutuzumab (Roche), idelalisib (Gilead) and duvelisib (Verastem), and established treatments such as rituximab (Roche), and several generically available chemotherapies. Additionally, there are two second generation BTK inhibitors similar to ibrutinib in late-stage clinical testing for CLL that could enter the market in the next 12-36 months. Each of these agents can be used as monotherapy or in combination with one or more of the other agents.</w:t>
      </w:r>
    </w:p>
    <w:p>
      <w:pPr>
        <w:spacing w:after="0" w:line="192"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treatment of Marginal Zone Lymphoma, if approved, we expect umbralisib to compete with ibrutinib (AbbVie and Janssen) and established treatments such as rituximab and several generically available chemotherapies. Additionally, the combination of rituximab and lenalidomide (Celgene) has been studied in MZL and may be approved.</w:t>
      </w:r>
    </w:p>
    <w:p>
      <w:pPr>
        <w:spacing w:after="0" w:line="186"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treatment of Follicular Lymphoma, if approved, we expect umbralisib to compete with recently approved drugs such as obinutuzumab (Roche), idelalisib (Gilead), copanlisib (Bayer), and duvelisib (Verastem), and established treatments such as rituximab (Roche), and several generically available chemotherapies. Each of these agents can be used as monotherapy or in combination with one or more of the other agents. The combination of rituximab and lenalidomide (Celgene) has also been studied in FL and may be approved. There are also several PI3K delta inhibitors in earlier stages of development.</w:t>
      </w:r>
    </w:p>
    <w:p>
      <w:pPr>
        <w:spacing w:after="0" w:line="192"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Multiple Sclerosis for which we are developing ublituximab there are a number of established therapies with which we will compete:</w:t>
      </w:r>
    </w:p>
    <w:p>
      <w:pPr>
        <w:spacing w:after="0" w:line="225" w:lineRule="exact"/>
        <w:rPr>
          <w:sz w:val="20"/>
          <w:szCs w:val="20"/>
          <w:color w:val="auto"/>
        </w:rPr>
      </w:pPr>
    </w:p>
    <w:p>
      <w:pPr>
        <w:jc w:val="both"/>
        <w:ind w:left="1300" w:hanging="320"/>
        <w:spacing w:after="0" w:line="258"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is one anti-CD20 monoclonal antibody approved, ocrelizumab (Roche), and another in Phase 3 development, ofatumumab (Novartis), which is expected to enter the market in the next 12-24 months.</w:t>
      </w:r>
    </w:p>
    <w:p>
      <w:pPr>
        <w:spacing w:after="0" w:line="19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TG-1501, TG-1701 and TG-1801 if approved will also face competition from drugs on the market and under development that have the same mechanism of action as each of those drugs.</w:t>
      </w:r>
    </w:p>
    <w:p>
      <w:pPr>
        <w:spacing w:after="0" w:line="201"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6"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8" w:name="page39"/>
    <w:bookmarkEnd w:id="38"/>
    <w:p>
      <w:pPr>
        <w:ind w:right="120" w:firstLine="648"/>
        <w:spacing w:after="0" w:line="275"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70"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23"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that we may develop;</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candidates that we may develop.</w:t>
      </w:r>
    </w:p>
    <w:p>
      <w:pPr>
        <w:spacing w:after="0" w:line="213"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if we successfully commercialize any drug candidate. Insurance coverage is increasingly expensive. We may not be able to maintain insurance coverage at a reasonable cost or in an amount adequate to satisfy any liability that may arise.</w:t>
      </w:r>
    </w:p>
    <w:p>
      <w:pPr>
        <w:spacing w:after="0" w:line="182"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69"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would also be necessary for commercial success. The degree of market acceptance of any approved product would depend on a number of factors, including:</w:t>
      </w:r>
    </w:p>
    <w:p>
      <w:pPr>
        <w:spacing w:after="0" w:line="186" w:lineRule="exact"/>
        <w:rPr>
          <w:sz w:val="20"/>
          <w:szCs w:val="20"/>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as demonstrated in clinical trials;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 as well as competitive products;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major operators of cancer clinics and patients of the product as a safe and effective treatment;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of the product candidate in a broader patient group;</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the product candidate;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40"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39" w:name="page40"/>
    <w:bookmarkEnd w:id="39"/>
    <w:p>
      <w:pPr>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30" w:lineRule="exact"/>
        <w:rPr>
          <w:sz w:val="20"/>
          <w:szCs w:val="20"/>
          <w:color w:val="auto"/>
        </w:rPr>
      </w:pPr>
    </w:p>
    <w:p>
      <w:pPr>
        <w:ind w:right="40" w:firstLine="648"/>
        <w:spacing w:after="0" w:line="288" w:lineRule="auto"/>
        <w:rPr>
          <w:sz w:val="20"/>
          <w:szCs w:val="20"/>
          <w:color w:val="auto"/>
        </w:rPr>
      </w:pPr>
      <w:r>
        <w:rPr>
          <w:rFonts w:ascii="Times New Roman" w:cs="Times New Roman" w:eastAsia="Times New Roman" w:hAnsi="Times New Roman"/>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31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69" w:lineRule="exact"/>
        <w:rPr>
          <w:sz w:val="20"/>
          <w:szCs w:val="20"/>
          <w:color w:val="auto"/>
        </w:rPr>
      </w:pPr>
    </w:p>
    <w:p>
      <w:pPr>
        <w:ind w:right="400" w:firstLine="648"/>
        <w:spacing w:after="0" w:line="256"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19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the “ACA,” was enacted in 2010 and made significant changes to the United States’ healthcare system. The ACA and any revisions or replacements of that Act, any substitute legislation, and other changes in the law or regulatory framework could have a material adverse effect on our business.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the provisions of the ACA, those of importance to our potential product candidates are:</w:t>
      </w:r>
    </w:p>
    <w:p>
      <w:pPr>
        <w:spacing w:after="0" w:line="225" w:lineRule="exact"/>
        <w:rPr>
          <w:sz w:val="20"/>
          <w:szCs w:val="20"/>
          <w:color w:val="auto"/>
        </w:rPr>
      </w:pPr>
    </w:p>
    <w:p>
      <w:pPr>
        <w:ind w:left="1300" w:hanging="320"/>
        <w:spacing w:after="0" w:line="257"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ind w:left="1300" w:right="20" w:hanging="320"/>
        <w:spacing w:after="0" w:line="250"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federal False Claims Act and the federal Anti-Kickback Statute, new government investigative powers and enhanced penalties for non-compliance;</w:t>
      </w:r>
    </w:p>
    <w:p>
      <w:pPr>
        <w:jc w:val="both"/>
        <w:ind w:left="1300" w:right="20" w:hanging="320"/>
        <w:spacing w:after="0" w:line="250"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0" w:name="page41"/>
    <w:bookmarkEnd w:id="40"/>
    <w:p>
      <w:pPr>
        <w:jc w:val="both"/>
        <w:ind w:left="1300" w:hanging="320"/>
        <w:spacing w:after="0" w:line="255"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340B Drug Pricing Program;</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requirements under the federal Open Payments program and its implementing regulations;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regulatory pathway for the approval of biosimilar biological products, all of which will impact existing government healthcare programs and will result in the development of new programs; and</w:t>
      </w:r>
    </w:p>
    <w:p>
      <w:pPr>
        <w:ind w:left="1300" w:right="20" w:hanging="320"/>
        <w:spacing w:after="0" w:line="261"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746"/>
        <w:spacing w:after="0" w:line="256" w:lineRule="auto"/>
        <w:rPr>
          <w:sz w:val="20"/>
          <w:szCs w:val="20"/>
          <w:color w:val="auto"/>
        </w:rPr>
      </w:pPr>
      <w:r>
        <w:rPr>
          <w:rFonts w:ascii="Times New Roman" w:cs="Times New Roman" w:eastAsia="Times New Roman" w:hAnsi="Times New Roman"/>
          <w:sz w:val="18"/>
          <w:szCs w:val="18"/>
          <w:color w:val="auto"/>
        </w:rPr>
        <w:t>President Trump ran for office on a platform that supported the repeal of the ACA, and one of his first actions after his inauguration was to sign an Executive Order instructing federal agencies to waive or delay requirements of the ACA that impose economic or regulatory burdens on states, families, the health-care industry and others. Modifications to or repeal of all or certain provisions of the ACA have been attempted in Congress as a result of the outcome of the recent presidential and congressional elections, consistent with statements made by the incoming administration and members of Congress during the presidential and congressional campaigns and following the election.</w:t>
      </w:r>
    </w:p>
    <w:p>
      <w:pPr>
        <w:spacing w:after="0" w:line="220" w:lineRule="exact"/>
        <w:rPr>
          <w:sz w:val="20"/>
          <w:szCs w:val="20"/>
          <w:color w:val="auto"/>
        </w:rPr>
      </w:pPr>
    </w:p>
    <w:p>
      <w:pPr>
        <w:ind w:firstLine="486"/>
        <w:spacing w:after="0" w:line="288" w:lineRule="auto"/>
        <w:rPr>
          <w:sz w:val="20"/>
          <w:szCs w:val="20"/>
          <w:color w:val="auto"/>
        </w:rPr>
      </w:pPr>
      <w:r>
        <w:rPr>
          <w:rFonts w:ascii="Times New Roman" w:cs="Times New Roman" w:eastAsia="Times New Roman" w:hAnsi="Times New Roman"/>
          <w:sz w:val="16"/>
          <w:szCs w:val="16"/>
          <w:color w:val="auto"/>
        </w:rPr>
        <w:t>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legislation that would repeal certain aspects of the ACA. In March 2017, following the passage of the budget resolution for fiscal year 2017, the United States House of Representatives passed legislation known as the American Health Care Act of 2017, which, if enacted, would amend or repeal significant portions of the ACA. Attempts in the Senate in 2017 to pass ACA repeal legislation, including the Better Care Reconciliation Act of 2017, so far have been unsuccessful. At the end of 2017, Congress passed the Tax Cuts and Jobs Act, which repealed the penalty for individuals who fail to maintain minimum essential health coverage as required by the ACA. Following this legislation, Texas and 19 other states filed a lawsuit alleging that the ACA is unconstitutional as the individual mandate was repealed, undermining the legal basis for the Supreme Court’s prior decision. On December 14, 2018, Texas federal district court judge Reed O’Connor issued a ruling declaring that the ACA in it is entirety is unconstitutional. While this decision has no immediate legal effect on the ACA and its provisions, this lawsuit is ongoing and the outcome through the appeals process may have a significant impact on our business.</w:t>
      </w:r>
    </w:p>
    <w:p>
      <w:pPr>
        <w:spacing w:after="0" w:line="390"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Most recently, the Bipartisan Budget Act of 2018, the “BBA,” which set government spending levels for Fiscal Years 2018 and 2019, revised certain provisions of the ACA. Specifically, beginning in 2019, the BBA increased manufacturer point-of-sale discounts off negotiated prices of applicable brand drugs in the Medicare Part D coverage gap from 50% to 70%, ultimately increasing the liability for brand drug manufacturers. Further, this mandatory manufacturer discount applies to biosimilars beginning in 2019.</w:t>
      </w:r>
    </w:p>
    <w:p>
      <w:pPr>
        <w:spacing w:after="0" w:line="190"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The Trump Administration has also taken several regulatory steps to redirect ACA implementation. The Department of Health and Human Services (“HHS”) finalized Medicare fee-for-service hospital payment reductions for Part B drugs acquired through the 340B Drug Pricing Program, which has been overturned by the courts. HHS also has signaled its intent to continue to pursue reimbursement policy changes for Medicare Part B drugs as a whole that likely would reduce hospital and physician reimbursement for these drugs.</w:t>
      </w:r>
    </w:p>
    <w:p>
      <w:pPr>
        <w:spacing w:after="0" w:line="190"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HHS has made numerous other proposals aimed at lowering drug prices for Medicare beneficiaries and increasing price transparency. These proposals include giving Medicare Advantage and Part D plans flexibility in the availability of drugs in “protected classes,” more transparency in the cost of drugs, including the beneficiary’s financial liability, and less costly alternatives and permitting the use of step therapy as a means of prior authorization. HHS has also proposed requiring pharmaceutical manufacturers disclose the prices of certain drugs in direct-to-consumer television advertisements.</w:t>
      </w:r>
    </w:p>
    <w:p>
      <w:pPr>
        <w:spacing w:after="0" w:line="190" w:lineRule="exact"/>
        <w:rPr>
          <w:sz w:val="20"/>
          <w:szCs w:val="20"/>
          <w:color w:val="auto"/>
        </w:rPr>
      </w:pPr>
    </w:p>
    <w:p>
      <w:pPr>
        <w:ind w:right="540" w:firstLine="486"/>
        <w:spacing w:after="0" w:line="262" w:lineRule="auto"/>
        <w:rPr>
          <w:sz w:val="20"/>
          <w:szCs w:val="20"/>
          <w:color w:val="auto"/>
        </w:rPr>
      </w:pPr>
      <w:r>
        <w:rPr>
          <w:rFonts w:ascii="Times New Roman" w:cs="Times New Roman" w:eastAsia="Times New Roman" w:hAnsi="Times New Roman"/>
          <w:sz w:val="18"/>
          <w:szCs w:val="18"/>
          <w:color w:val="auto"/>
        </w:rPr>
        <w:t>HHS also has taken steps to increase the availability of cheaper health insurance options, typically with fewer benefits and less generous. The Administration has also signaled its intention to address drug prices and to increase competition, including by increasing the availability of biosimilars and generic drugs. As these are regulatory actions, a new administration could undo or modify these efforts.</w:t>
      </w:r>
    </w:p>
    <w:p>
      <w:pPr>
        <w:spacing w:after="0" w:line="186"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1" w:name="page42"/>
    <w:bookmarkEnd w:id="41"/>
    <w:p>
      <w:pPr>
        <w:ind w:right="200" w:firstLine="527"/>
        <w:spacing w:after="0" w:line="256"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93" w:lineRule="exact"/>
        <w:rPr>
          <w:sz w:val="20"/>
          <w:szCs w:val="20"/>
          <w:color w:val="auto"/>
        </w:rPr>
      </w:pPr>
    </w:p>
    <w:p>
      <w:pPr>
        <w:jc w:val="both"/>
        <w:ind w:right="80" w:firstLine="486"/>
        <w:spacing w:after="0" w:line="258" w:lineRule="auto"/>
        <w:rPr>
          <w:sz w:val="20"/>
          <w:szCs w:val="20"/>
          <w:color w:val="auto"/>
        </w:rPr>
      </w:pPr>
      <w:r>
        <w:rPr>
          <w:rFonts w:ascii="Times New Roman" w:cs="Times New Roman" w:eastAsia="Times New Roman" w:hAnsi="Times New Roman"/>
          <w:sz w:val="18"/>
          <w:szCs w:val="18"/>
          <w:color w:val="auto"/>
        </w:rPr>
        <w:t>There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90" w:lineRule="exact"/>
        <w:rPr>
          <w:sz w:val="20"/>
          <w:szCs w:val="20"/>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governments may impose price controls, which may adversely affect our future profitability.</w:t>
      </w:r>
    </w:p>
    <w:p>
      <w:pPr>
        <w:spacing w:after="0" w:line="22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likelihood, nature or extent of government regulation that may arise from future legislation or administrative or executive action, either in the United States or abroad.</w:t>
      </w:r>
    </w:p>
    <w:p>
      <w:pPr>
        <w:spacing w:after="0" w:line="102"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16"/>
          <w:szCs w:val="16"/>
          <w:color w:val="auto"/>
        </w:rPr>
        <w:t>We cannot predict the likelihood, nature or extent of how government regulation that may arise from future legislation or administrative or executive action taken by the U.S. presidential administration may impact our business and industry. In particular, the U.S. President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23, 2017, President Trump ordered a civilian hiring freeze for all executive departments and agencies, including the FDA, which prohibits the FDA from filling employee vacancies or creating new positions. Under the terms of the order, the freeze was to remain in effect until implementation of a plan to be recommended by the Director for the Office of Management and Budget (“OMB”) in consultation with the Director of the Office of Personnel Management, to reduce the size of the federal workforce through attrition. An under-staffed FDA could result in delays in FDA’s responsiveness or in its ability to review submissions or applications, issue regulations or guidance or implement or enforce regulatory requirements in a timely fashion or at all. This hiring freeze was lifted later in 2017.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317" w:lineRule="exact"/>
        <w:rPr>
          <w:sz w:val="20"/>
          <w:szCs w:val="20"/>
          <w:color w:val="auto"/>
        </w:rPr>
      </w:pPr>
    </w:p>
    <w:p>
      <w:pPr>
        <w:ind w:right="640" w:firstLine="34"/>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15" w:lineRule="exact"/>
        <w:rPr>
          <w:sz w:val="20"/>
          <w:szCs w:val="20"/>
          <w:color w:val="auto"/>
        </w:rPr>
      </w:pPr>
    </w:p>
    <w:p>
      <w:pPr>
        <w:ind w:right="160" w:firstLine="648"/>
        <w:spacing w:after="0" w:line="301" w:lineRule="auto"/>
        <w:rPr>
          <w:sz w:val="20"/>
          <w:szCs w:val="20"/>
          <w:color w:val="auto"/>
        </w:rPr>
      </w:pPr>
      <w:r>
        <w:rPr>
          <w:rFonts w:ascii="Times New Roman" w:cs="Times New Roman" w:eastAsia="Times New Roman" w:hAnsi="Times New Roman"/>
          <w:sz w:val="16"/>
          <w:szCs w:val="16"/>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9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advance of FDA approval of our first product, we will need to make significant investments to build a commercial organization and infrastructure. We will need to hire a sales force and commercial support personnel, in order to build processes and systems to support a commercial launch prior to knowing whether our product will receive FDA approval. It is possible that the FDA approval is unexpectedly delayed or our product is not approved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2" w:name="page43"/>
    <w:bookmarkEnd w:id="42"/>
    <w:p>
      <w:pPr>
        <w:ind w:right="20" w:firstLine="692"/>
        <w:spacing w:after="0" w:line="256"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 candidates on our own include:</w:t>
      </w:r>
    </w:p>
    <w:p>
      <w:pPr>
        <w:spacing w:after="0" w:line="158"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13" w:lineRule="exact"/>
        <w:rPr>
          <w:sz w:val="20"/>
          <w:szCs w:val="20"/>
          <w:color w:val="auto"/>
        </w:rPr>
      </w:pPr>
    </w:p>
    <w:p>
      <w:pPr>
        <w:ind w:right="80" w:firstLine="648"/>
        <w:spacing w:after="0" w:line="293" w:lineRule="auto"/>
        <w:rPr>
          <w:sz w:val="20"/>
          <w:szCs w:val="20"/>
          <w:color w:val="auto"/>
        </w:rPr>
      </w:pPr>
      <w:r>
        <w:rPr>
          <w:rFonts w:ascii="Times New Roman" w:cs="Times New Roman" w:eastAsia="Times New Roman" w:hAnsi="Times New Roman"/>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15" w:lineRule="exact"/>
        <w:rPr>
          <w:sz w:val="20"/>
          <w:szCs w:val="20"/>
          <w:color w:val="auto"/>
        </w:rPr>
      </w:pPr>
    </w:p>
    <w:p>
      <w:pPr>
        <w:ind w:right="60" w:firstLine="702"/>
        <w:spacing w:after="0" w:line="300" w:lineRule="auto"/>
        <w:rPr>
          <w:sz w:val="20"/>
          <w:szCs w:val="20"/>
          <w:color w:val="auto"/>
        </w:rPr>
      </w:pPr>
      <w:r>
        <w:rPr>
          <w:rFonts w:ascii="Times New Roman" w:cs="Times New Roman" w:eastAsia="Times New Roman" w:hAnsi="Times New Roman"/>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87" w:lineRule="exact"/>
        <w:rPr>
          <w:sz w:val="20"/>
          <w:szCs w:val="20"/>
          <w:color w:val="auto"/>
        </w:rPr>
      </w:pPr>
    </w:p>
    <w:p>
      <w:pPr>
        <w:jc w:val="both"/>
        <w:ind w:left="1300" w:hanging="320"/>
        <w:spacing w:after="0" w:line="253"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2"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95" w:lineRule="auto"/>
        <w:tabs>
          <w:tab w:leader="none" w:pos="13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43" w:name="page44"/>
    <w:bookmarkEnd w:id="43"/>
    <w:p>
      <w:pPr>
        <w:ind w:left="1300" w:hanging="320"/>
        <w:spacing w:after="0" w:line="257"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95" w:lineRule="exact"/>
        <w:rPr>
          <w:sz w:val="20"/>
          <w:szCs w:val="20"/>
          <w:color w:val="auto"/>
        </w:rPr>
      </w:pPr>
    </w:p>
    <w:p>
      <w:pPr>
        <w:ind w:firstLine="702"/>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215"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6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we are exposed to liability risks under the Foreign Corrupt Practices Act or similar anti-bribery laws.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requirements regarding the distribution of samples to physicians and recordkeeping, and requirements regarding company presentations and interactions with healthcare professionals. Even if we obtain regulatory approval of a product, the approval may be subject to limitations on the indicated uses for which the product may be marketed, be subject to conditions of approval, or contain requirements for costly post-marketing testing and surveillance to monitor the safety and/or efficacy of the product. We also may be subject to state laws and registration requirements covering the distribution of drug products. Later discovery of previously unknown problems with products, manufacturers or manufacturing processes, or failure to comply with regulatory requirements, may result in actions such as:</w:t>
      </w:r>
    </w:p>
    <w:p>
      <w:pPr>
        <w:spacing w:after="0" w:line="127" w:lineRule="exact"/>
        <w:rPr>
          <w:sz w:val="20"/>
          <w:szCs w:val="20"/>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2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or regulatory approvals;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145" w:lineRule="exact"/>
        <w:rPr>
          <w:sz w:val="20"/>
          <w:szCs w:val="20"/>
          <w:color w:val="auto"/>
        </w:rPr>
      </w:pPr>
    </w:p>
    <w:p>
      <w:pPr>
        <w:jc w:val="both"/>
        <w:ind w:right="240" w:firstLine="648"/>
        <w:spacing w:after="0" w:line="310" w:lineRule="auto"/>
        <w:rPr>
          <w:sz w:val="20"/>
          <w:szCs w:val="20"/>
          <w:color w:val="auto"/>
        </w:rPr>
      </w:pPr>
      <w:r>
        <w:rPr>
          <w:rFonts w:ascii="Times New Roman" w:cs="Times New Roman" w:eastAsia="Times New Roman" w:hAnsi="Times New Roman"/>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4" w:name="page45"/>
    <w:bookmarkEnd w:id="44"/>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181717"/>
        </w:rPr>
        <w:t>We will need to obtain FDA approval of any proposed product brand names, and any failure or delay associated with such approval may adversely impact our business.</w:t>
      </w:r>
    </w:p>
    <w:p>
      <w:pPr>
        <w:spacing w:after="0" w:line="16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16"/>
          <w:szCs w:val="16"/>
          <w:color w:val="181717"/>
        </w:rPr>
        <w:t xml:space="preserve">A pharmaceutical product candidate cannot be marketed in the United States or other countries until we have completed a rigorous and extensive regulatory review processes, including approval of a brand name. Any brand names we intend to use for </w:t>
      </w:r>
      <w:r>
        <w:rPr>
          <w:rFonts w:ascii="Times New Roman" w:cs="Times New Roman" w:eastAsia="Times New Roman" w:hAnsi="Times New Roman"/>
          <w:sz w:val="16"/>
          <w:szCs w:val="16"/>
          <w:color w:val="000000"/>
        </w:rPr>
        <w:t>ublituximab, umbralisib</w:t>
      </w:r>
      <w:r>
        <w:rPr>
          <w:rFonts w:ascii="Times New Roman" w:cs="Times New Roman" w:eastAsia="Times New Roman" w:hAnsi="Times New Roman"/>
          <w:sz w:val="16"/>
          <w:szCs w:val="16"/>
          <w:color w:val="181717"/>
        </w:rPr>
        <w:t xml:space="preserve"> or any future product candidates will require approval from the FDA regardless of whether we have secured a formal trademark registration from the United States Patent and Trademark Office (“USPTO”).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w:t>
      </w:r>
      <w:r>
        <w:rPr>
          <w:rFonts w:ascii="Times New Roman" w:cs="Times New Roman" w:eastAsia="Times New Roman" w:hAnsi="Times New Roman"/>
          <w:sz w:val="16"/>
          <w:szCs w:val="16"/>
          <w:color w:val="000000"/>
        </w:rPr>
        <w:t>required</w:t>
      </w:r>
      <w:r>
        <w:rPr>
          <w:rFonts w:ascii="Times New Roman" w:cs="Times New Roman" w:eastAsia="Times New Roman" w:hAnsi="Times New Roman"/>
          <w:sz w:val="16"/>
          <w:szCs w:val="16"/>
          <w:color w:val="181717"/>
        </w:rPr>
        <w:t xml:space="preserve"> to adopt an alternative brand name for </w:t>
      </w:r>
      <w:r>
        <w:rPr>
          <w:rFonts w:ascii="Times New Roman" w:cs="Times New Roman" w:eastAsia="Times New Roman" w:hAnsi="Times New Roman"/>
          <w:sz w:val="16"/>
          <w:szCs w:val="16"/>
          <w:color w:val="000000"/>
        </w:rPr>
        <w:t>ublituximab, umbralisib</w:t>
      </w:r>
      <w:r>
        <w:rPr>
          <w:rFonts w:ascii="Times New Roman" w:cs="Times New Roman" w:eastAsia="Times New Roman" w:hAnsi="Times New Roman"/>
          <w:sz w:val="16"/>
          <w:szCs w:val="16"/>
          <w:color w:val="181717"/>
        </w:rPr>
        <w:t xml:space="preserve"> or any future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w:t>
      </w:r>
      <w:r>
        <w:rPr>
          <w:rFonts w:ascii="Times New Roman" w:cs="Times New Roman" w:eastAsia="Times New Roman" w:hAnsi="Times New Roman"/>
          <w:sz w:val="16"/>
          <w:szCs w:val="16"/>
          <w:color w:val="000000"/>
        </w:rPr>
        <w:t>ublituximab, umbralisib,</w:t>
      </w:r>
      <w:r>
        <w:rPr>
          <w:rFonts w:ascii="Times New Roman" w:cs="Times New Roman" w:eastAsia="Times New Roman" w:hAnsi="Times New Roman"/>
          <w:sz w:val="16"/>
          <w:szCs w:val="16"/>
          <w:color w:val="181717"/>
        </w:rPr>
        <w:t xml:space="preserve"> or any future product candidates. We do not currently have an agreed upon brand name for umbralisib, and no assurance can be given that we will obtain one in a timely fashion. Any delay in obtaining a brand name for umbralisib or any other of our drug candidates could delay approval and/or commercialization and have a negative impact on our launch and future prospects for umbralisib or any other such drug candidates.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quality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83" w:lineRule="exact"/>
        <w:rPr>
          <w:sz w:val="20"/>
          <w:szCs w:val="20"/>
          <w:color w:val="auto"/>
        </w:rPr>
      </w:pPr>
    </w:p>
    <w:p>
      <w:pPr>
        <w:ind w:right="140" w:firstLine="648"/>
        <w:spacing w:after="0" w:line="293" w:lineRule="auto"/>
        <w:rPr>
          <w:sz w:val="20"/>
          <w:szCs w:val="20"/>
          <w:color w:val="auto"/>
        </w:rPr>
      </w:pPr>
      <w:r>
        <w:rPr>
          <w:rFonts w:ascii="Times New Roman" w:cs="Times New Roman" w:eastAsia="Times New Roman" w:hAnsi="Times New Roman"/>
          <w:sz w:val="16"/>
          <w:szCs w:val="16"/>
          <w:color w:val="auto"/>
        </w:rPr>
        <w:t>In order to submit and maintain an Investigational New Drug application (“IND”), BLA, or NDA to the FDA, it is necessary to submit all information on the clinical, non-clinical, chemistry, manufacturing, controls and quality aspects of the product candidate. We rely on our third party contractors and our licensing partners to provide portions of this data. If we are unable to obtain this data, or the data is not sufficient to meet the regulatory requirements, we may experience significant delays in our development programs. While we maintain an active IND for ublituximab and umbralisib enabling the conduct of studies in the FDA’s Division of Hematology and Oncology, and an active IND for ublituximab under the FDA’s Division of Neurology, there can be no assurance that the FDA will allow us to continue the development of our product candidates in those divisions where we maintain an active IND.</w:t>
      </w:r>
    </w:p>
    <w:p>
      <w:pPr>
        <w:spacing w:after="0" w:line="165" w:lineRule="exact"/>
        <w:rPr>
          <w:sz w:val="20"/>
          <w:szCs w:val="20"/>
          <w:color w:val="auto"/>
        </w:rPr>
      </w:pPr>
    </w:p>
    <w:p>
      <w:pPr>
        <w:ind w:firstLine="648"/>
        <w:spacing w:after="0" w:line="285" w:lineRule="auto"/>
        <w:rPr>
          <w:sz w:val="20"/>
          <w:szCs w:val="20"/>
          <w:color w:val="auto"/>
        </w:rPr>
      </w:pPr>
      <w:r>
        <w:rPr>
          <w:rFonts w:ascii="Times New Roman" w:cs="Times New Roman" w:eastAsia="Times New Roman" w:hAnsi="Times New Roman"/>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qualified candidates for our clinical trials, and for them to ensure participants adhere to our clinical protocol requirements. The majority of our clinical trial conduct occurs in the out-patient setting, where patients are expected to continueto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theloss of follow-up information on patients enrolled in our ongoing clinical trials unless we are able to transfer the care of those patients to another qualified clinical trial site. If any of our clinical trial sites are required by the FDA or IRB to close down due to data management or patient management or any other issues we may lose patients. In our MS Phase 2 trial, during routine monitoring and site audits, significant Good Clinical Practice (GCP) violations and other noncompliance issues were identified at one of our US-based large academic sites. The investigator left the institution; shortly thereafter the site terminated their participation in our study, before all data could be source document verified. While we do not believe this will have any effect on the overall results of the MS Phase 2 trial, sensitivity analyses excluding data from this site will be performed and no assurance can be given that the results were not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45" w:name="page46"/>
    <w:bookmarkEnd w:id="45"/>
    <w:p>
      <w:pPr>
        <w:ind w:firstLine="527"/>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are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3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3" w:lineRule="exact"/>
        <w:rPr>
          <w:sz w:val="20"/>
          <w:szCs w:val="20"/>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1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2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2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1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6" w:name="page47"/>
    <w:bookmarkEnd w:id="46"/>
    <w:p>
      <w:pPr>
        <w:ind w:firstLine="648"/>
        <w:spacing w:after="0" w:line="288" w:lineRule="auto"/>
        <w:rPr>
          <w:sz w:val="20"/>
          <w:szCs w:val="20"/>
          <w:color w:val="auto"/>
        </w:rPr>
      </w:pPr>
      <w:r>
        <w:rPr>
          <w:rFonts w:ascii="Times New Roman" w:cs="Times New Roman" w:eastAsia="Times New Roman" w:hAnsi="Times New Roman"/>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318" w:lineRule="exact"/>
        <w:rPr>
          <w:sz w:val="20"/>
          <w:szCs w:val="20"/>
          <w:color w:val="auto"/>
        </w:rPr>
      </w:pPr>
    </w:p>
    <w:p>
      <w:pPr>
        <w:ind w:firstLine="648"/>
        <w:spacing w:after="0" w:line="296" w:lineRule="auto"/>
        <w:rPr>
          <w:sz w:val="20"/>
          <w:szCs w:val="20"/>
          <w:color w:val="auto"/>
        </w:rPr>
      </w:pPr>
      <w:r>
        <w:rPr>
          <w:rFonts w:ascii="Times New Roman" w:cs="Times New Roman" w:eastAsia="Times New Roman" w:hAnsi="Times New Roman"/>
          <w:sz w:val="16"/>
          <w:szCs w:val="16"/>
          <w:color w:val="auto"/>
        </w:rPr>
        <w:t>We do not have any long-term supply agreements with all our contract manufacturers, and in those instances where we do not, we purchase our required drug supply, including the drug product and drug substance on a purchase order basis. In addition, we may be unable to establish or maintain any agreements with third-party manufacturers or to do so on acceptable terms.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62"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18"/>
          <w:szCs w:val="18"/>
          <w:color w:val="auto"/>
        </w:rPr>
        <w:t>Even if we are able to establish and maintain agreements with third-party manufacturers, reliance on third-party manufacturers entails additional risks, including:</w:t>
      </w:r>
    </w:p>
    <w:p>
      <w:pPr>
        <w:spacing w:after="0" w:line="106" w:lineRule="exact"/>
        <w:rPr>
          <w:sz w:val="20"/>
          <w:szCs w:val="20"/>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13"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6"/>
          <w:szCs w:val="16"/>
          <w:color w:val="auto"/>
        </w:rPr>
        <w:t>Moreover, our current long-term supply agreements and, we would expect all future long-term supply agreements would, contain certain minimum purchases in what are commonly referred to as “take or pay”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83" w:lineRule="exact"/>
        <w:rPr>
          <w:sz w:val="20"/>
          <w:szCs w:val="20"/>
          <w:color w:val="auto"/>
        </w:rPr>
      </w:pPr>
    </w:p>
    <w:p>
      <w:pPr>
        <w:jc w:val="both"/>
        <w:ind w:right="460" w:firstLine="658"/>
        <w:spacing w:after="0" w:line="339" w:lineRule="auto"/>
        <w:rPr>
          <w:sz w:val="20"/>
          <w:szCs w:val="20"/>
          <w:color w:val="auto"/>
        </w:rPr>
      </w:pPr>
      <w:r>
        <w:rPr>
          <w:rFonts w:ascii="Times New Roman" w:cs="Times New Roman" w:eastAsia="Times New Roman" w:hAnsi="Times New Roman"/>
          <w:sz w:val="16"/>
          <w:szCs w:val="16"/>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61" w:lineRule="exact"/>
        <w:rPr>
          <w:sz w:val="20"/>
          <w:szCs w:val="20"/>
          <w:color w:val="auto"/>
        </w:rPr>
      </w:pPr>
    </w:p>
    <w:p>
      <w:pPr>
        <w:jc w:val="both"/>
        <w:ind w:right="440" w:firstLine="648"/>
        <w:spacing w:after="0" w:line="262"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causing additional costs and delays in identifying and qualifying any such replacement.</w:t>
      </w:r>
    </w:p>
    <w:p>
      <w:pPr>
        <w:spacing w:after="0" w:line="119"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19"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181717"/>
        </w:rPr>
        <w:t>We also expect to rely on other third parties to store and distribute drug supplies for our clinical trials.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fill/finish suppliers, and we may be unable to enter into such an agreement or do so on commercially reasonable terms, which could have a material adverse impact upon our business.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47" w:name="page48"/>
    <w:bookmarkEnd w:id="47"/>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 ("API"), drug product, drug substance and other materials used in our drug candidates are our sole source of supply, and the loss of any of these suppliers could significantly harm our business.</w:t>
      </w:r>
    </w:p>
    <w:p>
      <w:pPr>
        <w:spacing w:after="0" w:line="16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The API, drug product and drug substance used in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If any of our suppliers ceases its operations for any reason or is unable or unwilling to supply API, drug product, drug substance and other materials in sufficient quantities or on the timelines necessary to meet our needs, it could significantly and adversely affect our business, the supply of our drug candidates and our financial condition.</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most cases, our manufacturing partners are single source suppliers. It is expected that our manufacturing partners will be sole source suppliers from single site locations for the foreseeable future. Various raw materials, components, and testing services required for our products may also be single sourced.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2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For all of our drug candidates, we plan to identify and qualify additional manufacturers and other suppliers to provide such API, drug product and drug substance prior to or following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2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product and drug substance used in our drug candidates, if required, may not be accomplished quickly or at all.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2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69" w:lineRule="exact"/>
        <w:rPr>
          <w:sz w:val="20"/>
          <w:szCs w:val="20"/>
          <w:color w:val="auto"/>
        </w:rPr>
      </w:pPr>
    </w:p>
    <w:p>
      <w:pPr>
        <w:jc w:val="both"/>
        <w:ind w:right="120" w:firstLine="648"/>
        <w:spacing w:after="0" w:line="310" w:lineRule="auto"/>
        <w:rPr>
          <w:sz w:val="20"/>
          <w:szCs w:val="20"/>
          <w:color w:val="auto"/>
        </w:rPr>
      </w:pPr>
      <w:r>
        <w:rPr>
          <w:rFonts w:ascii="Times New Roman" w:cs="Times New Roman" w:eastAsia="Times New Roman" w:hAnsi="Times New Roman"/>
          <w:sz w:val="16"/>
          <w:szCs w:val="16"/>
          <w:color w:val="181717"/>
        </w:rPr>
        <w:t xml:space="preserve">Because we license our intellectual property from third parties and we expect to continue to in-license additional intellectual property rights, if there is any dispute between us and our licensor regarding our rights under a </w:t>
      </w:r>
      <w:r>
        <w:rPr>
          <w:rFonts w:ascii="Times New Roman" w:cs="Times New Roman" w:eastAsia="Times New Roman" w:hAnsi="Times New Roman"/>
          <w:sz w:val="16"/>
          <w:szCs w:val="16"/>
          <w:color w:val="000000"/>
        </w:rPr>
        <w:t>license</w:t>
      </w:r>
      <w:r>
        <w:rPr>
          <w:rFonts w:ascii="Times New Roman" w:cs="Times New Roman" w:eastAsia="Times New Roman" w:hAnsi="Times New Roman"/>
          <w:sz w:val="16"/>
          <w:szCs w:val="16"/>
          <w:color w:val="181717"/>
        </w:rPr>
        <w:t xml:space="preserve"> agreement, our ability to develop and commercialize our product candidates may be adversely affected. Disputes may arise with the third parties from whom we license our intellectual property rights from for a variety of reasons, including:</w:t>
      </w:r>
    </w:p>
    <w:p>
      <w:pPr>
        <w:spacing w:after="0" w:line="151"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scope of rights granted under the license agreement and other interpretation-related issues;</w:t>
      </w:r>
    </w:p>
    <w:p>
      <w:pPr>
        <w:spacing w:after="0" w:line="21" w:lineRule="exact"/>
        <w:rPr>
          <w:rFonts w:ascii="Times New Roman" w:cs="Times New Roman" w:eastAsia="Times New Roman" w:hAnsi="Times New Roman"/>
          <w:sz w:val="18"/>
          <w:szCs w:val="18"/>
          <w:color w:val="181717"/>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extent to which our technology and processes infringe on intellectual property of the licensor that is not subject to the license agreement;</w:t>
      </w:r>
    </w:p>
    <w:p>
      <w:pPr>
        <w:spacing w:after="0" w:line="9" w:lineRule="exact"/>
        <w:rPr>
          <w:rFonts w:ascii="Times New Roman" w:cs="Times New Roman" w:eastAsia="Times New Roman" w:hAnsi="Times New Roman"/>
          <w:sz w:val="18"/>
          <w:szCs w:val="18"/>
          <w:color w:val="181717"/>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sublicensing of patent and other rights under our collaborative development relationships and obligations associated with sublicensing;</w:t>
      </w:r>
    </w:p>
    <w:p>
      <w:pPr>
        <w:spacing w:after="0" w:line="9" w:lineRule="exact"/>
        <w:rPr>
          <w:rFonts w:ascii="Times New Roman" w:cs="Times New Roman" w:eastAsia="Times New Roman" w:hAnsi="Times New Roman"/>
          <w:sz w:val="18"/>
          <w:szCs w:val="18"/>
          <w:color w:val="181717"/>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our diligence obligations under the license agreement and what activities satisfy those diligence obligations;</w:t>
      </w:r>
    </w:p>
    <w:p>
      <w:pPr>
        <w:spacing w:after="0" w:line="9" w:lineRule="exact"/>
        <w:rPr>
          <w:rFonts w:ascii="Times New Roman" w:cs="Times New Roman" w:eastAsia="Times New Roman" w:hAnsi="Times New Roman"/>
          <w:sz w:val="18"/>
          <w:szCs w:val="18"/>
          <w:color w:val="181717"/>
        </w:rPr>
      </w:pPr>
    </w:p>
    <w:p>
      <w:pPr>
        <w:ind w:left="1300" w:hanging="320"/>
        <w:spacing w:after="0" w:line="250" w:lineRule="auto"/>
        <w:tabs>
          <w:tab w:leader="none" w:pos="1300" w:val="left"/>
        </w:tabs>
        <w:numPr>
          <w:ilvl w:val="0"/>
          <w:numId w:val="3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ownership of inventions and know-how resulting from the joint creation or use of intellectual property by our licensors and us and our partners; and</w:t>
      </w: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priority of invention of patented technology.</w:t>
      </w:r>
    </w:p>
    <w:p>
      <w:pPr>
        <w:spacing w:after="0" w:line="21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181717"/>
        </w:rPr>
        <w:t xml:space="preserve">In addition, the agreements under which we currently license intellectual property or technology from third parties are </w:t>
      </w:r>
      <w:r>
        <w:rPr>
          <w:rFonts w:ascii="Times New Roman" w:cs="Times New Roman" w:eastAsia="Times New Roman" w:hAnsi="Times New Roman"/>
          <w:sz w:val="18"/>
          <w:szCs w:val="18"/>
          <w:color w:val="000000"/>
        </w:rPr>
        <w:t>complex</w:t>
      </w:r>
      <w:r>
        <w:rPr>
          <w:rFonts w:ascii="Times New Roman" w:cs="Times New Roman" w:eastAsia="Times New Roman" w:hAnsi="Times New Roman"/>
          <w:sz w:val="18"/>
          <w:szCs w:val="18"/>
          <w:color w:val="181717"/>
        </w:rPr>
        <w:t>,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48" w:name="page49"/>
    <w:bookmarkEnd w:id="48"/>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181717"/>
        </w:rPr>
        <w:t>If conflicts arise between us and our future collaborators or strategic partners, these parties may act in a manner adverse to us and could limit our ability to implement our strategies.</w:t>
      </w:r>
    </w:p>
    <w:p>
      <w:pPr>
        <w:spacing w:after="0" w:line="1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181717"/>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218"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9" w:lineRule="exact"/>
        <w:rPr>
          <w:sz w:val="20"/>
          <w:szCs w:val="20"/>
          <w:color w:val="auto"/>
        </w:rPr>
      </w:pPr>
    </w:p>
    <w:p>
      <w:pPr>
        <w:ind w:right="140" w:firstLine="486"/>
        <w:spacing w:after="0" w:line="262"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1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97" w:lineRule="exact"/>
        <w:rPr>
          <w:sz w:val="20"/>
          <w:szCs w:val="20"/>
          <w:color w:val="auto"/>
        </w:rPr>
      </w:pPr>
    </w:p>
    <w:p>
      <w:pPr>
        <w:ind w:firstLine="486"/>
        <w:spacing w:after="0" w:line="262" w:lineRule="auto"/>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1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2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Intellectual Property</w:t>
      </w:r>
    </w:p>
    <w:p>
      <w:pPr>
        <w:spacing w:after="0" w:line="22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83"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w:t>
      </w:r>
    </w:p>
    <w:p>
      <w:pPr>
        <w:spacing w:after="0" w:line="19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drug candidates. In addition, the laws of foreign countries may not protect our rights to the same extent as the laws of the United States.</w:t>
      </w:r>
    </w:p>
    <w:p>
      <w:pPr>
        <w:spacing w:after="0" w:line="19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52" w:lineRule="exact"/>
        <w:rPr>
          <w:sz w:val="20"/>
          <w:szCs w:val="20"/>
          <w:color w:val="auto"/>
        </w:rPr>
      </w:pPr>
    </w:p>
    <w:p>
      <w:pPr>
        <w:ind w:right="100" w:firstLine="800"/>
        <w:spacing w:after="0" w:line="253" w:lineRule="auto"/>
        <w:rPr>
          <w:sz w:val="20"/>
          <w:szCs w:val="20"/>
          <w:color w:val="auto"/>
        </w:rPr>
      </w:pPr>
      <w:r>
        <w:rPr>
          <w:rFonts w:ascii="Times New Roman" w:cs="Times New Roman" w:eastAsia="Times New Roman" w:hAnsi="Times New Roman"/>
          <w:sz w:val="18"/>
          <w:szCs w:val="18"/>
          <w:color w:val="auto"/>
        </w:rPr>
        <w:t>Currently, the composition of matter patent for ublituximab and umbralisib are granted in both the United States and EU, among other countries. A method of use patent covering the combination of ublituximab and umbralisib has also been granted in the US, EU, Japan, and several other territories. Additionally, several method of use patents for ublituximab and umbralisib in various indications and settings have also been applied for but have not yet been issued, or have been issued in certain territories but not under all jurisdictions in which such applications have been filed. No patents to date have been issued for TG-1501, TG-1701 and TG-1801 or for our pre-clinical product candidates.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25"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partners file may not result in any patents being issued;</w:t>
      </w:r>
    </w:p>
    <w:p>
      <w:pPr>
        <w:spacing w:after="0" w:line="2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1300" w:hanging="320"/>
        <w:spacing w:after="0" w:line="250"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 to invent” to a “first to file” system. If we do not win the filing race, we will not be entitled to inventive priority;</w:t>
      </w:r>
    </w:p>
    <w:p>
      <w:pPr>
        <w:jc w:val="both"/>
        <w:ind w:left="1300" w:hanging="320"/>
        <w:spacing w:after="0" w:line="250"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If patents are not issued that protect our product candidates, it could have a material adverse effect on our financial condition and results of operations.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50" w:name="page51"/>
    <w:bookmarkEnd w:id="50"/>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 candidates or any future product candidate we may license or acquire,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9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200" w:lineRule="exact"/>
        <w:rPr>
          <w:sz w:val="20"/>
          <w:szCs w:val="20"/>
          <w:color w:val="auto"/>
        </w:rPr>
      </w:pPr>
    </w:p>
    <w:p>
      <w:pPr>
        <w:ind w:right="100" w:firstLine="648"/>
        <w:spacing w:after="0" w:line="296" w:lineRule="auto"/>
        <w:rPr>
          <w:sz w:val="20"/>
          <w:szCs w:val="20"/>
          <w:color w:val="auto"/>
        </w:rPr>
      </w:pPr>
      <w:r>
        <w:rPr>
          <w:rFonts w:ascii="Times New Roman" w:cs="Times New Roman" w:eastAsia="Times New Roman" w:hAnsi="Times New Roman"/>
          <w:sz w:val="16"/>
          <w:szCs w:val="16"/>
          <w:color w:val="auto"/>
        </w:rPr>
        <w:t>In addition, U.S. patent laws may change, which could prevent or limit us or our subsidiaries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51" w:name="page52"/>
    <w:bookmarkEnd w:id="51"/>
    <w:p>
      <w:pPr>
        <w:ind w:right="120" w:firstLine="702"/>
        <w:spacing w:after="0" w:line="254"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9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2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25" w:lineRule="exact"/>
        <w:rPr>
          <w:sz w:val="20"/>
          <w:szCs w:val="20"/>
          <w:color w:val="auto"/>
        </w:rPr>
      </w:pPr>
    </w:p>
    <w:p>
      <w:pPr>
        <w:ind w:right="300" w:firstLine="648"/>
        <w:spacing w:after="0" w:line="275"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28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1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6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52" w:name="page53"/>
    <w:bookmarkEnd w:id="52"/>
    <w:p>
      <w:pPr>
        <w:ind w:right="20" w:firstLine="692"/>
        <w:spacing w:after="0" w:line="253"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9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drug candidates. For example, Roche, Biogen Idec, and Genentech hold patents for the use of anti-CD20 antibodies utilized in the treatment of CLL in the United States which are expected to expire in November of 2019. While these patents have been challenged, to the best of our knowledge, those matters were settled in a way that permitted additional anti-CD20 antibodies to be marketed for CLL. If those patents are still valid and enforced at the time we are intending to launch ublituximab, then we will need to either prevail in a litigation to challenge those patents or negotiate a settlement agreement with the patent holders.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19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a third 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9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product candidates that we may in-license or acquire could be subject to similar risks and uncertainties.</w:t>
      </w:r>
    </w:p>
    <w:p>
      <w:pPr>
        <w:spacing w:after="0" w:line="221"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 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involved in lawsuits to protect or enforce our patents or the patents of our licensors, which could be expensive, time consuming and unsuccessful.</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28" w:lineRule="exact"/>
        <w:rPr>
          <w:sz w:val="20"/>
          <w:szCs w:val="20"/>
          <w:color w:val="auto"/>
        </w:rPr>
      </w:pPr>
    </w:p>
    <w:p>
      <w:pPr>
        <w:ind w:right="300" w:firstLine="486"/>
        <w:spacing w:after="0" w:line="262"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6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4" w:name="page55"/>
    <w:bookmarkEnd w:id="54"/>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Employee Matters, Managing Growth and Other Risks Related to Our Business</w:t>
      </w:r>
    </w:p>
    <w:p>
      <w:pPr>
        <w:spacing w:after="0" w:line="156"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business development, financial and legal expertise of our senior management team as well as the other principal members of our management, scientific and clinical team. Although we have entered into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28"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6"/>
          <w:szCs w:val="16"/>
          <w:color w:val="auto"/>
        </w:rPr>
        <w:t>We expect to continue hiring qualified development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5" w:name="page56"/>
    <w:bookmarkEnd w:id="55"/>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0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of February 15, 2019, we had 105 full-time employees, and we expect to continue to increase our number of employees and expand the scope of our operations. Our management and medical and scientific personnel, systems and facilities currently in place may not be adequate to support our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20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21"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02" w:lineRule="exact"/>
        <w:rPr>
          <w:sz w:val="20"/>
          <w:szCs w:val="20"/>
          <w:color w:val="auto"/>
        </w:rPr>
      </w:pPr>
    </w:p>
    <w:p>
      <w:pPr>
        <w:ind w:right="160" w:firstLine="702"/>
        <w:spacing w:after="0" w:line="293" w:lineRule="auto"/>
        <w:rPr>
          <w:sz w:val="20"/>
          <w:szCs w:val="20"/>
          <w:color w:val="auto"/>
        </w:rPr>
      </w:pPr>
      <w:r>
        <w:rPr>
          <w:rFonts w:ascii="Times New Roman" w:cs="Times New Roman" w:eastAsia="Times New Roman" w:hAnsi="Times New Roman"/>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56" w:name="page57"/>
    <w:bookmarkEnd w:id="56"/>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218"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which could have a material adverse effect on our business.</w:t>
      </w:r>
    </w:p>
    <w:p>
      <w:pPr>
        <w:spacing w:after="0" w:line="102"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6"/>
          <w:szCs w:val="16"/>
          <w:color w:val="auto"/>
        </w:rPr>
        <w:t xml:space="preserve">We are exposed to the risk that our employees, principal investigators, CROs and consultants may engage in fraudulent conduct or other illegal activity. Misconduct by these parties could include </w:t>
      </w:r>
      <w:r>
        <w:rPr>
          <w:rFonts w:ascii="Times New Roman" w:cs="Times New Roman" w:eastAsia="Times New Roman" w:hAnsi="Times New Roman"/>
          <w:sz w:val="16"/>
          <w:szCs w:val="16"/>
          <w:color w:val="181717"/>
        </w:rPr>
        <w:t>intentional failures to comply with FDA regulations, provide accurate information to the FDA, comply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81717"/>
        </w:rPr>
        <w:t xml:space="preserve">manufacturing standards we have established, comply with federal and state healthcare fraud and abuse laws and regulations, report financial information or data accurately or disclose unauthorized activities to us. </w:t>
      </w:r>
      <w:r>
        <w:rPr>
          <w:rFonts w:ascii="Times New Roman" w:cs="Times New Roman" w:eastAsia="Times New Roman" w:hAnsi="Times New Roman"/>
          <w:sz w:val="16"/>
          <w:szCs w:val="16"/>
          <w:color w:val="000000"/>
        </w:rPr>
        <w:t>In particular, sales, marketing and business arrangements in the healthcare industry are subject to extensive</w:t>
      </w:r>
      <w:r>
        <w:rPr>
          <w:rFonts w:ascii="Times New Roman" w:cs="Times New Roman" w:eastAsia="Times New Roman" w:hAnsi="Times New Roman"/>
          <w:sz w:val="16"/>
          <w:szCs w:val="16"/>
          <w:color w:val="181717"/>
        </w:rPr>
        <w:t xml:space="preserve"> </w:t>
      </w:r>
      <w:r>
        <w:rPr>
          <w:rFonts w:ascii="Times New Roman" w:cs="Times New Roman" w:eastAsia="Times New Roman" w:hAnsi="Times New Roman"/>
          <w:sz w:val="16"/>
          <w:szCs w:val="16"/>
          <w:color w:val="000000"/>
        </w:rPr>
        <w:t>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200" w:firstLine="648"/>
        <w:spacing w:after="0" w:line="296" w:lineRule="auto"/>
        <w:rPr>
          <w:sz w:val="20"/>
          <w:szCs w:val="20"/>
          <w:color w:val="auto"/>
        </w:rPr>
      </w:pPr>
      <w:r>
        <w:rPr>
          <w:rFonts w:ascii="Times New Roman" w:cs="Times New Roman" w:eastAsia="Times New Roman" w:hAnsi="Times New Roman"/>
          <w:sz w:val="16"/>
          <w:szCs w:val="16"/>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181717"/>
        </w:rPr>
        <w:t>Our tax position could be affected by recent changes in United States federal income tax laws.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181717"/>
        </w:rPr>
        <w:t>On December 22, 2017, legislation commonly referred to as the “Tax Cuts and Jobs Act” was signed into law and is generally effective after December 31, 2017. The Tax Cuts and Jobs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Cuts and Jobs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United States federal income tax base. The Tax Cuts and Jobs Act makes numerous other large and small changes to the federal income tax rules that may affect potential investors and may directly or indirectly affect us. We continue to examine the impact this tax reform legislation may have on our business. However, the effect of the Tax Cuts and Jobs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Cuts and Jobs Act and any other regulatory or administrative developments and proposals, and their potential effects on them based on their unique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Publicly-Traded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 ability to sell stock at a profit.</w:t>
      </w:r>
    </w:p>
    <w:p>
      <w:pPr>
        <w:spacing w:after="0" w:line="229" w:lineRule="exact"/>
        <w:rPr>
          <w:sz w:val="20"/>
          <w:szCs w:val="20"/>
          <w:color w:val="auto"/>
        </w:rPr>
      </w:pPr>
    </w:p>
    <w:p>
      <w:pPr>
        <w:ind w:right="320" w:firstLine="648"/>
        <w:spacing w:after="0" w:line="275"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74" w:lineRule="exact"/>
        <w:rPr>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products under development by our competitors or us;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our competitors or us;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other crises and other external factors;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w:t>
      </w:r>
    </w:p>
    <w:p>
      <w:pPr>
        <w:spacing w:after="0" w:line="213" w:lineRule="exact"/>
        <w:rPr>
          <w:sz w:val="20"/>
          <w:szCs w:val="20"/>
          <w:color w:val="auto"/>
        </w:rPr>
      </w:pPr>
    </w:p>
    <w:p>
      <w:pPr>
        <w:ind w:right="280" w:firstLine="648"/>
        <w:spacing w:after="0" w:line="275"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7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2"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26"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58" w:name="page59"/>
    <w:bookmarkEnd w:id="58"/>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0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8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6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19"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0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181717"/>
        </w:rPr>
        <w:t>We incur significant increased costs as a result of operating as a public company, and our management is required to devote substantial time to compliance initiatives.</w:t>
      </w:r>
    </w:p>
    <w:p>
      <w:pPr>
        <w:spacing w:after="0" w:line="169" w:lineRule="exact"/>
        <w:rPr>
          <w:sz w:val="20"/>
          <w:szCs w:val="20"/>
          <w:color w:val="auto"/>
        </w:rPr>
      </w:pPr>
    </w:p>
    <w:p>
      <w:pPr>
        <w:ind w:right="200" w:firstLine="648"/>
        <w:spacing w:after="0" w:line="290" w:lineRule="auto"/>
        <w:rPr>
          <w:sz w:val="20"/>
          <w:szCs w:val="20"/>
          <w:color w:val="auto"/>
        </w:rPr>
      </w:pPr>
      <w:r>
        <w:rPr>
          <w:rFonts w:ascii="Times New Roman" w:cs="Times New Roman" w:eastAsia="Times New Roman" w:hAnsi="Times New Roman"/>
          <w:sz w:val="16"/>
          <w:szCs w:val="16"/>
          <w:color w:val="181717"/>
        </w:rPr>
        <w:t>As a public company, we incur significant legal, accounting and other expenses under the Sarbanes-Oxley Act of 2002, as well as rules subsequently implemented by the Securities and Exchange Commission (“SEC”), and the rules of any stock exchange on which we may become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9" w:name="page60"/>
    <w:bookmarkEnd w:id="59"/>
    <w:p>
      <w:pPr>
        <w:jc w:val="both"/>
        <w:ind w:firstLine="719"/>
        <w:spacing w:after="0" w:line="253" w:lineRule="auto"/>
        <w:rPr>
          <w:sz w:val="20"/>
          <w:szCs w:val="20"/>
          <w:color w:val="auto"/>
        </w:rPr>
      </w:pPr>
      <w:r>
        <w:rPr>
          <w:rFonts w:ascii="Times New Roman" w:cs="Times New Roman" w:eastAsia="Times New Roman" w:hAnsi="Times New Roman"/>
          <w:sz w:val="18"/>
          <w:szCs w:val="18"/>
          <w:color w:val="181717"/>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0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181717"/>
        </w:rPr>
        <w:t xml:space="preserve">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In addition, we and certain of our executive officers have been named as defendants in a securities class action and derivative lawsuits captioned </w:t>
      </w:r>
      <w:r>
        <w:rPr>
          <w:rFonts w:ascii="Times New Roman" w:cs="Times New Roman" w:eastAsia="Times New Roman" w:hAnsi="Times New Roman"/>
          <w:sz w:val="18"/>
          <w:szCs w:val="18"/>
          <w:color w:val="000000"/>
        </w:rPr>
        <w:t>Randall Reinmann v. TG</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Therapeutics Inc., and Michael S. Weiss, Case No. 1:18-cv-09104-KPF and Thessalus Capital v. Weiss, et al., 1:18-cv-11918-KPF</w:t>
      </w:r>
      <w:r>
        <w:rPr>
          <w:rFonts w:ascii="Times New Roman" w:cs="Times New Roman" w:eastAsia="Times New Roman" w:hAnsi="Times New Roman"/>
          <w:sz w:val="18"/>
          <w:szCs w:val="18"/>
          <w:color w:val="181717"/>
        </w:rPr>
        <w:t>. These lawsuits and any future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 See Item 3. “Legal Proceedings” below for additional information regarding the securities class action and derivative lawsuits.</w:t>
      </w:r>
    </w:p>
    <w:p>
      <w:pPr>
        <w:spacing w:after="0" w:line="19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0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2017, we had federal net operating loss carryforwards of approximately $288.6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7"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16"/>
          <w:szCs w:val="16"/>
          <w:color w:val="auto"/>
        </w:rPr>
        <w:t>Our corporate and executive office is located in New York, New York. Our New York facility consists of leased office space at 2 Gansevoort Street, 9th Floor, New York, New York 10014. We are also currently leasing small office spaces in Cary, North Carolina and Kingsport, Tennessee to accommodate our clinical operations groups. We believe that our existing facilities are adequate to meet our current requirements. We do not own any real property.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16"/>
          <w:szCs w:val="16"/>
          <w:color w:val="auto"/>
        </w:rPr>
        <w:t>In October 2018, a purported securities class action complaint was filed in the U.S. District Court for the Southern District of New York (the “Southern District”) against the Company and one of its officers on behalf of all shareholders who purchased or otherwise acquired TG Therapeutics common stock between June 4, 2018 and September 25, 2018 (the “Class Period”). The case is captioned Randall Reinmann v. TG Therapeutics Inc., and Michael S. Weiss, Case No. 1:18-cv-09104-KPF. The complaint alleges that, throughout the Class Period, the Company made false and/or misleading statements and/or failed to disclose various facts and circumstances regarding its UNITY-CLL study allegedly in violation of the Securities Exchange Act of 1934 and Rule 10b-5 promulgated thereunder. In December 2018, the Southern District appointed Co-Lead Plaintiffs to represent the putative class, and approved their selection of Lead Counsel. On March 1, 2019, Co-Lead Plaintiffs filed a notice with the Southern District seeking to voluntarily dismiss the action in its entirety without prejudice.</w:t>
      </w:r>
    </w:p>
    <w:p>
      <w:pPr>
        <w:spacing w:after="0" w:line="167" w:lineRule="exact"/>
        <w:rPr>
          <w:sz w:val="20"/>
          <w:szCs w:val="20"/>
          <w:color w:val="auto"/>
        </w:rPr>
      </w:pPr>
    </w:p>
    <w:p>
      <w:pPr>
        <w:jc w:val="both"/>
        <w:ind w:right="60" w:firstLine="648"/>
        <w:spacing w:after="0" w:line="285" w:lineRule="auto"/>
        <w:rPr>
          <w:sz w:val="20"/>
          <w:szCs w:val="20"/>
          <w:color w:val="auto"/>
        </w:rPr>
      </w:pPr>
      <w:r>
        <w:rPr>
          <w:rFonts w:ascii="Times New Roman" w:cs="Times New Roman" w:eastAsia="Times New Roman" w:hAnsi="Times New Roman"/>
          <w:sz w:val="16"/>
          <w:szCs w:val="16"/>
          <w:color w:val="auto"/>
        </w:rPr>
        <w:t>In addition, on December 18, 2018, a related shareholder derivative litigation was filed in the Southern District against the Company’s directors and one of its officers in litigation captioned Thessalus Capital v. Weiss, et al., 1:18-cv-11918-KPF. The Company is named only as a nominal defendant. The suit alleges that the officer and directors breached their fiduciary duties to the Company, wasted corporate assets, and violated the Securities Exchange Act of 1934 and Rule 10b-5 promulgated thereunder in connection with the Company’s alleged failure to disclose various facts and circumstances regarding its UNITY-CLL study.</w:t>
      </w:r>
    </w:p>
    <w:p>
      <w:pPr>
        <w:spacing w:after="0" w:line="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plaintiff asserts that the alleged disclosure violations concerning the Company’s UNITY-CLL study have caused the Company to incur losses, including defense costs, and further alleges that the named officer and directors received excessive compensation.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and trades under the symbol “TGTX”.</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record holders of our common stock as of February 14, 2019 was 239.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2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2018, regarding the securities authorized for issuance under our equity compensation plan, the TG Therapeutics, Inc. Amended and Restated 2012 Incentive Plan.</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22"/>
          <w:szCs w:val="22"/>
          <w:color w:val="auto"/>
        </w:rPr>
        <w:t>Equity Compensation Plan Information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remaining 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Number of securities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 be issued upon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56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compensation plans</w:t>
            </w:r>
          </w:p>
        </w:tc>
        <w:tc>
          <w:tcPr>
            <w:tcW w:w="0" w:type="dxa"/>
            <w:vAlign w:val="bottom"/>
          </w:tcPr>
          <w:p>
            <w:pPr>
              <w:spacing w:after="0"/>
              <w:rPr>
                <w:sz w:val="1"/>
                <w:szCs w:val="1"/>
                <w:color w:val="auto"/>
              </w:rPr>
            </w:pPr>
          </w:p>
        </w:tc>
      </w:tr>
      <w:tr>
        <w:trPr>
          <w:trHeight w:val="216"/>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exercise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exercise price of</w:t>
            </w:r>
          </w:p>
        </w:tc>
        <w:tc>
          <w:tcPr>
            <w:tcW w:w="56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(excluding securities</w:t>
            </w:r>
          </w:p>
        </w:tc>
        <w:tc>
          <w:tcPr>
            <w:tcW w:w="0" w:type="dxa"/>
            <w:vAlign w:val="bottom"/>
          </w:tcPr>
          <w:p>
            <w:pPr>
              <w:spacing w:after="0"/>
              <w:rPr>
                <w:sz w:val="1"/>
                <w:szCs w:val="1"/>
                <w:color w:val="auto"/>
              </w:rPr>
            </w:pPr>
          </w:p>
        </w:tc>
      </w:tr>
      <w:tr>
        <w:trPr>
          <w:trHeight w:val="239"/>
        </w:trPr>
        <w:tc>
          <w:tcPr>
            <w:tcW w:w="4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56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reflected in column 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1,916,900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3,216,213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1,916,900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3,216,213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information about all of our equity compensation plans see Note 5 to our Consolidated Financial Statements included in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PERFORMANCE GRAPH</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for the period from December 31, 2011(1) through December 31, 2018, with the cumulative total return over such period on (i) the U.S. Index of The Nasdaq Stock Market and (ii) the Biotechnology Index of The Nasdaq Stock Market. The graph assumes an investment of $100 on December 31, 2011, in our common stock (at the adjusted closing market price) and in each of the indices listed above, and assumes the reinvestment of all dividends. Measurement points are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267335</wp:posOffset>
            </wp:positionV>
            <wp:extent cx="5445760" cy="23837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4576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00" w:firstLine="656"/>
        <w:spacing w:after="0" w:line="262" w:lineRule="auto"/>
        <w:tabs>
          <w:tab w:leader="none" w:pos="8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 having entered into and consummated an exchange transaction agreement (the “Exchange Transaction”) with Opus Point Partners, LLC (“Opus”) and TG Biologics, Inc. (formerly known as TG Therapeutics, Inc.) (“TG Bio”), we used the start date of December 31, 2011 to be in agreement with this transaction.</w:t>
      </w:r>
    </w:p>
    <w:p>
      <w:pPr>
        <w:spacing w:after="0" w:line="186" w:lineRule="exact"/>
        <w:rPr>
          <w:sz w:val="20"/>
          <w:szCs w:val="20"/>
          <w:color w:val="auto"/>
        </w:rPr>
      </w:pPr>
    </w:p>
    <w:p>
      <w:pPr>
        <w:ind w:left="880" w:hanging="126"/>
        <w:spacing w:after="0"/>
        <w:tabs>
          <w:tab w:leader="none" w:pos="8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$100 invested on December 31, 2011 in stock or index, including reinvestment of dividends. Fiscal Years ending December 31.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0" w:lineRule="exact"/>
        <w:rPr>
          <w:rFonts w:ascii="Times New Roman" w:cs="Times New Roman" w:eastAsia="Times New Roman" w:hAnsi="Times New Roman"/>
          <w:sz w:val="18"/>
          <w:szCs w:val="18"/>
          <w:b w:val="1"/>
          <w:bCs w:val="1"/>
          <w:color w:val="auto"/>
        </w:rPr>
      </w:pPr>
    </w:p>
    <w:p>
      <w:pPr>
        <w:ind w:left="5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following Statement of Operations data for the years ended December 31, 2018, 2017, 2016, 2015 and 2014, and Balance Sheet Data as of December 31, 2018, 2017, 2016, 2015 and 2014, as set forth below are derived from our audited consolidated financial statements. This financial data should be read in conjunction with “Item 7. Management’s Discussion and Analysis of Financial Condition and Results of Operations” and “Item 8. Financial Statements and Supplementary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Years ended December 31,</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stock expense associated with in-licensing agreements</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4,261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66,490</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43,446</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102,533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69,232</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47,707</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40,086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4,767</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11,436</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4,189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9,889</w:t>
            </w:r>
          </w:p>
        </w:tc>
        <w:tc>
          <w:tcPr>
            <w:tcW w:w="1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15,625</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15,787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174,552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118,864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79,121</w:t>
            </w:r>
          </w:p>
        </w:tc>
        <w:tc>
          <w:tcPr>
            <w:tcW w:w="1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63,332</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55,873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(174,400)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(118,712)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(78,969)</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(63,180)</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(55,721)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(173,482)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(118,476)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(55,781)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8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investment securities and interest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68,901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84,825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44,969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54,782</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113,473</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(528,345)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(354,863)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(236,387)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(158,134)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(95,185)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66,993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35,868</w:t>
            </w:r>
          </w:p>
        </w:tc>
        <w:tc>
          <w:tcPr>
            <w:tcW w:w="1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101,573</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574"/>
        <w:spacing w:after="0" w:line="301" w:lineRule="auto"/>
        <w:rPr>
          <w:sz w:val="20"/>
          <w:szCs w:val="20"/>
          <w:color w:val="auto"/>
        </w:rPr>
      </w:pPr>
      <w:r>
        <w:rPr>
          <w:rFonts w:ascii="Times New Roman" w:cs="Times New Roman" w:eastAsia="Times New Roman" w:hAnsi="Times New Roman"/>
          <w:sz w:val="16"/>
          <w:szCs w:val="16"/>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5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dedicated to developing and delivering medicines for patients with B-cell mediated diseases, including Chronic Lymphocytic Leukemia (CLL), non-Hodgkin’s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NHL and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or "1303". Additionally, in early clinical development we have an anti-PD-L1 monoclonal antibody referred to as TG-1501, an oral Bruton’s Tyrosine Kinase (“BTK”) inhibitor referred to as TG-1701, and an anti-CD47/CD19 bispecific antibody referred to as TG-1801.</w:t>
      </w:r>
    </w:p>
    <w:p>
      <w:pPr>
        <w:spacing w:after="0" w:line="197"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earned any revenues from the commercial sale of any of our drug candidates.</w:t>
      </w:r>
    </w:p>
    <w:p>
      <w:pPr>
        <w:spacing w:after="0" w:line="22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 Research and development expenses for the years ended December 31, 2018, 2017 and 2016 were approximately $153.8 million, $96.9 million and $66.5 million, respectively, excluding non-cash compensation expenses related to research and development.</w:t>
      </w:r>
    </w:p>
    <w:p>
      <w:pPr>
        <w:spacing w:after="0" w:line="193" w:lineRule="exact"/>
        <w:rPr>
          <w:sz w:val="20"/>
          <w:szCs w:val="20"/>
          <w:color w:val="auto"/>
        </w:rPr>
      </w:pPr>
    </w:p>
    <w:p>
      <w:pPr>
        <w:ind w:right="64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research and development expenses per project, exclusive of non-cash compensation expenses,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Ublituximab</w:t>
            </w:r>
          </w:p>
        </w:tc>
        <w:tc>
          <w:tcPr>
            <w:tcW w:w="2440" w:type="dxa"/>
            <w:vAlign w:val="bottom"/>
            <w:gridSpan w:val="2"/>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105,429</w:t>
            </w:r>
          </w:p>
        </w:tc>
        <w:tc>
          <w:tcPr>
            <w:tcW w:w="1700" w:type="dxa"/>
            <w:vAlign w:val="bottom"/>
            <w:gridSpan w:val="2"/>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62,441</w:t>
            </w:r>
          </w:p>
        </w:tc>
        <w:tc>
          <w:tcPr>
            <w:tcW w:w="9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40,840</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Umbralisib</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42,852</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31,964</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3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Early Clinical Pipeline &amp; Pre-</w:t>
            </w: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7"/>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w:t>
            </w:r>
          </w:p>
        </w:tc>
        <w:tc>
          <w:tcPr>
            <w:tcW w:w="13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5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3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153,793</w:t>
            </w: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96,886</w:t>
            </w:r>
          </w:p>
        </w:tc>
        <w:tc>
          <w:tcPr>
            <w:tcW w:w="5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66,490</w:t>
            </w:r>
          </w:p>
        </w:tc>
        <w:tc>
          <w:tcPr>
            <w:tcW w:w="34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64" w:name="page65"/>
    <w:bookmarkEnd w:id="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include non-cash compensation expenses as a result of the grants of restricted stock. Compensation expense for awards of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9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6"/>
          <w:szCs w:val="16"/>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6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In addition, certain restricted stock issued to employees vest upon the achievement of certain milestones; therefore, the total expense is uncertain until the milestone is probable.</w:t>
      </w:r>
    </w:p>
    <w:p>
      <w:pPr>
        <w:spacing w:after="0" w:line="17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or at all.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may need to establish a commercial infrastructure required to manufacture, market and sell our drug candidates following approval, if any, by the FDA or a foreign health authority, which would result in incurring additional expenses. As a result, our quarterly results may fluctuate and a quarter-by-quarter comparison of our operating results may not be a meaningful indication of our future performance.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3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stock expense associated with in-licensing agreements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149,793</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96,886</w:t>
            </w: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66,490</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159,391</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174,552</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118,864</w:t>
            </w: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79,121</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(174,400)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(118,712)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(173,482)</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(118,476)</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Years Ended December 31, 2018 and 2017</w:t>
      </w:r>
    </w:p>
    <w:p>
      <w:pPr>
        <w:spacing w:after="0" w:line="22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License revenue was approximately $152,000 for each of the years ended December 31, 2018 and 2017. License revenue is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21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Noncash Stock Expense Associated with In-Licensing Agreement (Research and Development). </w:t>
      </w:r>
      <w:r>
        <w:rPr>
          <w:rFonts w:ascii="Times New Roman" w:cs="Times New Roman" w:eastAsia="Times New Roman" w:hAnsi="Times New Roman"/>
          <w:sz w:val="18"/>
          <w:szCs w:val="18"/>
          <w:color w:val="auto"/>
        </w:rPr>
        <w:t>Noncash stock expense associated with in-licensing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(research and development) amounted to $4.0 million for the year ended December 31, 2018, as compared to zero during the comparable period in 2017. The expense during the year ended December 31, 2018 was recorded in conjunction with the 333,868 total shares of common stock issued to Novimmune and Jiangsu Hengrui as upfront payments for the licenses to the CD47/CD19 and BTK programs, respectively.</w:t>
      </w:r>
    </w:p>
    <w:p>
      <w:pPr>
        <w:spacing w:after="0" w:line="187" w:lineRule="exact"/>
        <w:rPr>
          <w:sz w:val="20"/>
          <w:szCs w:val="20"/>
          <w:color w:val="auto"/>
        </w:rPr>
      </w:pPr>
    </w:p>
    <w:p>
      <w:pPr>
        <w:ind w:right="180" w:firstLine="64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(Research and Development). </w:t>
      </w:r>
      <w:r>
        <w:rPr>
          <w:rFonts w:ascii="Times New Roman" w:cs="Times New Roman" w:eastAsia="Times New Roman" w:hAnsi="Times New Roman"/>
          <w:sz w:val="18"/>
          <w:szCs w:val="18"/>
          <w:color w:val="auto"/>
        </w:rPr>
        <w:t>Noncash compensation expense (research and development) related to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remained consistent between the two periods totaling $5.6 million for both years ended December 31, 2018 and 2017.</w:t>
      </w:r>
    </w:p>
    <w:p>
      <w:pPr>
        <w:spacing w:after="0" w:line="17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Other Research and Development Expenses</w:t>
      </w:r>
      <w:r>
        <w:rPr>
          <w:rFonts w:ascii="Times New Roman" w:cs="Times New Roman" w:eastAsia="Times New Roman" w:hAnsi="Times New Roman"/>
          <w:sz w:val="18"/>
          <w:szCs w:val="18"/>
          <w:color w:val="auto"/>
        </w:rPr>
        <w:t>. Other research and development expenses increased by $52.9 million from $96.9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to $149.8 million for the year ended December 31, 2018. The increase in R&amp;D expense is primarily attributable to ongoing late-stage clinical development programs and related manufacturing costs for ublituximab and umbralisib during the year ended December 31, 2018. We expect our other research and development costs to decrease modestly during 2019.</w:t>
      </w:r>
    </w:p>
    <w:p>
      <w:pPr>
        <w:spacing w:after="0" w:line="214"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(General and Administrative). </w:t>
      </w:r>
      <w:r>
        <w:rPr>
          <w:rFonts w:ascii="Times New Roman" w:cs="Times New Roman" w:eastAsia="Times New Roman" w:hAnsi="Times New Roman"/>
          <w:sz w:val="18"/>
          <w:szCs w:val="18"/>
          <w:color w:val="auto"/>
        </w:rPr>
        <w:t>Noncash compensation expense (general and administrative) related to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decreased by $3.0 million from $10.3 million for the year ended December 31, 2017 to $7.3 million during the year ended December 31, 2018. The decrease in noncash compensation expense was primarily related to a decrease in the measurement date fair value of certain consultant restricted stock during the year ended December 31, 2018 and greater compensation expense during the year ended December 31, 2017 related to restricted stock granted to executive personnel.</w:t>
      </w:r>
    </w:p>
    <w:p>
      <w:pPr>
        <w:spacing w:after="0" w:line="188" w:lineRule="exact"/>
        <w:rPr>
          <w:sz w:val="20"/>
          <w:szCs w:val="20"/>
          <w:color w:val="auto"/>
        </w:rPr>
      </w:pPr>
    </w:p>
    <w:p>
      <w:pPr>
        <w:ind w:right="140"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Other General and Administrative Expenses</w:t>
      </w:r>
      <w:r>
        <w:rPr>
          <w:rFonts w:ascii="Times New Roman" w:cs="Times New Roman" w:eastAsia="Times New Roman" w:hAnsi="Times New Roman"/>
          <w:sz w:val="18"/>
          <w:szCs w:val="18"/>
          <w:color w:val="auto"/>
        </w:rPr>
        <w:t>. Other general and administrative expenses increased by $1.9 million from $6.0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to $7.9 million for the year ended December 31, 2018. The increase was due primarily to increased personnel and other general and administrative costs. We expect our other general and administrative expenses to remain relatively consistent during 2019.</w:t>
      </w:r>
    </w:p>
    <w:p>
      <w:pPr>
        <w:spacing w:after="0" w:line="181" w:lineRule="exact"/>
        <w:rPr>
          <w:sz w:val="20"/>
          <w:szCs w:val="20"/>
          <w:color w:val="auto"/>
        </w:rPr>
      </w:pPr>
    </w:p>
    <w:p>
      <w:pPr>
        <w:ind w:right="220" w:firstLine="648"/>
        <w:spacing w:after="0" w:line="277"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income increased by $0.7 million from $0.2 million for the year ended December 31, 2017 to $0.9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2018. The increase is mainly due to an increase in interest income during 2018.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2017 and 2016</w:t>
      </w:r>
    </w:p>
    <w:p>
      <w:pPr>
        <w:spacing w:after="0" w:line="22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License revenue was approximately $152,000 for each of the years ended December 31, 2017 and 2016. License revenue is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7"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(Research and Development). </w:t>
      </w:r>
      <w:r>
        <w:rPr>
          <w:rFonts w:ascii="Times New Roman" w:cs="Times New Roman" w:eastAsia="Times New Roman" w:hAnsi="Times New Roman"/>
          <w:sz w:val="18"/>
          <w:szCs w:val="18"/>
          <w:color w:val="auto"/>
        </w:rPr>
        <w:t>Noncash compensation expense (research and development) related to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totaled $5.6 million for the year ended December 31, 2017, as compared to $2.7 million during the comparable period in 2016. The increase in noncash compensation expense was primarily related to milestone-based vesting of restricted stock grants to personnel and an increase in the measurement date fair value of certain consultant restricted stock during the year ended December 31, 2017.</w:t>
      </w:r>
    </w:p>
    <w:p>
      <w:pPr>
        <w:spacing w:after="0" w:line="187"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6"/>
          <w:szCs w:val="16"/>
          <w:i w:val="1"/>
          <w:iCs w:val="1"/>
          <w:color w:val="auto"/>
        </w:rPr>
        <w:t>Other Research and Development Expenses</w:t>
      </w:r>
      <w:r>
        <w:rPr>
          <w:rFonts w:ascii="Times New Roman" w:cs="Times New Roman" w:eastAsia="Times New Roman" w:hAnsi="Times New Roman"/>
          <w:sz w:val="16"/>
          <w:szCs w:val="16"/>
          <w:color w:val="auto"/>
        </w:rPr>
        <w:t>. Other research and development expenses increased by $30.4 million from $66.5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2016 to $96.9 million for the year ended December 31, 2017. The increase in other research and development expenses was due primarily to new and ongoing clinical development programs and related manufacturing costs for ublituximab and umbralisib during the year ended December 31, 2017.</w:t>
      </w:r>
    </w:p>
    <w:p>
      <w:pPr>
        <w:spacing w:after="0" w:line="174" w:lineRule="exact"/>
        <w:rPr>
          <w:sz w:val="20"/>
          <w:szCs w:val="20"/>
          <w:color w:val="auto"/>
        </w:rPr>
      </w:pPr>
    </w:p>
    <w:p>
      <w:pPr>
        <w:ind w:right="100" w:firstLine="65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(General and Administrative). </w:t>
      </w:r>
      <w:r>
        <w:rPr>
          <w:rFonts w:ascii="Times New Roman" w:cs="Times New Roman" w:eastAsia="Times New Roman" w:hAnsi="Times New Roman"/>
          <w:sz w:val="18"/>
          <w:szCs w:val="18"/>
          <w:color w:val="auto"/>
        </w:rPr>
        <w:t>Noncash compensation expense (general and administrative) related to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increased by $5.5 million from $4.8 million for the year ended December 31, 2016 to $10.3 million during the year ended December 31, 2017. The increase in noncash compensation expense was primarily related to greater compensation expense during the year ended December 31, 2017 related to restricted stock granted to executive personnel.</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Other General and Administrative Expenses</w:t>
      </w:r>
      <w:r>
        <w:rPr>
          <w:rFonts w:ascii="Times New Roman" w:cs="Times New Roman" w:eastAsia="Times New Roman" w:hAnsi="Times New Roman"/>
          <w:sz w:val="18"/>
          <w:szCs w:val="18"/>
          <w:color w:val="auto"/>
        </w:rPr>
        <w:t>. Other general and administrative expenses increased by $0.9 million from $5.1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2016 to $6.0 million for the year ended December 31, 2017. The increase was due primarily to rent related expenses of our office space, as well as increased personnel and other general and administrative costs.</w:t>
      </w:r>
    </w:p>
    <w:p>
      <w:pPr>
        <w:spacing w:after="0" w:line="181" w:lineRule="exact"/>
        <w:rPr>
          <w:sz w:val="20"/>
          <w:szCs w:val="20"/>
          <w:color w:val="auto"/>
        </w:rPr>
      </w:pPr>
    </w:p>
    <w:p>
      <w:pPr>
        <w:ind w:right="200"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income decreased by $0.5 million from $0.7 million for the year ended December 31, 2016 to $0.2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2017. The decrease is mainly due to a decrease in interest income during 2017, as well as to the receipt of a New York City biotechnology tax credit of approximately $0.3 million for the year ended December 31, 2016.</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100" w:firstLine="648"/>
        <w:spacing w:after="0" w:line="296" w:lineRule="auto"/>
        <w:rPr>
          <w:sz w:val="20"/>
          <w:szCs w:val="20"/>
          <w:color w:val="auto"/>
        </w:rPr>
      </w:pPr>
      <w:r>
        <w:rPr>
          <w:rFonts w:ascii="Times New Roman" w:cs="Times New Roman" w:eastAsia="Times New Roman" w:hAnsi="Times New Roman"/>
          <w:sz w:val="16"/>
          <w:szCs w:val="16"/>
          <w:color w:val="auto"/>
        </w:rPr>
        <w:t>Our primary sources of cash have been from the sale of equity securities,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2018, we had $68.9 million in cash and cash equivalents, investment securities, and interest receivable. Subsequent to the year ended December 31, 2018, we entered into a term loan facility of up to $60.0 million (“Term Loan”) with Hercules Capital, Inc., (“Hercules”). The Term Loan is governed by a loan and security agreement, dated February 28, 2019 (the “Loan Agreement”), which provides for up to four separate advances. The first advance of $30.0 million was drawn on the closing date of February 28, 2019 (the “Closing Date”) (see Note 14 to the consolidated financial statemetns and "Debt Financings" for further information). In addition, on March 1, 2019, we announced the pricing of a public offering of 4,100,000 shares of our common stock (plus a 30-day underwriter overallotment option to purchase up to an additional 615,000 shares of common stock), with expected gross proceeds to the Company of $25.2 million, less underwriting discounts and commissions. The offering is expected to close on March 5, 2019.</w:t>
      </w:r>
    </w:p>
    <w:p>
      <w:pPr>
        <w:spacing w:after="0" w:line="19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our cash and cash equivalents as of December 31, 2018 combined with the additional capital being raised in the first quarter of 2019 will be sufficient to fund the Company’s planned operations into mid 2020.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90"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2018 was $128.9 million as compared to $93.8 million for the year ended December 31, 2017. The increase in cash used in operating activities was due primarily to increased expenditures associated with our clinical development programs for ublituximab and umbralisib.</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2018, net cash provided by investing activities was $1.2 million as compared to cash used in investing activities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$8.2 million for the year ended December 31, 2017. The increase in net cash provided by investing activities was primarily due to greater proceeds from the sale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short-term securities during the year ended December 31, 2018.</w:t>
      </w:r>
    </w:p>
    <w:p>
      <w:pPr>
        <w:spacing w:after="0" w:line="213" w:lineRule="exact"/>
        <w:rPr>
          <w:sz w:val="20"/>
          <w:szCs w:val="20"/>
          <w:color w:val="auto"/>
        </w:rPr>
      </w:pPr>
    </w:p>
    <w:p>
      <w:pPr>
        <w:ind w:right="300" w:firstLine="648"/>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2018, net cash provided by financing activities of $113.6 million related primarily to proceeds from the issuance of common stock as part of our ATM program.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21, 2013, we entered into an At-the-Market Issuance Sales Agreement (the "2013 ATM") with MLV &amp; Co. LLC (“MLV”) under which we could issue and sell shares of our common stock, having aggregate offering proceeds of up to $50.0 million, from time to time through MLV, acting as the sales agent. Under the agreement we would pay MLV a commission rate of up to 3.0% of the gross proceeds from the sale of any shares of common stock sold through MLV.</w:t>
      </w:r>
    </w:p>
    <w:p>
      <w:pPr>
        <w:spacing w:after="0" w:line="19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we sold a total of 4,850,055 shares of common stock under this arrangement for aggregate total gross proceeds of approximately $50.0 million at an average selling price of $10.31 per share. Net proceeds were approximately $48.8 million after deducting commissions and other transaction costs. We have fully utilized the capacity under the 2013 ATM and, accordingly, no further sales can be made under the 2013 ATM.</w:t>
      </w:r>
    </w:p>
    <w:p>
      <w:pPr>
        <w:spacing w:after="0" w:line="19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(the "2015 ATM") with MLV &amp; Co. LLC (“MLV”) such that we may issue and sell additional shares of our common stock, having an aggregate offering price of up to $175.0 million, from time to time through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93"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2017, we sold a total of 3,104,253 shares of common stock under the 2015 ATM for aggregate total gross proceeds of approximately $31.6 million at an average selling price of $10.18 per share, resulting in net proceeds of approximately $31.0 million after deducting commissions and other transaction costs.</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7" w:name="page68"/>
    <w:bookmarkEnd w:id="67"/>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2017, we sold a total of 4,689,418 shares of common stock under the 2017 ATM for aggregate total gross proceeds of approximately $47.7 million at an average selling price of $10.18 per share, resulting in net proceeds of approximately $46.9 million after deducting commissions and other transactions costs.</w:t>
      </w:r>
    </w:p>
    <w:p>
      <w:pPr>
        <w:spacing w:after="0" w:line="213"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2018, we sold a total of 9,025,222 shares of common stock under the 2017 ATM for aggregate total gross proceeds of approximately $115.8 million at an average selling price of $12.83 per share, resulting in net proceeds of approximately $113.7 million after deducting commissions and other transactions costs.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w:t>
      </w:r>
    </w:p>
    <w:p>
      <w:pPr>
        <w:spacing w:after="0" w:line="162" w:lineRule="exact"/>
        <w:rPr>
          <w:sz w:val="20"/>
          <w:szCs w:val="20"/>
          <w:color w:val="auto"/>
        </w:rPr>
      </w:pPr>
    </w:p>
    <w:p>
      <w:pPr>
        <w:jc w:val="both"/>
        <w:ind w:right="460" w:firstLine="692"/>
        <w:spacing w:after="0" w:line="310" w:lineRule="auto"/>
        <w:rPr>
          <w:sz w:val="20"/>
          <w:szCs w:val="20"/>
          <w:color w:val="auto"/>
        </w:rPr>
      </w:pPr>
      <w:r>
        <w:rPr>
          <w:rFonts w:ascii="Times New Roman" w:cs="Times New Roman" w:eastAsia="Times New Roman" w:hAnsi="Times New Roman"/>
          <w:sz w:val="16"/>
          <w:szCs w:val="16"/>
          <w:color w:val="auto"/>
        </w:rPr>
        <w:t>In March 2017, we completed an underwritten public offering of 5,128,206 shares of our common stock (plus a 30-day underwriter overallotment option to purchase up to an additional 769,230 shares of common stock, which was exercised) at a price of $9.75 per share. Net proceeds from this offering, including the overallotment option, were approximately $54 million, net of underwriting discounts and offering expenses of approximately $3.6 million.</w:t>
      </w:r>
    </w:p>
    <w:p>
      <w:pPr>
        <w:spacing w:after="0" w:line="8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On March 1, 2019, we announced the pricing of a public offering of 4,100,000 shares of our common stock (plus a 30-day underwriter overallotment option to purchase up to an additional 615,000 shares of common stock) with expected gross proceeds to the Company of $25.2 million, less underwriting discounts and commissions. The shares were sold under a shelf registration statement Form S-3 (File No. 333-218293) that was previously filed and declared effective by the SEC in June 2017. The offering is expected to close on March 5,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162" w:lineRule="exact"/>
        <w:rPr>
          <w:sz w:val="20"/>
          <w:szCs w:val="20"/>
          <w:color w:val="auto"/>
        </w:rPr>
      </w:pPr>
    </w:p>
    <w:p>
      <w:pPr>
        <w:ind w:right="40" w:firstLine="682"/>
        <w:spacing w:after="0" w:line="255" w:lineRule="auto"/>
        <w:rPr>
          <w:sz w:val="20"/>
          <w:szCs w:val="20"/>
          <w:color w:val="auto"/>
        </w:rPr>
      </w:pPr>
      <w:r>
        <w:rPr>
          <w:rFonts w:ascii="Times New Roman" w:cs="Times New Roman" w:eastAsia="Times New Roman" w:hAnsi="Times New Roman"/>
          <w:sz w:val="18"/>
          <w:szCs w:val="18"/>
          <w:color w:val="auto"/>
        </w:rPr>
        <w:t>On February 28, 2019 (the “Closing Date”), the Company (“Borrower”) entered into a term loan facility of up to $60.0 million (“Term Loan”) with Hercules Capital, Inc., (“Hercules”), the proceeds of which will be used for its ongoing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the Borrower’s option but subject to the clinical trial milestones, and the fourth advance of $10.0 million, available in minimum increments of $5.0 million, is available through December 15, 2020 subject to the approval of Hercules’ investment committee.</w:t>
      </w:r>
    </w:p>
    <w:p>
      <w:pPr>
        <w:spacing w:after="0" w:line="126" w:lineRule="exact"/>
        <w:rPr>
          <w:sz w:val="20"/>
          <w:szCs w:val="20"/>
          <w:color w:val="auto"/>
        </w:rPr>
      </w:pPr>
    </w:p>
    <w:p>
      <w:pPr>
        <w:ind w:firstLine="682"/>
        <w:spacing w:after="0" w:line="252" w:lineRule="auto"/>
        <w:rPr>
          <w:sz w:val="20"/>
          <w:szCs w:val="20"/>
          <w:color w:val="auto"/>
        </w:rPr>
      </w:pPr>
      <w:r>
        <w:rPr>
          <w:rFonts w:ascii="Times New Roman" w:cs="Times New Roman" w:eastAsia="Times New Roman" w:hAnsi="Times New Roman"/>
          <w:sz w:val="18"/>
          <w:szCs w:val="18"/>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the Borrower, on or before September 30, 2020, achieves either the third milestone or the Company has raised at least an amount equal to $150.0 million in unrestricted net cash proceeds from one or more equity financings, subordinated indebtedness and/or upfront proceeds from business development transactions permitted under the Loan Agreement, in each case after February 7, 2019, and prior to September 30, 2020. Thereafter, amortization payments will be payable monthly in eighteen installments (or, if the period requiring interest-only payments has been extended to April 1, 2021, in twelve installments) of principal and interest (subject to recalculation upon a change in prime rates). At its option upon seven business days’ prior written notice to Hercules, the Company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shall accrue interest at an additional rate of 4.0% per annum of the past due amount outstanding.</w:t>
      </w:r>
    </w:p>
    <w:p>
      <w:pPr>
        <w:spacing w:after="0" w:line="159" w:lineRule="exact"/>
        <w:rPr>
          <w:sz w:val="20"/>
          <w:szCs w:val="20"/>
          <w:color w:val="auto"/>
        </w:rPr>
      </w:pPr>
    </w:p>
    <w:p>
      <w:pPr>
        <w:jc w:val="both"/>
        <w:ind w:right="60" w:firstLine="736"/>
        <w:spacing w:after="0" w:line="262"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the assets of the Borrower,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w:t>
      </w:r>
    </w:p>
    <w:p>
      <w:pPr>
        <w:spacing w:after="0" w:line="119" w:lineRule="exact"/>
        <w:rPr>
          <w:sz w:val="20"/>
          <w:szCs w:val="20"/>
          <w:color w:val="auto"/>
        </w:rPr>
      </w:pPr>
    </w:p>
    <w:p>
      <w:pPr>
        <w:ind w:right="40" w:firstLine="648"/>
        <w:spacing w:after="0" w:line="285" w:lineRule="auto"/>
        <w:rPr>
          <w:sz w:val="20"/>
          <w:szCs w:val="20"/>
          <w:color w:val="auto"/>
        </w:rPr>
      </w:pPr>
      <w:r>
        <w:rPr>
          <w:rFonts w:ascii="Times New Roman" w:cs="Times New Roman" w:eastAsia="Times New Roman" w:hAnsi="Times New Roman"/>
          <w:sz w:val="16"/>
          <w:szCs w:val="16"/>
          <w:color w:val="auto"/>
        </w:rPr>
        <w:t>The events of default under the Loan Agreement include, without limitation, and subject to customary grace periods, (1) the Borrower’s failure to make any payments of principal or interest under the Loan Agreement, promissory notes or other loan documents, (2) the Borrower’s breach or default in the performance of any covenant under the Loan Agreement, (3) the occurrence of a material adverse effect, (4) the Borrower making a false or misleading representation or warranty in any material respect, (5) the Borrower’s insolvency or bankruptcy, (6) certain attachments or judgments on the Borrower’s assets, or</w:t>
      </w:r>
    </w:p>
    <w:p>
      <w:pPr>
        <w:spacing w:after="0" w:line="3" w:lineRule="exact"/>
        <w:rPr>
          <w:sz w:val="20"/>
          <w:szCs w:val="20"/>
          <w:color w:val="auto"/>
        </w:rPr>
      </w:pPr>
    </w:p>
    <w:p>
      <w:pPr>
        <w:ind w:right="240" w:firstLine="8"/>
        <w:spacing w:after="0" w:line="261" w:lineRule="auto"/>
        <w:tabs>
          <w:tab w:leader="none" w:pos="2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material default under certain agreements or obligations of the Borrower involving indebtedness in excess of $750,000. If an event of default occurs, Hercules is entitled to take enforcement action, including acceleration of amounts due under the Loan Agreement.</w:t>
      </w:r>
    </w:p>
    <w:p>
      <w:pPr>
        <w:spacing w:after="0" w:line="11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Loan Agreement also contains warrant coverage of 2% of the total amount funded. A warrant (the “Warrant") was issued by Borrower to Hercules to purchase </w:t>
      </w:r>
      <w:r>
        <w:rPr>
          <w:rFonts w:ascii="Times New Roman" w:cs="Times New Roman" w:eastAsia="Times New Roman" w:hAnsi="Times New Roman"/>
          <w:sz w:val="18"/>
          <w:szCs w:val="18"/>
          <w:color w:val="181717"/>
        </w:rPr>
        <w:t>147,058</w:t>
      </w:r>
      <w:r>
        <w:rPr>
          <w:rFonts w:ascii="Times New Roman" w:cs="Times New Roman" w:eastAsia="Times New Roman" w:hAnsi="Times New Roman"/>
          <w:sz w:val="18"/>
          <w:szCs w:val="18"/>
          <w:color w:val="auto"/>
        </w:rPr>
        <w:t xml:space="preserve"> shares of common stock with an exercise price of $4.08. The Warrant shall be exercisable for seven years from the date of issuance. Hercules may exercise the Warrant either by (a) cash or check or (b) through a net issuance conversion. The shares will be registered and freely tradeable within six months of issuance.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227"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18"/>
          <w:szCs w:val="18"/>
          <w:color w:val="auto"/>
        </w:rPr>
        <w:t>As of December 31, 2018, we have known contractual obligations, commitments and contingencies of $35.4 million related to our long-term liabilities and operating lease obligations.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Payment due by period (in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Less than 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16,996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2,742</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18,350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35,346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2,742</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Manufacturer</w:t>
      </w:r>
    </w:p>
    <w:p>
      <w:pPr>
        <w:spacing w:after="0" w:line="227" w:lineRule="exact"/>
        <w:rPr>
          <w:sz w:val="20"/>
          <w:szCs w:val="20"/>
          <w:color w:val="auto"/>
        </w:rPr>
      </w:pPr>
    </w:p>
    <w:p>
      <w:pPr>
        <w:ind w:right="120" w:firstLine="692"/>
        <w:spacing w:after="0" w:line="255" w:lineRule="auto"/>
        <w:rPr>
          <w:sz w:val="20"/>
          <w:szCs w:val="20"/>
          <w:color w:val="auto"/>
        </w:rPr>
      </w:pPr>
      <w:r>
        <w:rPr>
          <w:rFonts w:ascii="Times New Roman" w:cs="Times New Roman" w:eastAsia="Times New Roman" w:hAnsi="Times New Roman"/>
          <w:sz w:val="18"/>
          <w:szCs w:val="18"/>
          <w:color w:val="auto"/>
        </w:rPr>
        <w:t>In 2018, we entered into an agreement with a contract manufacturer for the clinical and potential commercial supply of one of our product candidates. As part of this agreement, the contract manufacturer has agreed to defer payment of certain costs and expenses under the agreement in exchange for the payment of an administrative fee. As of December 31, 2018, we have incurred costs related to this agreement of approximately $18.4 million. All costs incurred in 2018 are to be billed in 2019 and are due in 2020. We will incur an administrative fee of six percent (6%) per year starting from the date of invoice issuance. No payments have been made to the contract manufacturer as of December 31, 2018 and accordingly the entire amount has been classified as long term liabilities included in our consolidated balance sheet.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October 2014, we entered into an agreement (the “Office Agreement”) with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$1.2 million under the Office Agreement. We began to occupy this new space in April 2016, with rental payments beginning in the third quarter of 2016. During the years ended December 31, 2018 and 2017, we recorded rent expense of approximately $1.4 million and $1.2 million, respectively, and at December 31, 2018, have deferred rent of approximately $1.5 million. Mr. Weiss, our Executive Chairman and CEO, is also Executive Vice Chairman of FBIO.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9" w:name="page70"/>
    <w:bookmarkEnd w:id="69"/>
    <w:p>
      <w:pPr>
        <w:jc w:val="both"/>
        <w:ind w:firstLine="81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2018, we agreed to pay FBIO $0.1 million for our portion of the build out costs, which have been allocated to us at the 45% rate mentioned above. The allocated build-out costs have been recorded in leasehold interest and will be amortized over the 15-year term of the Office Agreement. After an initial commitment period of the 45% rate for a period of three (3) years, we and FBIO will determine actual office space utilization annually and if our utilization differs from the amount we have been billed, we will either receive credits or be assessed incremental utilization charges. Also in connection with this lease, we pledged $1.2 million to secure a line of credit as a security deposit for the Office Agreement, which has been recorded as restricted cash in the accompanying consolidated balance sheets.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rental expense was approximately $1.4 million, $1.4 million and $1.6 million for the years ended December 31, 2018, 2017 and 2016, respectively.</w:t>
      </w:r>
    </w:p>
    <w:p>
      <w:pPr>
        <w:spacing w:after="0" w:line="248" w:lineRule="exact"/>
        <w:rPr>
          <w:sz w:val="20"/>
          <w:szCs w:val="20"/>
          <w:color w:val="auto"/>
        </w:rPr>
      </w:pPr>
    </w:p>
    <w:p>
      <w:pPr>
        <w:ind w:right="340" w:firstLine="648"/>
        <w:spacing w:after="0" w:line="262" w:lineRule="auto"/>
        <w:rPr>
          <w:sz w:val="20"/>
          <w:szCs w:val="20"/>
          <w:color w:val="auto"/>
        </w:rPr>
      </w:pPr>
      <w:r>
        <w:rPr>
          <w:rFonts w:ascii="Times New Roman" w:cs="Times New Roman" w:eastAsia="Times New Roman" w:hAnsi="Times New Roman"/>
          <w:sz w:val="18"/>
          <w:szCs w:val="18"/>
          <w:color w:val="auto"/>
        </w:rPr>
        <w:t>Future minimum lease commitments as of December 31, 2018 total, in the aggregate, approximately $17.0 million through December 31, 2031. The preceding table shows future minimum lease commitments, which include our office leases in New York, North Carolina and Tennessee by period as of December 31,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3"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Effective January 1, 2018, the Company began recognizing revenue under Accounting Standards Codification (“ASC”) Topic 606,</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(“ASC 606”), using the modified retrospective transition method. The impact of adopting the new revenue standard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95" w:lineRule="exact"/>
        <w:rPr>
          <w:sz w:val="20"/>
          <w:szCs w:val="20"/>
          <w:color w:val="auto"/>
        </w:rPr>
      </w:pPr>
    </w:p>
    <w:p>
      <w:pPr>
        <w:ind w:left="1040" w:hanging="220"/>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225" w:lineRule="exact"/>
        <w:rPr>
          <w:rFonts w:ascii="Times New Roman" w:cs="Times New Roman" w:eastAsia="Times New Roman" w:hAnsi="Times New Roman"/>
          <w:sz w:val="18"/>
          <w:szCs w:val="18"/>
          <w:color w:val="auto"/>
        </w:rPr>
      </w:pPr>
    </w:p>
    <w:p>
      <w:pPr>
        <w:ind w:left="1040" w:hanging="220"/>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1040" w:hanging="220"/>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rFonts w:ascii="Times New Roman" w:cs="Times New Roman" w:eastAsia="Times New Roman" w:hAnsi="Times New Roman"/>
          <w:sz w:val="18"/>
          <w:szCs w:val="18"/>
          <w:color w:val="auto"/>
        </w:rPr>
      </w:pPr>
    </w:p>
    <w:p>
      <w:pPr>
        <w:ind w:left="1040" w:hanging="220"/>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1040" w:hanging="220"/>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6" w:lineRule="exact"/>
        <w:rPr>
          <w:sz w:val="20"/>
          <w:szCs w:val="20"/>
          <w:color w:val="auto"/>
        </w:rPr>
      </w:pPr>
    </w:p>
    <w:p>
      <w:pPr>
        <w:ind w:left="1040" w:right="20" w:hanging="220"/>
        <w:spacing w:after="0" w:line="275"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good or service either on its own or together with other resources that are readily available to the customer (i.e., the good or service is capable of being distinct).</w:t>
      </w:r>
    </w:p>
    <w:p>
      <w:pPr>
        <w:spacing w:after="0" w:line="173" w:lineRule="exact"/>
        <w:rPr>
          <w:rFonts w:ascii="Times New Roman" w:cs="Times New Roman" w:eastAsia="Times New Roman" w:hAnsi="Times New Roman"/>
          <w:sz w:val="18"/>
          <w:szCs w:val="18"/>
          <w:color w:val="auto"/>
        </w:rPr>
      </w:pPr>
    </w:p>
    <w:p>
      <w:pPr>
        <w:ind w:left="1040" w:hanging="220"/>
        <w:spacing w:after="0" w:line="275"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7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w:t>
      </w:r>
    </w:p>
    <w:p>
      <w:pPr>
        <w:spacing w:after="0" w:line="174"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6"/>
          <w:szCs w:val="16"/>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7"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70" w:name="page71"/>
    <w:bookmarkEnd w:id="70"/>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We have granted stock options and restricted stock to employees, directors and consultants, as well as warrants to other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restricted stock and warrants issued to employees, consultants and other third-parties vest upon the achievement of certain milestones, the total expense is uncertain. Compensation expense for such awards that vest upon the achievement of milestones is recognized when the achievement of such milestone becomes probable.</w:t>
      </w:r>
    </w:p>
    <w:p>
      <w:pPr>
        <w:spacing w:after="0" w:line="195" w:lineRule="exact"/>
        <w:rPr>
          <w:sz w:val="20"/>
          <w:szCs w:val="20"/>
          <w:color w:val="auto"/>
        </w:rPr>
      </w:pPr>
    </w:p>
    <w:p>
      <w:pPr>
        <w:ind w:right="140" w:firstLine="648"/>
        <w:spacing w:after="0" w:line="293" w:lineRule="auto"/>
        <w:rPr>
          <w:sz w:val="20"/>
          <w:szCs w:val="20"/>
          <w:color w:val="auto"/>
        </w:rPr>
      </w:pPr>
      <w:r>
        <w:rPr>
          <w:rFonts w:ascii="Times New Roman" w:cs="Times New Roman" w:eastAsia="Times New Roman" w:hAnsi="Times New Roman"/>
          <w:sz w:val="16"/>
          <w:szCs w:val="16"/>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63"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In-process Research and Development</w:t>
      </w:r>
      <w:r>
        <w:rPr>
          <w:rFonts w:ascii="Times New Roman" w:cs="Times New Roman" w:eastAsia="Times New Roman" w:hAnsi="Times New Roman"/>
          <w:sz w:val="18"/>
          <w:szCs w:val="18"/>
          <w:color w:val="auto"/>
        </w:rPr>
        <w:t>. All acquired research and development projects are recorded at their fair value as of the date acquisition.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are assessed as of the balance sheet date to ascertain if there has been any impairment of the recorded value. If there is an impairment the asset is written down to its current fair value by the recording of an expense.</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Accruals for Clinical Research Organization and Clinical Site Costs. </w:t>
      </w:r>
      <w:r>
        <w:rPr>
          <w:rFonts w:ascii="Times New Roman" w:cs="Times New Roman" w:eastAsia="Times New Roman" w:hAnsi="Times New Roman"/>
          <w:sz w:val="18"/>
          <w:szCs w:val="18"/>
          <w:color w:val="auto"/>
        </w:rPr>
        <w:t>We make estimates of costs incurred in relation to external clinical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9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In preparing our consolidated financial statements, we are required to estimate our income taxes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9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71" w:name="page72"/>
    <w:bookmarkEnd w:id="71"/>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liabilities to our consolidated balance sheets at January 1, 2019, primarily relating to our lease of office space (see Note 9). We do not currently expect a material impact to our consolidated statements of operations as a result of this standard.</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May 2017, the FASB issued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86" w:lineRule="exact"/>
        <w:rPr>
          <w:sz w:val="20"/>
          <w:szCs w:val="20"/>
          <w:color w:val="auto"/>
        </w:rPr>
      </w:pPr>
    </w:p>
    <w:p>
      <w:pPr>
        <w:jc w:val="both"/>
        <w:ind w:left="1040" w:hanging="220"/>
        <w:spacing w:after="0" w:line="258"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90" w:lineRule="exact"/>
        <w:rPr>
          <w:rFonts w:ascii="Times New Roman" w:cs="Times New Roman" w:eastAsia="Times New Roman" w:hAnsi="Times New Roman"/>
          <w:sz w:val="18"/>
          <w:szCs w:val="18"/>
          <w:color w:val="auto"/>
        </w:rPr>
      </w:pPr>
    </w:p>
    <w:p>
      <w:pPr>
        <w:ind w:left="1040" w:hanging="220"/>
        <w:spacing w:after="0" w:line="275"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conditions of the modified award are the same as the vesting conditions of the original award immediately before the original award is modified.</w:t>
      </w:r>
    </w:p>
    <w:p>
      <w:pPr>
        <w:spacing w:after="0" w:line="173" w:lineRule="exact"/>
        <w:rPr>
          <w:rFonts w:ascii="Times New Roman" w:cs="Times New Roman" w:eastAsia="Times New Roman" w:hAnsi="Times New Roman"/>
          <w:sz w:val="18"/>
          <w:szCs w:val="18"/>
          <w:color w:val="auto"/>
        </w:rPr>
      </w:pPr>
    </w:p>
    <w:p>
      <w:pPr>
        <w:ind w:left="1040" w:hanging="220"/>
        <w:spacing w:after="0" w:line="275"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74" w:lineRule="exact"/>
        <w:rPr>
          <w:sz w:val="20"/>
          <w:szCs w:val="20"/>
          <w:color w:val="auto"/>
        </w:rPr>
      </w:pPr>
    </w:p>
    <w:p>
      <w:pPr>
        <w:jc w:val="both"/>
        <w:ind w:firstLine="809"/>
        <w:spacing w:after="0" w:line="256" w:lineRule="auto"/>
        <w:rPr>
          <w:sz w:val="20"/>
          <w:szCs w:val="20"/>
          <w:color w:val="auto"/>
        </w:rPr>
      </w:pPr>
      <w:r>
        <w:rPr>
          <w:rFonts w:ascii="Times New Roman" w:cs="Times New Roman" w:eastAsia="Times New Roman" w:hAnsi="Times New Roman"/>
          <w:sz w:val="18"/>
          <w:szCs w:val="18"/>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adopted ASU 2017-09 on January 1, 2018. The adoption of ASU 2017-09 did not have a material effect on our consolidated financial statements as of and for the year ended December 31, 2018.</w:t>
      </w:r>
    </w:p>
    <w:p>
      <w:pPr>
        <w:spacing w:after="0" w:line="19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November 2016, the FASB issued ASU No. 2016-18, “Statement of Cash Flows – Restricted Cash” (“ASU 2016-18”). ASU 2016-18 requires that a statement of cash flows explain the change during the period for the total of cash, cash equivalents, and amounts generally described as restricted cash or restricted cash equivalents. ASU 2016-18 does not provide a definition of restricted cash or restricted cash equivalents, and does not change the balance sheet presentation for such items. The Company adopted ASU 2016-18 on January 1, 2018. The adoption of ASU 2016-18 did not have a material effect on our consolidated financial statements as of December 31, 2018.</w:t>
      </w:r>
    </w:p>
    <w:p>
      <w:pPr>
        <w:spacing w:after="0" w:line="19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(“ASU 2014-09” or “ASC 606”),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90"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86" w:lineRule="exact"/>
        <w:rPr>
          <w:sz w:val="20"/>
          <w:szCs w:val="20"/>
          <w:color w:val="auto"/>
        </w:rPr>
      </w:pPr>
    </w:p>
    <w:p>
      <w:pPr>
        <w:jc w:val="both"/>
        <w:ind w:right="420" w:firstLine="648"/>
        <w:spacing w:after="0" w:line="258" w:lineRule="auto"/>
        <w:rPr>
          <w:sz w:val="20"/>
          <w:szCs w:val="20"/>
          <w:color w:val="auto"/>
        </w:rPr>
      </w:pPr>
      <w:r>
        <w:rPr>
          <w:rFonts w:ascii="Times New Roman" w:cs="Times New Roman" w:eastAsia="Times New Roman" w:hAnsi="Times New Roman"/>
          <w:sz w:val="18"/>
          <w:szCs w:val="18"/>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consolidated financial statements as of December 31, 2018.</w:t>
      </w:r>
    </w:p>
    <w:p>
      <w:pPr>
        <w:spacing w:after="0" w:line="190"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2018, our portfolio of financial instruments consists of cash equivalents and short-term interest bearing securities, including government debt and money market funds. The average duration of all of our held-to-maturity investments held as of December 31, 2018, was less than 12 months. Due to the relative short-term nature of these financial instruments, we believe there is no material exposure to interest rate risk, and/or credit risk, arising from our portfolio of financial instruments.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consolidated financial statements and the notes thereto, included in Part IV, Item 15(a), part 1, are incorporated by reference into this Item 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right="40" w:firstLine="648"/>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Evaluation of Disclosure Controls and Procedures. </w:t>
      </w:r>
      <w:r>
        <w:rPr>
          <w:rFonts w:ascii="Times New Roman" w:cs="Times New Roman" w:eastAsia="Times New Roman" w:hAnsi="Times New Roman"/>
          <w:sz w:val="16"/>
          <w:szCs w:val="16"/>
          <w:color w:val="auto"/>
        </w:rPr>
        <w:t>As of December 31, 2018, management carried out an evaluation, under the supervision and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participation of our Chief Executive Officer and our Chief Financial Officer, of the effectiveness of the design and operation of our disclosure controls and procedures (as defined in Rules 13a-15(e) and 15d-15(e) of the Securities Exchange Act of 1934, as amended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2018, our disclosure controls and procedures were effective.</w:t>
      </w:r>
    </w:p>
    <w:p>
      <w:pPr>
        <w:spacing w:after="0" w:line="165" w:lineRule="exact"/>
        <w:rPr>
          <w:sz w:val="20"/>
          <w:szCs w:val="20"/>
          <w:color w:val="auto"/>
        </w:rPr>
      </w:pPr>
    </w:p>
    <w:p>
      <w:pPr>
        <w:ind w:right="120" w:firstLine="648"/>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Management's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 internal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control over financial reporting (as defined in Rule 13a-15(f) or Rule 15d-15(f) under the Exchange Act). Our management assessed the effectiveness of our internal control over financial reporting as of December 31, 2018. In making this assessment, our management used the criteria established in Internal Control – Integrated Framework (2013) issued by the Committee of Sponsoring Organizations of the Treadway Commission, or COSO Framework. Our management has concluded that, as of December 31, 2018, our internal control over financial reporting was effective based on these criteria.</w:t>
      </w:r>
    </w:p>
    <w:p>
      <w:pPr>
        <w:spacing w:after="0" w:line="160"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2018 was audited by CohnReznick LLP, our independent registered public accounting firm, as stated in their report appearing below, which expressed an unqualified opinion on the effectiveness of our internal control over financial reporting as of December 31, 2018.</w:t>
      </w:r>
    </w:p>
    <w:p>
      <w:pPr>
        <w:spacing w:after="0" w:line="184"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during the quarter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that have materially affected, or are reasonably likely to materially affect, our internal control over financial reporting.</w:t>
      </w:r>
    </w:p>
    <w:p>
      <w:pPr>
        <w:spacing w:after="0" w:line="17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Limitations on the Effectiveness of Controls. </w:t>
      </w:r>
      <w:r>
        <w:rPr>
          <w:rFonts w:ascii="Times New Roman" w:cs="Times New Roman" w:eastAsia="Times New Roman" w:hAnsi="Times New Roman"/>
          <w:sz w:val="18"/>
          <w:szCs w:val="18"/>
          <w:color w:val="auto"/>
        </w:rPr>
        <w:t>Our management, including our Chief Executive Officer and Chief Financial Officer, does not expect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3" w:name="page74"/>
    <w:bookmarkEnd w:id="7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TG Therapeutics, Inc.</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TG Therapeutics, Inc. (the Company’s) internal control over financial reporting as of December 31, 2018, based on criteria established in </w:t>
      </w:r>
      <w:r>
        <w:rPr>
          <w:rFonts w:ascii="Times New Roman" w:cs="Times New Roman" w:eastAsia="Times New Roman" w:hAnsi="Times New Roman"/>
          <w:sz w:val="18"/>
          <w:szCs w:val="18"/>
          <w:i w:val="1"/>
          <w:iCs w:val="1"/>
          <w:color w:val="auto"/>
        </w:rPr>
        <w:t xml:space="preserve">Internal Control—Integrated Framework (2013) </w:t>
      </w:r>
      <w:r>
        <w:rPr>
          <w:rFonts w:ascii="Times New Roman" w:cs="Times New Roman" w:eastAsia="Times New Roman" w:hAnsi="Times New Roman"/>
          <w:sz w:val="18"/>
          <w:szCs w:val="18"/>
          <w:color w:val="auto"/>
        </w:rPr>
        <w:t>issued by the Committee of Sponsoring Organizations of the Treadway Commission (COSO). In our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(2013) </w:t>
      </w:r>
      <w:r>
        <w:rPr>
          <w:rFonts w:ascii="Times New Roman" w:cs="Times New Roman" w:eastAsia="Times New Roman" w:hAnsi="Times New Roman"/>
          <w:sz w:val="18"/>
          <w:szCs w:val="18"/>
          <w:color w:val="auto"/>
        </w:rPr>
        <w:t>issued by COSO.</w:t>
      </w:r>
    </w:p>
    <w:p>
      <w:pPr>
        <w:spacing w:after="0" w:line="12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Stated) (PCAOB), the consolidated balance sheets and the related consolidated statements of operations, stockholders’ equity and cash flows of the Company as of December 31, 2018 and 2017 and for each of the three years in the period ended December 31, 2018 and our report dated March 1, 2019, expressed an unqualified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2019 Annual Meeting of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2019 Annual Meeting of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2019 Annual Meeting of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2019 Annual Meeting of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1" w:right="29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1060" w:hanging="437"/>
        <w:spacing w:after="0"/>
        <w:tabs>
          <w:tab w:leader="none" w:pos="10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Financial Statements</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following consolidated financial statements of TG Therapeutics, Inc. are filed as part of this report.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8140" w:type="dxa"/>
            <w:vAlign w:val="bottom"/>
          </w:tcPr>
          <w:p>
            <w:pPr>
              <w:spacing w:after="0"/>
              <w:rPr>
                <w:sz w:val="20"/>
                <w:szCs w:val="20"/>
                <w:color w:val="auto"/>
              </w:rPr>
            </w:pPr>
          </w:p>
        </w:tc>
        <w:tc>
          <w:tcPr>
            <w:tcW w:w="2380" w:type="dxa"/>
            <w:vAlign w:val="bottom"/>
          </w:tcPr>
          <w:p>
            <w:pPr>
              <w:jc w:val="center"/>
              <w:ind w:left="1172"/>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380" w:type="dxa"/>
            <w:vAlign w:val="bottom"/>
            <w:tcBorders>
              <w:top w:val="single" w:sz="8" w:color="auto"/>
            </w:tcBorders>
            <w:shd w:val="clear" w:color="auto" w:fill="CCEEFF"/>
          </w:tcPr>
          <w:p>
            <w:pPr>
              <w:jc w:val="center"/>
              <w:ind w:left="1172"/>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2018 and 2017</w:t>
            </w:r>
          </w:p>
        </w:tc>
        <w:tc>
          <w:tcPr>
            <w:tcW w:w="2380" w:type="dxa"/>
            <w:vAlign w:val="bottom"/>
            <w:shd w:val="clear" w:color="auto" w:fill="CCEEFF"/>
          </w:tcPr>
          <w:p>
            <w:pPr>
              <w:jc w:val="center"/>
              <w:ind w:left="1172"/>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2018, 2017 and 2016</w:t>
            </w:r>
          </w:p>
        </w:tc>
        <w:tc>
          <w:tcPr>
            <w:tcW w:w="2380" w:type="dxa"/>
            <w:vAlign w:val="bottom"/>
            <w:shd w:val="clear" w:color="auto" w:fill="CCEEFF"/>
          </w:tcPr>
          <w:p>
            <w:pPr>
              <w:jc w:val="center"/>
              <w:ind w:left="1172"/>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2018, 2017 and 2016</w:t>
            </w:r>
          </w:p>
        </w:tc>
        <w:tc>
          <w:tcPr>
            <w:tcW w:w="2380" w:type="dxa"/>
            <w:vAlign w:val="bottom"/>
            <w:shd w:val="clear" w:color="auto" w:fill="CCEEFF"/>
          </w:tcPr>
          <w:p>
            <w:pPr>
              <w:jc w:val="center"/>
              <w:ind w:left="1172"/>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2018, 2017 and 2016</w:t>
            </w:r>
          </w:p>
        </w:tc>
        <w:tc>
          <w:tcPr>
            <w:tcW w:w="2380" w:type="dxa"/>
            <w:vAlign w:val="bottom"/>
            <w:shd w:val="clear" w:color="auto" w:fill="CCEEFF"/>
          </w:tcPr>
          <w:p>
            <w:pPr>
              <w:jc w:val="center"/>
              <w:ind w:left="1172"/>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380" w:type="dxa"/>
            <w:vAlign w:val="bottom"/>
            <w:shd w:val="clear" w:color="auto" w:fill="CCEEFF"/>
          </w:tcPr>
          <w:p>
            <w:pPr>
              <w:jc w:val="center"/>
              <w:ind w:left="1172"/>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430"/>
        </w:trPr>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w:t>
            </w:r>
          </w:p>
        </w:tc>
        <w:tc>
          <w:tcPr>
            <w:tcW w:w="8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Consolidated Financial Statement Schedules</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18"/>
          <w:szCs w:val="18"/>
          <w:color w:val="auto"/>
        </w:rPr>
        <w:t>All schedules are omitted as the information required is inapplicable or the information is presented in the consolidated financial statements or the related notes.</w:t>
      </w:r>
    </w:p>
    <w:p>
      <w:pPr>
        <w:spacing w:after="0" w:line="172" w:lineRule="exact"/>
        <w:rPr>
          <w:sz w:val="20"/>
          <w:szCs w:val="20"/>
          <w:color w:val="auto"/>
        </w:rPr>
      </w:pPr>
    </w:p>
    <w:p>
      <w:pPr>
        <w:ind w:left="1020" w:hanging="397"/>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Number</w:t>
        <w:tab/>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0" w:lineRule="exact"/>
        <w:rPr>
          <w:sz w:val="20"/>
          <w:szCs w:val="20"/>
          <w:color w:val="auto"/>
        </w:rPr>
      </w:pPr>
    </w:p>
    <w:p>
      <w:pPr>
        <w:ind w:left="920" w:right="260" w:hanging="568"/>
        <w:spacing w:after="0" w:line="275" w:lineRule="auto"/>
        <w:tabs>
          <w:tab w:leader="none" w:pos="900" w:val="left"/>
        </w:tabs>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Amended and Restated Certificate of Incorporation of TG Therapeutics, Inc. dated April 26, 2012 (incorporated by reference to Exhibit 3.2 to the Registrant’s Form 10-Q for the quarter ended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920" w:right="480" w:hanging="568"/>
        <w:spacing w:after="0" w:line="275" w:lineRule="auto"/>
        <w:tabs>
          <w:tab w:leader="none" w:pos="900" w:val="left"/>
        </w:tabs>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Certificate of Amendment to Amended and Restated Certificate of Incorporation of TG Therapeutics, Inc. dated June 9, 2014 (incorporated by reference to Exhibit 3.2 to the Registrant’s Form 10-Q for the quarter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920" w:right="280" w:hanging="568"/>
        <w:spacing w:after="0" w:line="275" w:lineRule="auto"/>
        <w:tabs>
          <w:tab w:leader="none" w:pos="900" w:val="left"/>
        </w:tabs>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u w:val="single" w:color="auto"/>
            <w:color w:val="0000FF"/>
          </w:rPr>
          <w:t>3.3</w:t>
        </w:r>
      </w:hyperlink>
      <w:r>
        <w:rPr>
          <w:rFonts w:ascii="Times New Roman" w:cs="Times New Roman" w:eastAsia="Times New Roman" w:hAnsi="Times New Roman"/>
          <w:sz w:val="18"/>
          <w:szCs w:val="18"/>
          <w:color w:val="0000FF"/>
        </w:rPr>
        <w:tab/>
        <w:t>Amended and Restated Bylaws of TG Therapeutics, Inc. dated July 18, 2014 (incorporated by reference to Exhibit 3.1 to the Registrant’s Current Report on Form 8-K filed on July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360"/>
        <w:spacing w:after="0"/>
        <w:tabs>
          <w:tab w:leader="none" w:pos="900" w:val="left"/>
        </w:tabs>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6"/>
          <w:szCs w:val="16"/>
          <w:color w:val="0000FF"/>
        </w:rPr>
        <w:t>Specimen common stock certificate (incorporated by reference to Exhibit 4.1 to the Registrant’s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920" w:hanging="568"/>
        <w:spacing w:after="0" w:line="275" w:lineRule="auto"/>
        <w:tabs>
          <w:tab w:leader="none" w:pos="900" w:val="left"/>
        </w:tabs>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u w:val="single" w:color="auto"/>
            <w:color w:val="0000FF"/>
          </w:rPr>
          <w:t>4.4</w:t>
        </w:r>
      </w:hyperlink>
      <w:r>
        <w:rPr>
          <w:rFonts w:ascii="Times New Roman" w:cs="Times New Roman" w:eastAsia="Times New Roman" w:hAnsi="Times New Roman"/>
          <w:sz w:val="18"/>
          <w:szCs w:val="18"/>
          <w:color w:val="0000FF"/>
        </w:rPr>
        <w:tab/>
        <w:t>Stockholder Protection Rights Agreement, dated July 18, 2014 between TG Therapeutics, Inc. and American Stock Transfer &amp; Trust Company, LLC, as Rights Agent (incorporated by reference to Exhibit 4.1 to the Registrant’s Current Report on Form 8-K filed on July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920" w:right="320" w:hanging="612"/>
        <w:spacing w:after="0" w:line="275" w:lineRule="auto"/>
        <w:tabs>
          <w:tab w:leader="none" w:pos="900" w:val="left"/>
        </w:tabs>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t>Amended and Restated Convertible Promissory Note, dated March 1, 2011 (incorporated by reference to Exhibit 10.1 to the Registrant’s Current Report on Form 8-K filed on March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6" w:name="page77"/>
    <w:bookmarkEnd w:id="76"/>
    <w:p>
      <w:pPr>
        <w:ind w:left="660" w:right="60" w:hanging="612"/>
        <w:spacing w:after="0" w:line="275" w:lineRule="auto"/>
        <w:tabs>
          <w:tab w:leader="none" w:pos="640" w:val="left"/>
        </w:tabs>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FF"/>
        </w:rPr>
        <w:tab/>
        <w:t>Employment Agreement, effective December 29, 2011, between the Registrant and Michael Weiss (incorporated by reference to Exhibit 10.30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300" w:hanging="612"/>
        <w:spacing w:after="0" w:line="275" w:lineRule="auto"/>
        <w:tabs>
          <w:tab w:leader="none" w:pos="640" w:val="left"/>
        </w:tabs>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0000FF"/>
        </w:rPr>
        <w:tab/>
        <w:t>Restricted Stock Subscription Agreement, effective December 29, 2011, between the Registrant and Michael Weiss (incorporated by reference to Exhibit 10.31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420" w:hanging="612"/>
        <w:spacing w:after="0" w:line="275" w:lineRule="auto"/>
        <w:tabs>
          <w:tab w:leader="none" w:pos="640" w:val="left"/>
        </w:tabs>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color w:val="0000FF"/>
        </w:rPr>
        <w:tab/>
        <w:t>Amendment to Restricted Stock Agreement, dated July 12, 2013, by and between TG Therapeutics, Inc. and Michael S. Weiss (incorporated by reference to Exhibit 10.1 to the Registrant’s Current Report on Form 8-K filed on July 16, 2013).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140" w:hanging="612"/>
        <w:spacing w:after="0" w:line="275" w:lineRule="auto"/>
        <w:tabs>
          <w:tab w:leader="none" w:pos="640" w:val="left"/>
        </w:tabs>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color w:val="0000FF"/>
        </w:rPr>
        <w:tab/>
        <w:t>Amendment to Restricted Stock Agreements, dated December 31, 2014, by and between TG Therapeutics, Inc. and Michael S. Weiss (incorporated by reference to Exhibit 10.1 to the Registrant’s Current Report on Form 8-K filed on January 7, 2015).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260" w:hanging="612"/>
        <w:spacing w:after="0" w:line="275" w:lineRule="auto"/>
        <w:tabs>
          <w:tab w:leader="none" w:pos="640" w:val="left"/>
        </w:tabs>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color w:val="0000FF"/>
        </w:rPr>
        <w:tab/>
        <w:t>Employment Agreement, effective December 29, 2011, between the Registrant and Sean Power (incorporated by reference to Exhibit 10.32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560" w:hanging="612"/>
        <w:spacing w:after="0" w:line="275" w:lineRule="auto"/>
        <w:tabs>
          <w:tab w:leader="none" w:pos="640" w:val="left"/>
        </w:tabs>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0000FF"/>
        </w:rPr>
        <w:tab/>
        <w:t>Restricted Stock Subscription Agreement, effective December 29, 2011 between the Registrant and Sean Power (incorporated by reference to Exhibit 10.33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580" w:hanging="612"/>
        <w:spacing w:after="0" w:line="275" w:lineRule="auto"/>
        <w:tabs>
          <w:tab w:leader="none" w:pos="640" w:val="left"/>
        </w:tabs>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t>Amendment to Restricted Stock Agreement, dated July 12, 2013, by and between TG Therapeutics, Inc. and Sean A. Power (incorporated by reference to Exhibit 10.2 to the Registrant’s Current Report on Form 8-K filed on July 16, 2013).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80" w:hanging="612"/>
        <w:spacing w:after="0" w:line="275" w:lineRule="auto"/>
        <w:tabs>
          <w:tab w:leader="none" w:pos="640" w:val="left"/>
        </w:tabs>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color w:val="0000FF"/>
        </w:rPr>
        <w:tab/>
        <w:t>Amendment to Restricted Stock Agreements, dated December 31, 2014, by and between TG Therapeutics, Inc. and Sean A. Power (incorporated by reference to Exhibit 10.2 to the Registrant’s Current Report on Form 8-K filed on January 7, 2015).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220" w:hanging="656"/>
        <w:spacing w:after="0" w:line="275" w:lineRule="auto"/>
        <w:tabs>
          <w:tab w:leader="none" w:pos="640" w:val="left"/>
        </w:tabs>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color w:val="0000FF"/>
        </w:rPr>
        <w:tab/>
        <w:t>License Agreement, dated January 30, 2012, by and among the Registrant, GTC Biotherapeutics, Inc., LFB Biotechnologies S.A.S. and LFB/GTC LLC (incorporated by reference to Exhibit 10.35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20" w:hanging="653"/>
        <w:spacing w:after="0" w:line="275" w:lineRule="auto"/>
        <w:tabs>
          <w:tab w:leader="none" w:pos="640" w:val="left"/>
        </w:tabs>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color w:val="0000FF"/>
        </w:rPr>
        <w:tab/>
        <w:t>TG Therapeutics, Inc. Amended and Restated 2012 Incentive Plan, dated May 14, 2012 (incorporated by reference to Exhibit 10.1 to the Registrant’s Form 10-Q/A for the quarter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hanging="656"/>
        <w:spacing w:after="0" w:line="275" w:lineRule="auto"/>
        <w:tabs>
          <w:tab w:leader="none" w:pos="640" w:val="left"/>
        </w:tabs>
        <w:rPr>
          <w:sz w:val="20"/>
          <w:szCs w:val="20"/>
          <w:color w:val="auto"/>
        </w:rPr>
      </w:pPr>
      <w:r>
        <w:rPr>
          <w:rFonts w:ascii="Times New Roman" w:cs="Times New Roman" w:eastAsia="Times New Roman" w:hAnsi="Times New Roman"/>
          <w:sz w:val="18"/>
          <w:szCs w:val="18"/>
          <w:color w:val="0000FF"/>
        </w:rPr>
        <w:t>10.12</w:t>
      </w:r>
      <w:r>
        <w:rPr>
          <w:rFonts w:ascii="Times New Roman" w:cs="Times New Roman" w:eastAsia="Times New Roman" w:hAnsi="Times New Roman"/>
          <w:sz w:val="18"/>
          <w:szCs w:val="18"/>
          <w:color w:val="auto"/>
        </w:rPr>
        <w:tab/>
        <w:t>First Amendment to TG Therapeutics, Inc. Amended and Restated 2012 Incentive Plan, filed with the Registrant’s Definitive Proxy Statement for the Annual Meeting of Stockholders on June 4, 2015, filed on April 24, 2015,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160" w:hanging="656"/>
        <w:spacing w:after="0" w:line="275" w:lineRule="auto"/>
        <w:tabs>
          <w:tab w:leader="none" w:pos="640" w:val="left"/>
        </w:tabs>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color w:val="0000FF"/>
        </w:rPr>
        <w:tab/>
        <w:t>Sublicense Agreement between TG Therapeutics, Inc. and Ildong Pharmaceutical Co. Ltd., dated November 13, 2012 (incorporated by reference to Exhibit 10.37 to the Registrant’s Form 10-K for the fiscal year ended December 31, 2012).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360" w:hanging="656"/>
        <w:spacing w:after="0" w:line="275" w:lineRule="auto"/>
        <w:tabs>
          <w:tab w:leader="none" w:pos="640" w:val="left"/>
        </w:tabs>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color w:val="0000FF"/>
        </w:rPr>
        <w:tab/>
        <w:t>License Agreement between TG Therapeutics, Inc. and Ligand Pharmaceuticals Incorporated, dated June 23, 2014 (incorporated by reference to Exhibit 10.1 to the Registrant’s Form 10-Q for the quarter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460" w:hanging="656"/>
        <w:spacing w:after="0" w:line="275" w:lineRule="auto"/>
        <w:tabs>
          <w:tab w:leader="none" w:pos="640" w:val="left"/>
        </w:tabs>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color w:val="0000FF"/>
        </w:rPr>
        <w:tab/>
        <w:t>Licensing Agreement between TG Therapeutics, Inc. and Rhizen Pharmaceuticals SA, dated September 22, 2014 (incorporated by reference to Exhibit 10.1 to the Registrant’s Current Report on Form 8-K filed on January 20, 2015).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-291465</wp:posOffset>
            </wp:positionV>
            <wp:extent cx="72466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517" w:right="239" w:bottom="1440" w:gutter="0" w:footer="0" w:header="0"/>
        </w:sectPr>
      </w:pPr>
    </w:p>
    <w:bookmarkStart w:id="77" w:name="page78"/>
    <w:bookmarkEnd w:id="77"/>
    <w:p>
      <w:pPr>
        <w:ind w:left="912" w:right="360" w:hanging="656"/>
        <w:spacing w:after="0" w:line="275" w:lineRule="auto"/>
        <w:tabs>
          <w:tab w:leader="none" w:pos="892" w:val="left"/>
        </w:tabs>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0000FF"/>
        </w:rPr>
        <w:tab/>
        <w:t>Collaboration Agreement between TG Therapeutics, Inc. and Checkpoint Therapeutics, Inc., dated March 3, 2015 (incorporated by reference to Exhibit 10.1 to the Registrant’s Form 10-Q for the quarter ended March 31, 2015).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2466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252"/>
        <w:spacing w:after="0"/>
        <w:tabs>
          <w:tab w:leader="none" w:pos="892" w:val="left"/>
        </w:tabs>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6"/>
          <w:szCs w:val="16"/>
          <w:color w:val="0000FF"/>
        </w:rPr>
        <w:t>Sublicense Agreement between TG Therapeutics, Inc. and Checkpoint Therapeutics, Inc., dated May 27, 2016,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10.1 to the Registrant’s Form 10-Q for the quarter ended June 30, 2016). *</w:t>
      </w:r>
    </w:p>
    <w:p>
      <w:pPr>
        <w:spacing w:after="0" w:line="213" w:lineRule="exact"/>
        <w:rPr>
          <w:sz w:val="20"/>
          <w:szCs w:val="20"/>
          <w:color w:val="auto"/>
        </w:rPr>
      </w:pPr>
    </w:p>
    <w:p>
      <w:pPr>
        <w:ind w:left="912" w:right="40" w:hanging="656"/>
        <w:spacing w:after="0" w:line="275" w:lineRule="auto"/>
        <w:tabs>
          <w:tab w:leader="none" w:pos="892" w:val="left"/>
        </w:tabs>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0000FF"/>
        </w:rPr>
        <w:tab/>
        <w:t>Amendment to Employment Agreement, effective January 1, 2017, between TG Therapeutics, Inc. and Michael S. Weiss (incorporated by reference to Exhibit 10.18 to the Registrant’s Form 10-K/A for the year ended December 31,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252"/>
        <w:spacing w:after="0"/>
        <w:tabs>
          <w:tab w:leader="none" w:pos="892" w:val="left"/>
        </w:tabs>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6"/>
          <w:szCs w:val="16"/>
          <w:color w:val="0000FF"/>
        </w:rPr>
        <w:t>Advisory Agreement, effective January 1, 2017, between TG Therapeutics, Inc. and Caribe BioAdvisors, LLC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10.19 to the Registrant’s Form 10-K/A for the year ended December 31, 2016).</w:t>
      </w:r>
    </w:p>
    <w:p>
      <w:pPr>
        <w:spacing w:after="0" w:line="213" w:lineRule="exact"/>
        <w:rPr>
          <w:sz w:val="20"/>
          <w:szCs w:val="20"/>
          <w:color w:val="auto"/>
        </w:rPr>
      </w:pPr>
    </w:p>
    <w:p>
      <w:pPr>
        <w:ind w:left="252"/>
        <w:spacing w:after="0"/>
        <w:tabs>
          <w:tab w:leader="none" w:pos="892" w:val="left"/>
        </w:tabs>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u w:val="single" w:color="auto"/>
            <w:color w:val="0000EE"/>
          </w:rPr>
          <w:t>10.20</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License Agreement between TG Therapeutics, Inc. and Jiangsu Hengrui Medicine Co., dated January 8, 2018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10.20 to the Registrant’s Form 10-K for the year ended December 31, 2017). *</w:t>
      </w:r>
    </w:p>
    <w:p>
      <w:pPr>
        <w:spacing w:after="0" w:line="213" w:lineRule="exact"/>
        <w:rPr>
          <w:sz w:val="20"/>
          <w:szCs w:val="20"/>
          <w:color w:val="auto"/>
        </w:rPr>
      </w:pPr>
    </w:p>
    <w:p>
      <w:pPr>
        <w:ind w:left="912" w:right="260" w:hanging="656"/>
        <w:spacing w:after="0" w:line="275" w:lineRule="auto"/>
        <w:tabs>
          <w:tab w:leader="none" w:pos="892" w:val="left"/>
        </w:tabs>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u w:val="single" w:color="auto"/>
            <w:color w:val="0000EE"/>
          </w:rPr>
          <w:t>10.21</w:t>
        </w:r>
      </w:hyperlink>
      <w:r>
        <w:rPr>
          <w:rFonts w:ascii="Times New Roman" w:cs="Times New Roman" w:eastAsia="Times New Roman" w:hAnsi="Times New Roman"/>
          <w:sz w:val="18"/>
          <w:szCs w:val="18"/>
          <w:color w:val="0000EE"/>
        </w:rPr>
        <w:tab/>
        <w:t>Joint Venture and License Option Agreement by and between TG Therapeutics, Inc. and Novimmune S.A., dated June 18, 2018 (incorporated by reference to Exhibit 10.20 to the Registrant’s Form 10-Q for the quarter ended June 30, 2018).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2466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252"/>
        <w:spacing w:after="0"/>
        <w:tabs>
          <w:tab w:leader="none" w:pos="892" w:val="left"/>
        </w:tabs>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u w:val="single" w:color="auto"/>
            <w:color w:val="0000EE"/>
          </w:rPr>
          <w:t>10.22</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Master Services Agreement, effective February 21, 2018.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12"/>
        <w:spacing w:after="0"/>
        <w:tabs>
          <w:tab w:leader="none" w:pos="892" w:val="left"/>
        </w:tabs>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u w:val="single" w:color="auto"/>
            <w:color w:val="0000EE"/>
          </w:rPr>
          <w:t>21.1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Subsidiaries of TG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12"/>
        <w:spacing w:after="0"/>
        <w:tabs>
          <w:tab w:leader="none" w:pos="892" w:val="left"/>
        </w:tabs>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u w:val="single" w:color="auto"/>
            <w:color w:val="0000FF"/>
          </w:rPr>
          <w:t>23.1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6"/>
          <w:szCs w:val="16"/>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12"/>
        <w:spacing w:after="0"/>
        <w:tabs>
          <w:tab w:leader="none" w:pos="892" w:val="left"/>
        </w:tabs>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12"/>
        <w:spacing w:after="0"/>
        <w:tabs>
          <w:tab w:leader="none" w:pos="892" w:val="left"/>
        </w:tabs>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12"/>
        <w:spacing w:after="0"/>
        <w:tabs>
          <w:tab w:leader="none" w:pos="892" w:val="left"/>
        </w:tabs>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u w:val="single" w:color="auto"/>
            <w:color w:val="0000FF"/>
          </w:rPr>
          <w:t>32.1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6"/>
          <w:szCs w:val="16"/>
          <w:color w:val="0000FF"/>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12"/>
        <w:spacing w:after="0"/>
        <w:tabs>
          <w:tab w:leader="none" w:pos="892" w:val="left"/>
        </w:tabs>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u w:val="single" w:color="auto"/>
            <w:color w:val="0000FF"/>
          </w:rPr>
          <w:t>32.2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6"/>
          <w:szCs w:val="16"/>
          <w:color w:val="0000FF"/>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912" w:hanging="584"/>
        <w:spacing w:after="0" w:line="310" w:lineRule="auto"/>
        <w:tabs>
          <w:tab w:leader="none" w:pos="912"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information from TG Therapeutics, Inc.’s Annual Report on Form 10-K for the year ended December 31, 2018, formatted in XBRL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394" w:lineRule="exact"/>
        <w:rPr>
          <w:rFonts w:ascii="Times New Roman" w:cs="Times New Roman" w:eastAsia="Times New Roman" w:hAnsi="Times New Roman"/>
          <w:sz w:val="16"/>
          <w:szCs w:val="16"/>
          <w:color w:val="auto"/>
        </w:rPr>
      </w:pPr>
    </w:p>
    <w:p>
      <w:pPr>
        <w:ind w:left="632" w:hanging="632"/>
        <w:spacing w:after="0"/>
        <w:tabs>
          <w:tab w:leader="none" w:pos="6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-824865</wp:posOffset>
            </wp:positionV>
            <wp:extent cx="7246620" cy="411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6" w:lineRule="exact"/>
        <w:rPr>
          <w:sz w:val="20"/>
          <w:szCs w:val="20"/>
          <w:color w:val="auto"/>
        </w:rPr>
      </w:pPr>
    </w:p>
    <w:p>
      <w:pPr>
        <w:ind w:left="632" w:hanging="632"/>
        <w:spacing w:after="0"/>
        <w:tabs>
          <w:tab w:leader="none" w:pos="6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36" w:lineRule="exact"/>
        <w:rPr>
          <w:sz w:val="20"/>
          <w:szCs w:val="20"/>
          <w:color w:val="auto"/>
        </w:rPr>
      </w:pPr>
    </w:p>
    <w:p>
      <w:pPr>
        <w:ind w:left="632" w:hanging="632"/>
        <w:spacing w:after="0"/>
        <w:tabs>
          <w:tab w:leader="none" w:pos="6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with respect to omitted portions of this exhibit.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719"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2018 and 2017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2018, 2017 and 2016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2018, 2017 and 2016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2018, 2017 and 2016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TG Therapeutics,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TG Therapeutics, Inc. (the “Company”) as of December 31, 2018 and 2017, and the related consolidated statements of operations,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2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 2019, expressed an unqualified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as of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receivable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interest,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83,616</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97,381</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59,580</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30,388</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320"/>
              <w:spacing w:after="0" w:line="201" w:lineRule="exact"/>
              <w:rPr>
                <w:sz w:val="20"/>
                <w:szCs w:val="20"/>
                <w:color w:val="auto"/>
              </w:rPr>
            </w:pPr>
            <w:r>
              <w:rPr>
                <w:rFonts w:ascii="Times New Roman" w:cs="Times New Roman" w:eastAsia="Times New Roman" w:hAnsi="Times New Roman"/>
                <w:sz w:val="18"/>
                <w:szCs w:val="18"/>
                <w:color w:val="auto"/>
              </w:rPr>
              <w:t>Preferred stock, $0.001 par value per share (10,000,000 shares authorized, none issued and outstanding as of</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December 31, 2018 and 2017)</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9"/>
              </w:rPr>
              <w:t>Common stock, $0.001 par value per share (150,000,000 shares authorized, 83,911,855 and 73,181,750 shares issued,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83,870,546 and 73,140,441 shares outstanding at December 31, 2018 and 2017, respectively)</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552,531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Treasury stock, at cost, 41,309 shares at December 31, 2018 and 2017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(528,345)</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24,036</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66,993</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83,616</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 cash stock expense associated with in-licensing agreements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149,793</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96,886</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159,391</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102,533</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69,232</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174,552</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118,864</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(174,400)</w:t>
            </w:r>
          </w:p>
        </w:tc>
        <w:tc>
          <w:tcPr>
            <w:tcW w:w="16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(118,712)</w:t>
            </w: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(173,482)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(118,476)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shares used in computing basic and diluted net loss per common share</w:t>
            </w: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75,466,813</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62,069,570</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49,041,354</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Contingently</w:t>
            </w:r>
          </w:p>
        </w:tc>
        <w:tc>
          <w:tcPr>
            <w:tcW w:w="8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issuable</w:t>
            </w:r>
          </w:p>
        </w:tc>
        <w:tc>
          <w:tcPr>
            <w:tcW w:w="80" w:type="dxa"/>
            <w:vAlign w:val="bottom"/>
          </w:tcPr>
          <w:p>
            <w:pPr>
              <w:spacing w:after="0"/>
              <w:rPr>
                <w:sz w:val="19"/>
                <w:szCs w:val="19"/>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80" w:type="dxa"/>
            <w:vAlign w:val="bottom"/>
            <w:gridSpan w:val="2"/>
          </w:tcPr>
          <w:p>
            <w:pPr>
              <w:spacing w:after="0"/>
              <w:rPr>
                <w:sz w:val="19"/>
                <w:szCs w:val="19"/>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gridSpan w:val="2"/>
          </w:tcPr>
          <w:p>
            <w:pPr>
              <w:spacing w:after="0"/>
              <w:rPr>
                <w:sz w:val="21"/>
                <w:szCs w:val="21"/>
                <w:color w:val="auto"/>
              </w:rPr>
            </w:pPr>
          </w:p>
        </w:tc>
        <w:tc>
          <w:tcPr>
            <w:tcW w:w="8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300" w:type="dxa"/>
            <w:vAlign w:val="bottom"/>
            <w:gridSpan w:val="2"/>
          </w:tcPr>
          <w:p>
            <w:pPr>
              <w:spacing w:after="0"/>
              <w:rPr>
                <w:sz w:val="21"/>
                <w:szCs w:val="21"/>
                <w:color w:val="auto"/>
              </w:rPr>
            </w:pP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gridSpan w:val="2"/>
          </w:tcPr>
          <w:p>
            <w:pPr>
              <w:spacing w:after="0"/>
              <w:rPr>
                <w:sz w:val="21"/>
                <w:szCs w:val="21"/>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0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54,095,110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259,887</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41,309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(158,134)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101,573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connection with exercise of</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warrants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connection with conversion of notes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1,924,639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(46,773)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in At-</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the-Market offering (net of offering</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costs of $0.1 million)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4,386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4,386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granted to</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consultants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 to contingently issuable</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(78,253)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31, 2016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56,820,422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272,432</w:t>
            </w: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41,309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(236,387)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35,868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connection with exercise of</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2,142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1,836,511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(53,875)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in public</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offering (net of offering costs of</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$3.6 million)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5,897,436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53,634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53,640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in At-</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the-Market offering (net of offering</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of $1.1 million)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7,793,671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77,865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77,873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in respect of</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restricted stock granted to</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employees, directors and</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consultants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15,945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15,945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(118,476)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73,181,750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422,017</w:t>
            </w: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41,309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(354,863)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66,993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1,562,211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(191,196)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in At-</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the-Market offerings (net of offering</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of $2.0 million)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9,025,222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113,630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113,639</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in respect of</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restricted stock granted to</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employees, directors and</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consultants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12,886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12,886</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in connection with in-</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licensing agreements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(173,482)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(173,482)</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83,911,855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552,531</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(528,345)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Amount less than one thousand dollars.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(173,482)</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(118,476)</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loss to net cash used in operating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long-term securities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connection with in-licensing agreement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notes payable and accrued interest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decrease in other current assets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(1,638)</w:t>
            </w:r>
          </w:p>
        </w:tc>
        <w:tc>
          <w:tcPr>
            <w:tcW w:w="2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(2,665)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leasehold interest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accrued interest receivable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in deferred rent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(128,925)</w:t>
            </w:r>
          </w:p>
        </w:tc>
        <w:tc>
          <w:tcPr>
            <w:tcW w:w="2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(93,760)</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short-term securities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held-to-maturity securities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(31,230)</w:t>
            </w:r>
          </w:p>
        </w:tc>
        <w:tc>
          <w:tcPr>
            <w:tcW w:w="2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(28,006)</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long-term securities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(8,208)</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common stock, net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113,639</w:t>
            </w:r>
          </w:p>
        </w:tc>
        <w:tc>
          <w:tcPr>
            <w:tcW w:w="34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133,659</w:t>
            </w:r>
          </w:p>
        </w:tc>
        <w:tc>
          <w:tcPr>
            <w:tcW w:w="34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2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(14,106)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(30,026)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43,199</w:t>
            </w: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amounts on consolidated balance sheets: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34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56,718</w:t>
            </w:r>
          </w:p>
        </w:tc>
        <w:tc>
          <w:tcPr>
            <w:tcW w:w="34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w:t>
            </w:r>
          </w:p>
        </w:tc>
        <w:tc>
          <w:tcPr>
            <w:tcW w:w="34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34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deferred financing costs to additional paid-in capital</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notes payable to common stock</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Unless the context requires otherwise, references in this report to “TG,” “Company,” “we,” “us” and “our” refer to TG Therapeutics, Inc. and our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dedicated to developing and delivering medicines for patients with B-cell mediated diseases, including Chronic Lymphocytic Leukemia (CLL), non-Hodgkin’s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NHL and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or "1303". Additionally, in early clinical development we have an anti-PD-L1 monoclonal antibody referred to as TG-1501, an oral Bruton’s Tyrosine Kinase (“BTK”) inhibitor referred to as TG-1701, and an anti-CD47/CD19 bispecific antibody referred to as TG-1801.</w:t>
      </w:r>
    </w:p>
    <w:p>
      <w:pPr>
        <w:spacing w:after="0" w:line="19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18"/>
          <w:szCs w:val="18"/>
          <w:color w:val="auto"/>
        </w:rPr>
        <w:t>We have incurred operating losses since our inception, and expect to continue to incur operating losses for the foreseeable future and may never become profitable. As of December 31, 2018, we have an accumulated deficit of $528.3 million.</w:t>
      </w:r>
    </w:p>
    <w:p>
      <w:pPr>
        <w:spacing w:after="0" w:line="17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major sources of cash have been proceeds from the private placement and public offering of equity securities, and in 2019 from our loan and security agreement executed with Hercules (See Note 14 for more information).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2018, we had $68.9 million in cash and cash equivalents, investment securities, and interest receivable. The Company believes its cash, cash equivalents, investment securities, and interest receivable on hand as of December 31, 2018 combined with the additional capital being raised in the first quarter of 2019 and flexible vendor payment arrangements (see Notes 6 and 14) will be sufficient to fund the Company’s planned operations into mid 2020.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and trades under the symbol “TGTX.”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9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7" w:lineRule="exact"/>
        <w:rPr>
          <w:sz w:val="20"/>
          <w:szCs w:val="20"/>
          <w:color w:val="auto"/>
        </w:rPr>
      </w:pPr>
    </w:p>
    <w:p>
      <w:pPr>
        <w:ind w:right="20" w:firstLine="756"/>
        <w:spacing w:after="0" w:line="255" w:lineRule="auto"/>
        <w:rPr>
          <w:sz w:val="20"/>
          <w:szCs w:val="20"/>
          <w:color w:val="auto"/>
        </w:rPr>
      </w:pPr>
      <w:r>
        <w:rPr>
          <w:rFonts w:ascii="Times New Roman" w:cs="Times New Roman" w:eastAsia="Times New Roman" w:hAnsi="Times New Roman"/>
          <w:sz w:val="18"/>
          <w:szCs w:val="18"/>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liabilities to our consolidated balance sheets at January 1, 2019, primarily relating to our lease of office space (see Note 9). We do not currently expect a material impact to our consolidated statements of operations as a result of this standard.</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May 2017, the FASB issued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86" w:lineRule="exact"/>
        <w:rPr>
          <w:sz w:val="20"/>
          <w:szCs w:val="20"/>
          <w:color w:val="auto"/>
        </w:rPr>
      </w:pPr>
    </w:p>
    <w:p>
      <w:pPr>
        <w:jc w:val="both"/>
        <w:ind w:left="1040" w:hanging="220"/>
        <w:spacing w:after="0" w:line="258"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90" w:lineRule="exact"/>
        <w:rPr>
          <w:rFonts w:ascii="Times New Roman" w:cs="Times New Roman" w:eastAsia="Times New Roman" w:hAnsi="Times New Roman"/>
          <w:sz w:val="18"/>
          <w:szCs w:val="18"/>
          <w:color w:val="auto"/>
        </w:rPr>
      </w:pPr>
    </w:p>
    <w:p>
      <w:pPr>
        <w:ind w:left="1040" w:hanging="220"/>
        <w:spacing w:after="0" w:line="275"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conditions of the modified award are the same as the vesting conditions of the original award immediately before the original award is modified.</w:t>
      </w:r>
    </w:p>
    <w:p>
      <w:pPr>
        <w:spacing w:after="0" w:line="173" w:lineRule="exact"/>
        <w:rPr>
          <w:rFonts w:ascii="Times New Roman" w:cs="Times New Roman" w:eastAsia="Times New Roman" w:hAnsi="Times New Roman"/>
          <w:sz w:val="18"/>
          <w:szCs w:val="18"/>
          <w:color w:val="auto"/>
        </w:rPr>
      </w:pPr>
    </w:p>
    <w:p>
      <w:pPr>
        <w:ind w:left="1040" w:hanging="220"/>
        <w:spacing w:after="0" w:line="275"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7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adopted ASU 2017-09 on January 1, 2018. The adoption of ASU 2017-09 did not have a material effect on our consolidated financial statements as of and for the year ended December 31, 2018.</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2016, the FASB issued ASU No. 2016-18, “Statement of Cash Flows – Restricted Cash” (“ASU 2016-18”). ASU 2016-18 requires that a statement of cash flows explain the change during the period for the total of cash, cash equivalents, and amounts generally described as restricted cash or restricted cash equivalents. ASU 2016-18 does not provide a definition of restricted cash or restricted cash equivalents, and does not change the balance sheet presentation for such items. The Company adopted ASU 2016-18 on January 1, 2018. The adoption of ASU 2016-18 did not have a material effect on our consolidated financial statements as of December 31, 2018.</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86" w:name="page87"/>
    <w:bookmarkEnd w:id="86"/>
    <w:p>
      <w:pPr>
        <w:ind w:left="4300"/>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(“ASU 2014-09”),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90"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consolidated financial statements as of December 31, 2018.</w:t>
      </w:r>
    </w:p>
    <w:p>
      <w:pPr>
        <w:spacing w:after="0" w:line="190" w:lineRule="exact"/>
        <w:rPr>
          <w:sz w:val="20"/>
          <w:szCs w:val="20"/>
          <w:color w:val="auto"/>
        </w:rPr>
      </w:pPr>
    </w:p>
    <w:p>
      <w:pPr>
        <w:ind w:right="600" w:firstLine="648"/>
        <w:spacing w:after="0" w:line="275" w:lineRule="auto"/>
        <w:rPr>
          <w:sz w:val="20"/>
          <w:szCs w:val="20"/>
          <w:color w:val="auto"/>
        </w:rPr>
      </w:pPr>
      <w:r>
        <w:rPr>
          <w:rFonts w:ascii="Times New Roman" w:cs="Times New Roman" w:eastAsia="Times New Roman" w:hAnsi="Times New Roman"/>
          <w:sz w:val="18"/>
          <w:szCs w:val="18"/>
          <w:color w:val="auto"/>
        </w:rPr>
        <w:t>Other pronouncements issued by the FASB or other authoritative accounting standards with future effective dates are either not applicable or not significant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7" w:lineRule="exact"/>
        <w:rPr>
          <w:sz w:val="20"/>
          <w:szCs w:val="20"/>
          <w:color w:val="auto"/>
        </w:rPr>
      </w:pPr>
    </w:p>
    <w:p>
      <w:pPr>
        <w:jc w:val="both"/>
        <w:ind w:firstLine="756"/>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treat liquid investments with original maturities of less than three months when purchased as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7"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18"/>
          <w:szCs w:val="18"/>
          <w:color w:val="auto"/>
        </w:rPr>
        <w:t>We record cash pledged or held in trust as restricted cash. As of December 31, 2018 and December 31, 2017, we have approximately $1.2 million and $0.6 million, respectively, of restricted cash pledged to secure a line of credit as a security deposit for an Office Agreement (see Note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Investment securities at both December 31, 2018 and 2017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7"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87" w:name="page88"/>
    <w:bookmarkEnd w:id="87"/>
    <w:p>
      <w:pPr>
        <w:ind w:left="4340"/>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1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2018, the Company began recognizing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90" w:lineRule="exact"/>
        <w:rPr>
          <w:sz w:val="20"/>
          <w:szCs w:val="20"/>
          <w:color w:val="auto"/>
        </w:rPr>
      </w:pPr>
    </w:p>
    <w:p>
      <w:pPr>
        <w:ind w:left="1040" w:hanging="220"/>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225" w:lineRule="exact"/>
        <w:rPr>
          <w:rFonts w:ascii="Times New Roman" w:cs="Times New Roman" w:eastAsia="Times New Roman" w:hAnsi="Times New Roman"/>
          <w:sz w:val="18"/>
          <w:szCs w:val="18"/>
          <w:color w:val="auto"/>
        </w:rPr>
      </w:pPr>
    </w:p>
    <w:p>
      <w:pPr>
        <w:ind w:left="1040" w:hanging="220"/>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1040" w:hanging="220"/>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rFonts w:ascii="Times New Roman" w:cs="Times New Roman" w:eastAsia="Times New Roman" w:hAnsi="Times New Roman"/>
          <w:sz w:val="18"/>
          <w:szCs w:val="18"/>
          <w:color w:val="auto"/>
        </w:rPr>
      </w:pPr>
    </w:p>
    <w:p>
      <w:pPr>
        <w:ind w:left="1040" w:hanging="220"/>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1040" w:hanging="220"/>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6" w:lineRule="exact"/>
        <w:rPr>
          <w:sz w:val="20"/>
          <w:szCs w:val="20"/>
          <w:color w:val="auto"/>
        </w:rPr>
      </w:pPr>
    </w:p>
    <w:p>
      <w:pPr>
        <w:ind w:left="1040" w:right="20" w:hanging="220"/>
        <w:spacing w:after="0" w:line="275"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good or service either on its own or together with other resources that are readily available to the customer (i.e., the good or service is capable of being distinct).</w:t>
      </w:r>
    </w:p>
    <w:p>
      <w:pPr>
        <w:spacing w:after="0" w:line="173" w:lineRule="exact"/>
        <w:rPr>
          <w:rFonts w:ascii="Times New Roman" w:cs="Times New Roman" w:eastAsia="Times New Roman" w:hAnsi="Times New Roman"/>
          <w:sz w:val="18"/>
          <w:szCs w:val="18"/>
          <w:color w:val="auto"/>
        </w:rPr>
      </w:pPr>
    </w:p>
    <w:p>
      <w:pPr>
        <w:ind w:left="1040" w:hanging="220"/>
        <w:spacing w:after="0" w:line="275"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7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w:t>
      </w:r>
    </w:p>
    <w:p>
      <w:pPr>
        <w:spacing w:after="0" w:line="174"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6"/>
          <w:szCs w:val="16"/>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200" w:lineRule="exact"/>
        <w:rPr>
          <w:sz w:val="20"/>
          <w:szCs w:val="20"/>
          <w:color w:val="auto"/>
        </w:rPr>
      </w:pPr>
    </w:p>
    <w:p>
      <w:pPr>
        <w:jc w:val="both"/>
        <w:ind w:right="180" w:firstLine="486"/>
        <w:spacing w:after="0" w:line="258" w:lineRule="auto"/>
        <w:rPr>
          <w:sz w:val="20"/>
          <w:szCs w:val="20"/>
          <w:color w:val="auto"/>
        </w:rPr>
      </w:pPr>
      <w:r>
        <w:rPr>
          <w:rFonts w:ascii="Times New Roman" w:cs="Times New Roman" w:eastAsia="Times New Roman" w:hAnsi="Times New Roman"/>
          <w:sz w:val="18"/>
          <w:szCs w:val="18"/>
          <w:color w:val="auto"/>
        </w:rPr>
        <w:t>Prepaid research and development in our consolidated balance sheets includes, among other things, costs related to agreements with CRO’s, certain costs to third party service providers related to development and manufacturing services as well as clinical development. These agreements often require payments in advance of services performed or goods received. Accordingly, as of December 31, 2018 and December 31, 2017, we recorded approximately $9.7 million and $8.1 million, respectively, in prepaid research and development related to such advance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 Refer to Note 7 for further information for impact of tax reform.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right="140" w:firstLine="527"/>
        <w:spacing w:after="0" w:line="258" w:lineRule="auto"/>
        <w:rPr>
          <w:sz w:val="20"/>
          <w:szCs w:val="20"/>
          <w:color w:val="auto"/>
        </w:rPr>
      </w:pPr>
      <w:r>
        <w:rPr>
          <w:rFonts w:ascii="Times New Roman" w:cs="Times New Roman" w:eastAsia="Times New Roman" w:hAnsi="Times New Roman"/>
          <w:sz w:val="18"/>
          <w:szCs w:val="18"/>
          <w:color w:val="auto"/>
        </w:rPr>
        <w:t>We recognize all share-based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3" w:lineRule="exact"/>
        <w:rPr>
          <w:sz w:val="20"/>
          <w:szCs w:val="20"/>
          <w:color w:val="auto"/>
        </w:rPr>
      </w:pPr>
    </w:p>
    <w:p>
      <w:pPr>
        <w:ind w:right="60" w:firstLine="527"/>
        <w:spacing w:after="0" w:line="256" w:lineRule="auto"/>
        <w:rPr>
          <w:sz w:val="20"/>
          <w:szCs w:val="20"/>
          <w:color w:val="auto"/>
        </w:rPr>
      </w:pPr>
      <w:r>
        <w:rPr>
          <w:rFonts w:ascii="Times New Roman" w:cs="Times New Roman" w:eastAsia="Times New Roman" w:hAnsi="Times New Roman"/>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3" w:lineRule="exact"/>
        <w:rPr>
          <w:sz w:val="20"/>
          <w:szCs w:val="20"/>
          <w:color w:val="auto"/>
        </w:rPr>
      </w:pPr>
    </w:p>
    <w:p>
      <w:pPr>
        <w:ind w:right="100" w:firstLine="527"/>
        <w:spacing w:after="0" w:line="262" w:lineRule="auto"/>
        <w:rPr>
          <w:sz w:val="20"/>
          <w:szCs w:val="20"/>
          <w:color w:val="auto"/>
        </w:rPr>
      </w:pPr>
      <w:r>
        <w:rPr>
          <w:rFonts w:ascii="Times New Roman" w:cs="Times New Roman" w:eastAsia="Times New Roman" w:hAnsi="Times New Roman"/>
          <w:sz w:val="18"/>
          <w:szCs w:val="18"/>
          <w:color w:val="auto"/>
        </w:rPr>
        <w:t>In addition, because some of the restricted stock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6,528,932, 4,835,706 and 8,033,779 at December 31, 2018, 2017 and 2016, respectively. During the years ended December 31, 2018, 2017 and 2016 the Company incurred a net loss, therefore, all of the securities are antidilutive and excluded from the computation of diluted loss per share.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9"/>
                <w:szCs w:val="19"/>
                <w:color w:val="auto"/>
              </w:rPr>
            </w:pPr>
          </w:p>
        </w:tc>
      </w:tr>
      <w:tr>
        <w:trPr>
          <w:trHeight w:val="216"/>
        </w:trPr>
        <w:tc>
          <w:tcPr>
            <w:tcW w:w="6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4,595,689</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4,820,143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7,142,055</w:t>
            </w:r>
          </w:p>
        </w:tc>
        <w:tc>
          <w:tcPr>
            <w:tcW w:w="20" w:type="dxa"/>
            <w:vAlign w:val="bottom"/>
          </w:tcPr>
          <w:p>
            <w:pPr>
              <w:spacing w:after="0"/>
              <w:rPr>
                <w:sz w:val="18"/>
                <w:szCs w:val="18"/>
                <w:color w:val="auto"/>
              </w:rPr>
            </w:pPr>
          </w:p>
        </w:tc>
      </w:tr>
      <w:tr>
        <w:trPr>
          <w:trHeight w:val="216"/>
        </w:trPr>
        <w:tc>
          <w:tcPr>
            <w:tcW w:w="6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1,916,900</w:t>
            </w:r>
          </w:p>
        </w:tc>
        <w:tc>
          <w:tcPr>
            <w:tcW w:w="10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issuable upon note conversion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20" w:type="dxa"/>
            <w:vAlign w:val="bottom"/>
          </w:tcPr>
          <w:p>
            <w:pPr>
              <w:spacing w:after="0"/>
              <w:rPr>
                <w:sz w:val="18"/>
                <w:szCs w:val="18"/>
                <w:color w:val="auto"/>
              </w:rPr>
            </w:pPr>
          </w:p>
        </w:tc>
      </w:tr>
      <w:tr>
        <w:trPr>
          <w:trHeight w:val="22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876,912</w:t>
            </w:r>
          </w:p>
        </w:tc>
        <w:tc>
          <w:tcPr>
            <w:tcW w:w="20" w:type="dxa"/>
            <w:vAlign w:val="bottom"/>
          </w:tcPr>
          <w:p>
            <w:pPr>
              <w:spacing w:after="0"/>
              <w:rPr>
                <w:sz w:val="19"/>
                <w:szCs w:val="19"/>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6,528,932</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4,835,706</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8,033,779</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 AND GOODWILL</w:t>
      </w:r>
    </w:p>
    <w:p>
      <w:pPr>
        <w:spacing w:after="0" w:line="227" w:lineRule="exact"/>
        <w:rPr>
          <w:sz w:val="20"/>
          <w:szCs w:val="20"/>
          <w:color w:val="auto"/>
        </w:rPr>
      </w:pPr>
    </w:p>
    <w:p>
      <w:pPr>
        <w:ind w:right="80" w:firstLine="486"/>
        <w:spacing w:after="0" w:line="301" w:lineRule="auto"/>
        <w:rPr>
          <w:sz w:val="20"/>
          <w:szCs w:val="20"/>
          <w:color w:val="auto"/>
        </w:rPr>
      </w:pPr>
      <w:r>
        <w:rPr>
          <w:rFonts w:ascii="Times New Roman" w:cs="Times New Roman" w:eastAsia="Times New Roman" w:hAnsi="Times New Roman"/>
          <w:sz w:val="16"/>
          <w:szCs w:val="16"/>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 There was no impairment to goodwill as of December 31, 2018.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CASH EQUIVALENTS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cash and cash equivalents at December 31, 2018 and 2017:</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December 31, 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Checking and bank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investments as of December 31, 2018 and 2017 are classified as held-to-maturity. Held-to-maturity investments are recorded at amortized cost.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our investment securities at December 31, 2018 and 2017:</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00"/>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292"/>
              <w:spacing w:after="0" w:line="200" w:lineRule="exact"/>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17"/>
                <w:szCs w:val="17"/>
                <w:color w:val="auto"/>
              </w:rPr>
            </w:pPr>
          </w:p>
        </w:tc>
        <w:tc>
          <w:tcPr>
            <w:tcW w:w="1060" w:type="dxa"/>
            <w:vAlign w:val="bottom"/>
          </w:tcPr>
          <w:p>
            <w:pPr>
              <w:ind w:left="460"/>
              <w:spacing w:after="0" w:line="200"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Amortized cost,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44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9"/>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7"/>
              </w:rPr>
              <w:t>holding gains</w:t>
            </w:r>
          </w:p>
        </w:tc>
        <w:tc>
          <w:tcPr>
            <w:tcW w:w="440" w:type="dxa"/>
            <w:vAlign w:val="bottom"/>
          </w:tcPr>
          <w:p>
            <w:pPr>
              <w:spacing w:after="0"/>
              <w:rPr>
                <w:sz w:val="20"/>
                <w:szCs w:val="20"/>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3"/>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r>
      <w:tr>
        <w:trPr>
          <w:trHeight w:val="202"/>
        </w:trPr>
        <w:tc>
          <w:tcPr>
            <w:tcW w:w="4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Obligations of domestic governmental agencies (maturing</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between January 2019 and November 2019) (held-to-maturity)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5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260" w:type="dxa"/>
            <w:vAlign w:val="bottom"/>
          </w:tcPr>
          <w:p>
            <w:pPr>
              <w:spacing w:after="0"/>
              <w:rPr>
                <w:sz w:val="19"/>
                <w:szCs w:val="19"/>
                <w:color w:val="auto"/>
              </w:rPr>
            </w:pPr>
          </w:p>
        </w:tc>
      </w:tr>
      <w:tr>
        <w:trPr>
          <w:trHeight w:val="28"/>
        </w:trPr>
        <w:tc>
          <w:tcPr>
            <w:tcW w:w="4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investment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260" w:type="dxa"/>
            <w:vAlign w:val="bottom"/>
            <w:tcBorders>
              <w:left w:val="single" w:sz="8" w:color="CCEEFF"/>
            </w:tcBorders>
            <w:shd w:val="clear" w:color="auto" w:fill="CCEEFF"/>
          </w:tcPr>
          <w:p>
            <w:pPr>
              <w:spacing w:after="0"/>
              <w:rPr>
                <w:sz w:val="20"/>
                <w:szCs w:val="20"/>
                <w:color w:val="auto"/>
              </w:rPr>
            </w:pPr>
          </w:p>
        </w:tc>
      </w:tr>
      <w:tr>
        <w:trPr>
          <w:trHeight w:val="20"/>
        </w:trPr>
        <w:tc>
          <w:tcPr>
            <w:tcW w:w="4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460"/>
        </w:trPr>
        <w:tc>
          <w:tcPr>
            <w:tcW w:w="4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00"/>
        </w:trPr>
        <w:tc>
          <w:tcPr>
            <w:tcW w:w="4760" w:type="dxa"/>
            <w:vAlign w:val="bottom"/>
          </w:tcPr>
          <w:p>
            <w:pPr>
              <w:spacing w:after="0"/>
              <w:rPr>
                <w:sz w:val="17"/>
                <w:szCs w:val="17"/>
                <w:color w:val="auto"/>
              </w:rPr>
            </w:pPr>
          </w:p>
        </w:tc>
        <w:tc>
          <w:tcPr>
            <w:tcW w:w="12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rPr>
              <w:t>Amortized cost,</w:t>
            </w:r>
          </w:p>
        </w:tc>
        <w:tc>
          <w:tcPr>
            <w:tcW w:w="440" w:type="dxa"/>
            <w:vAlign w:val="bottom"/>
          </w:tcPr>
          <w:p>
            <w:pPr>
              <w:spacing w:after="0"/>
              <w:rPr>
                <w:sz w:val="17"/>
                <w:szCs w:val="17"/>
                <w:color w:val="auto"/>
              </w:rPr>
            </w:pPr>
          </w:p>
        </w:tc>
        <w:tc>
          <w:tcPr>
            <w:tcW w:w="12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b w:val="1"/>
                <w:bCs w:val="1"/>
                <w:color w:val="auto"/>
                <w:w w:val="96"/>
              </w:rPr>
              <w:t>Gross unrealized</w:t>
            </w:r>
          </w:p>
        </w:tc>
        <w:tc>
          <w:tcPr>
            <w:tcW w:w="1920" w:type="dxa"/>
            <w:vAlign w:val="bottom"/>
            <w:gridSpan w:val="4"/>
          </w:tcPr>
          <w:p>
            <w:pPr>
              <w:ind w:left="440"/>
              <w:spacing w:after="0" w:line="20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2"/>
              <w:spacing w:after="0" w:line="200" w:lineRule="exact"/>
              <w:rPr>
                <w:sz w:val="20"/>
                <w:szCs w:val="20"/>
                <w:color w:val="auto"/>
              </w:rPr>
            </w:pPr>
            <w:r>
              <w:rPr>
                <w:rFonts w:ascii="Times New Roman" w:cs="Times New Roman" w:eastAsia="Times New Roman" w:hAnsi="Times New Roman"/>
                <w:sz w:val="18"/>
                <w:szCs w:val="18"/>
                <w:b w:val="1"/>
                <w:bCs w:val="1"/>
                <w:color w:val="auto"/>
                <w:w w:val="97"/>
              </w:rPr>
              <w:t>Estimated fair</w:t>
            </w:r>
          </w:p>
        </w:tc>
        <w:tc>
          <w:tcPr>
            <w:tcW w:w="260" w:type="dxa"/>
            <w:vAlign w:val="bottom"/>
          </w:tcPr>
          <w:p>
            <w:pPr>
              <w:spacing w:after="0"/>
              <w:rPr>
                <w:sz w:val="17"/>
                <w:szCs w:val="17"/>
                <w:color w:val="auto"/>
              </w:rPr>
            </w:pPr>
          </w:p>
        </w:tc>
      </w:tr>
      <w:tr>
        <w:trPr>
          <w:trHeight w:val="239"/>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440" w:type="dxa"/>
            <w:vAlign w:val="bottom"/>
          </w:tcPr>
          <w:p>
            <w:pPr>
              <w:spacing w:after="0"/>
              <w:rPr>
                <w:sz w:val="20"/>
                <w:szCs w:val="20"/>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r>
      <w:tr>
        <w:trPr>
          <w:trHeight w:val="202"/>
        </w:trPr>
        <w:tc>
          <w:tcPr>
            <w:tcW w:w="4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Obligations of domestic governmental agencies (maturing</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between January 2018 and November 2018) (held-to-maturity)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27,999</w:t>
            </w:r>
          </w:p>
        </w:tc>
        <w:tc>
          <w:tcPr>
            <w:tcW w:w="5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260" w:type="dxa"/>
            <w:vAlign w:val="bottom"/>
          </w:tcPr>
          <w:p>
            <w:pPr>
              <w:spacing w:after="0"/>
              <w:rPr>
                <w:sz w:val="19"/>
                <w:szCs w:val="19"/>
                <w:color w:val="auto"/>
              </w:rPr>
            </w:pPr>
          </w:p>
        </w:tc>
      </w:tr>
      <w:tr>
        <w:trPr>
          <w:trHeight w:val="28"/>
        </w:trPr>
        <w:tc>
          <w:tcPr>
            <w:tcW w:w="4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investment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w:t>
            </w:r>
          </w:p>
        </w:tc>
        <w:tc>
          <w:tcPr>
            <w:tcW w:w="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260" w:type="dxa"/>
            <w:vAlign w:val="bottom"/>
            <w:tcBorders>
              <w:left w:val="single" w:sz="8" w:color="CCEEFF"/>
            </w:tcBorders>
            <w:shd w:val="clear" w:color="auto" w:fill="CCEEFF"/>
          </w:tcPr>
          <w:p>
            <w:pPr>
              <w:spacing w:after="0"/>
              <w:rPr>
                <w:sz w:val="20"/>
                <w:szCs w:val="20"/>
                <w:color w:val="auto"/>
              </w:rPr>
            </w:pPr>
          </w:p>
        </w:tc>
      </w:tr>
      <w:tr>
        <w:trPr>
          <w:trHeight w:val="20"/>
        </w:trPr>
        <w:tc>
          <w:tcPr>
            <w:tcW w:w="4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7"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213" w:lineRule="exact"/>
        <w:rPr>
          <w:sz w:val="20"/>
          <w:szCs w:val="20"/>
          <w:color w:val="auto"/>
        </w:rPr>
      </w:pPr>
    </w:p>
    <w:p>
      <w:pPr>
        <w:ind w:left="160" w:hanging="152"/>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quoted prices that are directly or indirectly observable; and</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3" w:lineRule="exact"/>
        <w:rPr>
          <w:sz w:val="20"/>
          <w:szCs w:val="20"/>
          <w:color w:val="auto"/>
        </w:rPr>
      </w:pPr>
    </w:p>
    <w:p>
      <w:pPr>
        <w:ind w:right="540" w:firstLine="648"/>
        <w:spacing w:after="0" w:line="275" w:lineRule="auto"/>
        <w:rPr>
          <w:sz w:val="20"/>
          <w:szCs w:val="20"/>
          <w:color w:val="auto"/>
        </w:rPr>
      </w:pPr>
      <w:r>
        <w:rPr>
          <w:rFonts w:ascii="Times New Roman" w:cs="Times New Roman" w:eastAsia="Times New Roman" w:hAnsi="Times New Roman"/>
          <w:sz w:val="18"/>
          <w:szCs w:val="18"/>
          <w:color w:val="auto"/>
        </w:rPr>
        <w:t>As of December 31, 2018 and 2017, the fair values of cash and cash equivalents, restricted cash, and notes and interest payable approximate their carrying value.</w:t>
      </w:r>
    </w:p>
    <w:p>
      <w:pPr>
        <w:spacing w:after="0" w:line="174"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right="520" w:firstLine="648"/>
        <w:spacing w:after="0" w:line="275" w:lineRule="auto"/>
        <w:rPr>
          <w:sz w:val="20"/>
          <w:szCs w:val="20"/>
          <w:color w:val="auto"/>
        </w:rPr>
      </w:pPr>
      <w:r>
        <w:rPr>
          <w:rFonts w:ascii="Times New Roman" w:cs="Times New Roman" w:eastAsia="Times New Roman" w:hAnsi="Times New Roman"/>
          <w:sz w:val="18"/>
          <w:szCs w:val="18"/>
          <w:color w:val="auto"/>
        </w:rPr>
        <w:t>The cumulative liability including accrued and unpaid interest of the 5% Notes was approximately $18.4 million at December 31, 2018 and $17.5 million at December 31, 2017. No payments have been made on the 5% Notes as of December 31, 2018.</w:t>
      </w:r>
    </w:p>
    <w:p>
      <w:pPr>
        <w:spacing w:after="0" w:line="174" w:lineRule="exact"/>
        <w:rPr>
          <w:sz w:val="20"/>
          <w:szCs w:val="20"/>
          <w:color w:val="auto"/>
        </w:rPr>
      </w:pPr>
    </w:p>
    <w:p>
      <w:pPr>
        <w:ind w:right="560" w:firstLine="648"/>
        <w:spacing w:after="0" w:line="275" w:lineRule="auto"/>
        <w:rPr>
          <w:sz w:val="20"/>
          <w:szCs w:val="20"/>
          <w:color w:val="auto"/>
        </w:rPr>
      </w:pPr>
      <w:r>
        <w:rPr>
          <w:rFonts w:ascii="Times New Roman" w:cs="Times New Roman" w:eastAsia="Times New Roman" w:hAnsi="Times New Roman"/>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7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December 31, 2018 and 2017.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the fair value measurements of applicable financial liabilities as of December 31, 2018 and 2017:</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140" w:type="dxa"/>
            <w:vAlign w:val="bottom"/>
            <w:tcBorders>
              <w:bottom w:val="single" w:sz="8" w:color="auto"/>
            </w:tcBorders>
            <w:gridSpan w:val="11"/>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as of December 31, 2018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5% Notes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140" w:type="dxa"/>
            <w:vAlign w:val="bottom"/>
            <w:tcBorders>
              <w:bottom w:val="single" w:sz="8" w:color="auto"/>
            </w:tcBorders>
            <w:gridSpan w:val="11"/>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as of December 31, 2017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5% Notes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080" w:type="dxa"/>
            <w:vAlign w:val="bottom"/>
            <w:gridSpan w:val="2"/>
          </w:tcPr>
          <w:p>
            <w:pPr>
              <w:jc w:val="right"/>
              <w:ind w:right="2560"/>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080" w:type="dxa"/>
            <w:vAlign w:val="bottom"/>
            <w:gridSpan w:val="2"/>
          </w:tcPr>
          <w:p>
            <w:pPr>
              <w:jc w:val="right"/>
              <w:ind w:right="2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changes in Level 3 instruments for the years ended December 31, 2017 and 2018:</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2017</w:t>
            </w:r>
          </w:p>
        </w:tc>
        <w:tc>
          <w:tcPr>
            <w:tcW w:w="6080" w:type="dxa"/>
            <w:vAlign w:val="bottom"/>
            <w:gridSpan w:val="2"/>
            <w:shd w:val="clear" w:color="auto" w:fill="CCEEFF"/>
          </w:tcPr>
          <w:p>
            <w:pPr>
              <w:jc w:val="right"/>
              <w:ind w:right="18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accrued on face value of 5% Notes</w:t>
            </w:r>
          </w:p>
        </w:tc>
        <w:tc>
          <w:tcPr>
            <w:tcW w:w="4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5% Notes</w:t>
            </w:r>
          </w:p>
        </w:tc>
        <w:tc>
          <w:tcPr>
            <w:tcW w:w="4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Level 3 liabilities</w:t>
            </w:r>
          </w:p>
        </w:tc>
        <w:tc>
          <w:tcPr>
            <w:tcW w:w="4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4180" w:type="dxa"/>
            <w:vAlign w:val="bottom"/>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accrued on face value of 5% Notes</w:t>
            </w:r>
          </w:p>
        </w:tc>
        <w:tc>
          <w:tcPr>
            <w:tcW w:w="4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5% Notes</w:t>
            </w:r>
          </w:p>
        </w:tc>
        <w:tc>
          <w:tcPr>
            <w:tcW w:w="4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Level 3 liabilities</w:t>
            </w:r>
          </w:p>
        </w:tc>
        <w:tc>
          <w:tcPr>
            <w:tcW w:w="4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6080" w:type="dxa"/>
            <w:vAlign w:val="bottom"/>
            <w:gridSpan w:val="2"/>
            <w:shd w:val="clear" w:color="auto" w:fill="CCEEFF"/>
          </w:tcPr>
          <w:p>
            <w:pPr>
              <w:jc w:val="right"/>
              <w:ind w:right="18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change in the fair value of the Level 3 liabilities is reported in other (income) expense in the accompanying consolidated statements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Rights Plan</w:t>
      </w:r>
    </w:p>
    <w:p>
      <w:pPr>
        <w:spacing w:after="0" w:line="229" w:lineRule="exact"/>
        <w:rPr>
          <w:sz w:val="20"/>
          <w:szCs w:val="20"/>
          <w:color w:val="auto"/>
        </w:rPr>
      </w:pPr>
    </w:p>
    <w:p>
      <w:pPr>
        <w:ind w:right="120" w:firstLine="648"/>
        <w:spacing w:after="0" w:line="275" w:lineRule="auto"/>
        <w:rPr>
          <w:sz w:val="20"/>
          <w:szCs w:val="20"/>
          <w:color w:val="auto"/>
        </w:rPr>
      </w:pPr>
      <w:r>
        <w:rPr>
          <w:rFonts w:ascii="Times New Roman" w:cs="Times New Roman" w:eastAsia="Times New Roman" w:hAnsi="Times New Roman"/>
          <w:sz w:val="18"/>
          <w:szCs w:val="18"/>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174"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197" w:lineRule="exact"/>
        <w:rPr>
          <w:sz w:val="20"/>
          <w:szCs w:val="20"/>
          <w:color w:val="auto"/>
        </w:rPr>
      </w:pPr>
    </w:p>
    <w:p>
      <w:pPr>
        <w:jc w:val="both"/>
        <w:ind w:right="140" w:firstLine="648"/>
        <w:spacing w:after="0" w:line="256" w:lineRule="auto"/>
        <w:rPr>
          <w:sz w:val="20"/>
          <w:szCs w:val="20"/>
          <w:color w:val="auto"/>
        </w:rPr>
      </w:pPr>
      <w:r>
        <w:rPr>
          <w:rFonts w:ascii="Times New Roman" w:cs="Times New Roman" w:eastAsia="Times New Roman" w:hAnsi="Times New Roman"/>
          <w:sz w:val="18"/>
          <w:szCs w:val="18"/>
          <w:color w:val="auto"/>
        </w:rPr>
        <w:t>If a Person becomes an Acquiring Person, all holders of Rights, except the Acquiring Person, may purchase at the Right’s then-current exercise price, common stock having a market value equal to twice the exercise price. Moreover, at any time after a Person becomes an Acquiring Person (unless such Person acquires 50 percent or more of our common stock then outstanding, as more fully described in the Rights Agreement), the Board of Directors may exchange all (but not less than all) of the then outstanding Rights (other than rights owned by such Person, which would have become void) for shares of common stock at an exchange ratio of one share of common stock per Right, appropriately adjusted in order to protect the interests of holders of Rights.</w:t>
      </w:r>
    </w:p>
    <w:p>
      <w:pPr>
        <w:spacing w:after="0" w:line="193" w:lineRule="exact"/>
        <w:rPr>
          <w:sz w:val="20"/>
          <w:szCs w:val="20"/>
          <w:color w:val="auto"/>
        </w:rPr>
      </w:pPr>
    </w:p>
    <w:p>
      <w:pPr>
        <w:ind w:right="720" w:firstLine="648"/>
        <w:spacing w:after="0" w:line="275" w:lineRule="auto"/>
        <w:rPr>
          <w:sz w:val="20"/>
          <w:szCs w:val="20"/>
          <w:color w:val="auto"/>
        </w:rPr>
      </w:pPr>
      <w:r>
        <w:rPr>
          <w:rFonts w:ascii="Times New Roman" w:cs="Times New Roman" w:eastAsia="Times New Roman" w:hAnsi="Times New Roman"/>
          <w:sz w:val="18"/>
          <w:szCs w:val="18"/>
          <w:color w:val="auto"/>
        </w:rPr>
        <w:t>The Rights Agreement was approved by our Board of Directors on July 18, 2014. The Rights will expire at the close of business on its ten year anniversary, unless earlier exchanged or terminated by us.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3" w:name="page94"/>
    <w:bookmarkEnd w:id="93"/>
    <w:p>
      <w:pPr>
        <w:ind w:left="4260"/>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150,000,000 shares of $0.001 par value common stock.</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(“MLV”) (the "2015 ATM") such that we may issue and sell additional shares of our common stock, having an aggregate offering price of up to $175.0 million, from time to time through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9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2017, we sold a total of 3,104,253 shares of common stock under the 2015 ATM for aggregate total gross proceeds of approximately $31.6 million at an average selling price of $10.18 per share, resulting in net proceeds of approximately $31.0 million after deducting commissions and other transaction costs. During the year ended December 31, 2016, we sold a total of 570,366 shares of common stock under the 2015 ATM for aggregate total gross proceeds of approximately $4.5 million at an average selling price of $7.88 per share, resulting in net proceeds of approximately $4.4 million after deducting commissions and other transaction costs.</w:t>
      </w:r>
    </w:p>
    <w:p>
      <w:pPr>
        <w:spacing w:after="0" w:line="19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In March 2017, we completed an underwritten public offering of 5,128,206 shares of our common stock (plus a 30-day underwriter overallotment option to purchase up to an additional 769,230 shares of common stock, which was exercised) at a price of $9.75 per share. Net proceeds from this offering, including the overallotment option, were approximately $54 million, net of underwriting discounts and offering expenses of approximately $3.6 million.</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3"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2017, we sold a total of 4,689,418 shares of common stock under the 2017 ATM for aggregate total gross proceeds of approximately $47.7 million at an average selling price of $10.18 per share, resulting in net proceeds of approximately $46.9 million after deducting commissions and other transactions costs.</w:t>
      </w:r>
    </w:p>
    <w:p>
      <w:pPr>
        <w:spacing w:after="0" w:line="186"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2018, we sold a total of 9,025,222 shares of common stock under the 2017 ATM for aggregate total gross proceeds of approximately $115.8 million at an average selling price of $12.83 per share, resulting in net proceeds of approximately $113.7 million after deducting commissions and other transactions costs.</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2017 S-3 is currently our only active shelf registration statement. After deducting shares already sold, there is approximately $136.5 million of common stock that remains available for sale under the 2017 S-3 at December 31, 2018. We may offer the securities under the 2017 S-3 from time to time in response to market conditions or other circumstances if we believe such a plan of financing is in the best interests of our stockholders. We believe that the 2017 S-3 provides us with the flexibility to raise additional capital to finance our operations as needed.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right="240" w:firstLine="648"/>
        <w:spacing w:after="0" w:line="275" w:lineRule="auto"/>
        <w:rPr>
          <w:sz w:val="20"/>
          <w:szCs w:val="20"/>
          <w:color w:val="auto"/>
        </w:rPr>
      </w:pPr>
      <w:r>
        <w:rPr>
          <w:rFonts w:ascii="Times New Roman" w:cs="Times New Roman" w:eastAsia="Times New Roman" w:hAnsi="Times New Roman"/>
          <w:sz w:val="18"/>
          <w:szCs w:val="18"/>
          <w:color w:val="auto"/>
        </w:rPr>
        <w:t>As of December 31, 2018 and 2017, 41,309 shares of common stock are being held in Treasury, at a cost of approximately $234,000, representing the fair market value on the date the shares were surrendered to the Company to satisfy employee tax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ind w:right="40" w:firstLine="689"/>
        <w:spacing w:after="0" w:line="262"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(“2012 Incentive Plan”) was approved by stockholders in June 2018. Pursuant to this amendment, 6,000,000 shares were added to the 2012 Incentive Plan. As of December 31, 2018 and 2017, 1,916,900 and zero options, respectively, were outstanding and up to an additional 3,216,213 shares may be issued under the 2012 Incentive Plan.</w:t>
      </w:r>
    </w:p>
    <w:p>
      <w:pPr>
        <w:spacing w:after="0" w:line="18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Effective as of January 1, 2017, we entered into an amendment (the “Amendment”) to the employment agreement entered into as of December 15, 2011 (together with the Amendment, the “Employment Agreement”) with Michael S. Weiss, our Executive Chairman and Chief Executive Officer and President.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The estimated fair value of the options granted in the year ended December 31, 2018 was determined utilizing the Black-Scholes option-pricing model at the date of grant. The following table summarizes stock option activity for the years ended December 31, 2018 (there were no stock options granted during the years ended December 31, 2017 and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4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Contractual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4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44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40" w:type="dxa"/>
            <w:vAlign w:val="bottom"/>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1,916,900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1,916,900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As of December 31, 2018, the stock options outstanding include options granted to both employees and non-employees which are both time-based and milestone-based that vest upon certain corporate milestones. Stock-based compensation will be recorded if and when a milestone occurs. No expense was recognized during the year ended December 31, 2018 for these stock options.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fair value of the Company's option awards were estimated using the assumptions below:</w:t>
            </w:r>
          </w:p>
        </w:tc>
        <w:tc>
          <w:tcPr>
            <w:tcW w:w="312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1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192.76-296.71</w:t>
            </w: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1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5.0-6.25</w:t>
            </w: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1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2.49-2.56%</w:t>
            </w:r>
          </w:p>
        </w:tc>
      </w:tr>
      <w:tr>
        <w:trPr>
          <w:trHeight w:val="228"/>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1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w:t>
      </w:r>
    </w:p>
    <w:p>
      <w:pPr>
        <w:spacing w:after="0" w:line="225" w:lineRule="exact"/>
        <w:rPr>
          <w:sz w:val="20"/>
          <w:szCs w:val="20"/>
          <w:color w:val="auto"/>
        </w:rPr>
      </w:pPr>
    </w:p>
    <w:p>
      <w:pPr>
        <w:ind w:right="460" w:firstLine="648"/>
        <w:spacing w:after="0" w:line="275" w:lineRule="auto"/>
        <w:rPr>
          <w:sz w:val="20"/>
          <w:szCs w:val="20"/>
          <w:color w:val="auto"/>
        </w:rPr>
      </w:pPr>
      <w:r>
        <w:rPr>
          <w:rFonts w:ascii="Times New Roman" w:cs="Times New Roman" w:eastAsia="Times New Roman" w:hAnsi="Times New Roman"/>
          <w:sz w:val="18"/>
          <w:szCs w:val="18"/>
          <w:color w:val="auto"/>
        </w:rPr>
        <w:t>Certain employees, directors and consultants have been awarded restricted stock. The restricted stock vesting consists of milestone and time-based vesting. The following table summarizes restricted share activity for the years ended December 31, 2018, 2017 and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9"/>
        </w:trPr>
        <w:tc>
          <w:tcPr>
            <w:tcW w:w="2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Grant Date Fair Value</w:t>
            </w:r>
          </w:p>
        </w:tc>
        <w:tc>
          <w:tcPr>
            <w:tcW w:w="3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7,359,915</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1,924,639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(595,726)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3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(46,773)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8,642,055</w:t>
            </w: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(4,103,048)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(53,875)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6,321,643</w:t>
            </w: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(1,596,966)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3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(191,196)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6,095,692</w:t>
            </w: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Total compensation expense associated with restricted stock grants was $12.9 million, $15.9 million and $7.5 million during the years ended December 31, 2018, 2017 and 2016, respectively. As of December 31, 2018, there was approximately $7.6 million of total unrecognized compensation expense related to unvested time-based restricted stock, which is expected to be recognized over a weighted-average period of 1 year. This amount does not include, as of December 31, 2018, 1,128,011 shares of restricted stock outstanding which are milestone-based and vest upon certain corporate milestones; and 2,103,750 shares of restricted stock outstanding issued to non-employees. Milestone-based non cash compensation expense will be measured and recorded if and when a milestone becomes probable. The expense for non-employee shares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years ended December 31, 2018,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r>
      <w:tr>
        <w:trPr>
          <w:trHeight w:val="239"/>
        </w:trPr>
        <w:tc>
          <w:tcPr>
            <w:tcW w:w="20" w:type="dxa"/>
            <w:vAlign w:val="bottom"/>
          </w:tcPr>
          <w:p>
            <w:pPr>
              <w:spacing w:after="0"/>
              <w:rPr>
                <w:sz w:val="20"/>
                <w:szCs w:val="20"/>
                <w:color w:val="auto"/>
              </w:rPr>
            </w:pPr>
          </w:p>
        </w:tc>
        <w:tc>
          <w:tcPr>
            <w:tcW w:w="47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1,186,749</w:t>
            </w:r>
          </w:p>
        </w:tc>
        <w:tc>
          <w:tcPr>
            <w:tcW w:w="30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11,341,452</w:t>
            </w:r>
          </w:p>
        </w:tc>
        <w:tc>
          <w:tcPr>
            <w:tcW w:w="3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(273,370)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5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913,379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1,961,403</w:t>
            </w:r>
          </w:p>
        </w:tc>
        <w:tc>
          <w:tcPr>
            <w:tcW w:w="3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(887,585)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(25,794)</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warrant activity during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LIABILITIES AND NOTES PAYABLE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notes payable and long term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left w:val="single" w:sz="8" w:color="CCEEFF"/>
              <w:bottom w:val="single" w:sz="8" w:color="auto"/>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2018</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left w:val="single" w:sz="8" w:color="CCEEFF"/>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left w:val="single" w:sz="8" w:color="CCEEFF"/>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2017</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18"/>
                <w:szCs w:val="18"/>
                <w:b w:val="1"/>
                <w:bCs w:val="1"/>
                <w:color w:val="auto"/>
              </w:rPr>
              <w:t>Non-</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18"/>
                <w:szCs w:val="18"/>
                <w:b w:val="1"/>
                <w:bCs w:val="1"/>
                <w:color w:val="auto"/>
              </w:rPr>
              <w:t>Non-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current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current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portion,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portion,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7"/>
              </w:rPr>
              <w:t>portion,</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portion,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net</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5% Notes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20" w:type="dxa"/>
            <w:vAlign w:val="bottom"/>
          </w:tcPr>
          <w:p>
            <w:pPr>
              <w:spacing w:after="0"/>
              <w:rPr>
                <w:sz w:val="18"/>
                <w:szCs w:val="18"/>
                <w:color w:val="auto"/>
              </w:rPr>
            </w:pPr>
          </w:p>
        </w:tc>
        <w:tc>
          <w:tcPr>
            <w:tcW w:w="68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5% Notes Payable</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90"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18"/>
          <w:szCs w:val="18"/>
          <w:color w:val="auto"/>
        </w:rPr>
        <w:t>The cumulative liability including accrued and unpaid interest of these notes was approximately $18.4 million at December 31, 2018 and $17.5 million at December 31, 2017. No payments have been made on the 5% Notes as of December 31, 2018.</w:t>
      </w:r>
    </w:p>
    <w:p>
      <w:pPr>
        <w:spacing w:after="0" w:line="174" w:lineRule="exact"/>
        <w:rPr>
          <w:sz w:val="20"/>
          <w:szCs w:val="20"/>
          <w:color w:val="auto"/>
        </w:rPr>
      </w:pPr>
    </w:p>
    <w:p>
      <w:pPr>
        <w:ind w:right="560" w:firstLine="648"/>
        <w:spacing w:after="0" w:line="275" w:lineRule="auto"/>
        <w:rPr>
          <w:sz w:val="20"/>
          <w:szCs w:val="20"/>
          <w:color w:val="auto"/>
        </w:rPr>
      </w:pPr>
      <w:r>
        <w:rPr>
          <w:rFonts w:ascii="Times New Roman" w:cs="Times New Roman" w:eastAsia="Times New Roman" w:hAnsi="Times New Roman"/>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Liabilities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2018, we entered into an agreement with a contract manufacturer for the clinical and potential commercial supply of one of our product candidates. As part of this agreement, the contract manufacturer has agreed to defer payment of certain costs and expenses under the agreement in exchange for the payment of an administrative fee. As of December 31, 2018, we have incurred costs related to this agreement of approximately $18.4 million, which includes both service fees and raw material costs. All costs incurred in 2018 are to be invoiced in 2019 and are due in 2020. We will incur an administrative fee of six percent (6%) per year starting from the date of invoice issuance. No payments have been made to the contract manufacturer as of December 31, 2018 and accordingly the entire amount has been classified as long-term liabilities included in our consolidated balance sheet.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$142,947,000 and $99,713,000 as of December 31, 2018 and 2017, respectively.</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22, 2017, H.R.1, commonly known as the Tax Cuts and Jobs Act (the “Act”) was signed into law. Among other things, the Act reduced our corporate federal tax rate from 34% to 21% effective January 1, 2018. As a result, we were required to re-measure, through income tax expense, our deferred tax assets and liabilities using the enacted rate at which we expect them to be recovered or settled. The re-measurement of our net deferred tax asset would have resulted in additional income tax expense of $51,767,584 as of December 31, 2017; however, with full valuation allowance in place, the expense was reversed through a corresponding adjustment to the valuation allowance, resulting in no impact on income tax expense.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7" w:name="page98"/>
    <w:bookmarkEnd w:id="97"/>
    <w:p>
      <w:pPr>
        <w:ind w:left="4300"/>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2018, we have U.S. net operating loss carryforwards (“NOLs”) of approximately $550,619,000 and research and development credit carryforwards (“R&amp;D credits”) of approximately $15,217,000. For income tax purposes, these NOLs and R&amp;D credits will expire in various amounts through 2037. NOLs generated after 2017 do not expire. The Tax Reform Act of 1986 contains provisions which limit the ability to utilize net operating loss carryforwards and R&amp;D credit carryforwards in the case of certain events including significant changes in ownership interests. The Exchange Transaction with TG Bio may have resulted in a “change in ownership” as defined by IRC Section 382 of the Internal Revenue Code of 1986, as amended. Additionally, stock issuance activities may have resulted in a “change in ownership” as defined by IRC Section 382 of the Internal Revenue Code of 1986, as amended. Accordingly, a substantial portion of the Company’s NOLs above may be subject to annual limitations in reducing any future year’s taxable income, and a substantial portion of the R&amp;D Credit carryforwards may be subject to annual limitations in reducing any future year’s tax.</w:t>
      </w:r>
    </w:p>
    <w:p>
      <w:pPr>
        <w:spacing w:after="0" w:line="219"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December 31, 2018 and 2017 are presented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5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2018</w:t>
            </w: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540" w:type="dxa"/>
            <w:vAlign w:val="bottom"/>
            <w:gridSpan w:val="2"/>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122,678</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15,217</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4,394</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excluding valuation allowance</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142,947</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99,713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(142,947)</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There was no current or deferred income tax expense for the years ended December 31, 2018, 2017 and 2016. Income tax expense differed from amounts computed by applying the US Federal income tax rate of 21% for the year ending December 31, 2018 and 34% for the years ending December 31, 2017 and 2016 to pretax loss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as reported in the consolidated statements of operations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(173,482)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(118,476)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(78,253)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(36,431)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(40,282)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Expected benefit from state and local taxes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(3,697)</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1,563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awards</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8,213</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Enactment of federal tax reform</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51,768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the balance of the valuation allowance for deferred tax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(16,459)</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02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2015. However, NOLs and tax credits generated from those prior years could still be adjusted upon audit.</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Company would recognize interest and penalties, if any, related to uncertain tax position in income tax expense in the statement of operations. There was no accrual for interest and penalties related to uncertain tax positions for 2018. We do not believe that there will be a material change in our unrecognized tax positions over the next twelve months. All of the unrecognized tax benefits, if recognized, would be offset by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LICENSE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BET</w:t>
      </w:r>
    </w:p>
    <w:p>
      <w:pPr>
        <w:spacing w:after="0" w:line="229"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In May 2016, as part of a broader agreement with Jubilant Biosys (“Jubilant”), an India-based biotechnology company, we entered into a sub-license agreement (“JBET Agreement”) with Checkpoint Therapeutics, Inc. (“Checkpoint”) (see Note 9), for the development and commercialization of Jubilant’s novel BET inhibitor program in the field of hematological malignancies.</w:t>
      </w:r>
    </w:p>
    <w:p>
      <w:pPr>
        <w:spacing w:after="0" w:line="213"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TGR-1202 (Umbralisib)</w:t>
      </w:r>
    </w:p>
    <w:p>
      <w:pPr>
        <w:spacing w:after="0" w:line="229" w:lineRule="exact"/>
        <w:rPr>
          <w:sz w:val="20"/>
          <w:szCs w:val="20"/>
          <w:color w:val="auto"/>
        </w:rPr>
      </w:pPr>
    </w:p>
    <w:p>
      <w:pPr>
        <w:jc w:val="both"/>
        <w:ind w:right="160" w:firstLine="648"/>
        <w:spacing w:after="0" w:line="262" w:lineRule="auto"/>
        <w:rPr>
          <w:sz w:val="20"/>
          <w:szCs w:val="20"/>
          <w:color w:val="auto"/>
        </w:rPr>
      </w:pPr>
      <w:r>
        <w:rPr>
          <w:rFonts w:ascii="Times New Roman" w:cs="Times New Roman" w:eastAsia="Times New Roman" w:hAnsi="Times New Roman"/>
          <w:sz w:val="18"/>
          <w:szCs w:val="18"/>
          <w:color w:val="auto"/>
        </w:rPr>
        <w:t>On September 22, 2014, we exercised our option to license the global rights to umbralisib, thereby entering into an exclusive licensing agreement (the “TGR-1202 License”) with Rhizen Pharmaceuticals, SA (“Rhizen”) for the development and commercialization of umbralisib. Prior to this, we had been jointly developing umbralisib in a 50:50 joint venture with Rhizen.</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TGR-1202 License, Rhizen received a $4.0 million cash payment and 371,530 shares of our common stock as an upfront license fee. With respect to umbralisib, Rhizen will be eligible to receive regulatory filing, approval and sales-based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will be entitled to tiered royalties on our future net sales of umbralisib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TG-1101 (Ublituximab)</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9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$152,000 for each of the years ended December 31, 2018, 2017 and 2016, and, at December 31, 2018, 2017 and 2016, have deferred revenue of approximately $1.1 million, $1.2 million and $1.4 million, respectively, associated with this $2 million payment (approximately $152,000 of which has been classified in current liabilities at December 31, 2018).</w:t>
      </w:r>
    </w:p>
    <w:p>
      <w:pPr>
        <w:spacing w:after="0" w:line="19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TG-1701: BTK</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In January 2018, we entered into a global exclusive license agreement with Jiangsu Hengrui Medicine Co. (“Hengrui”), to acquire worldwide intellectual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rights, excluding Asia but including Japan, and for the research, development, manufacturing, and commercialization of products containing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comprising of any of Hengrui’s Bruton’s Tyrosine Kinase inhibitors containing the compounds of either TG-1701 (SHR1459 or EBI1459) or TG1702 (SHR1266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EBI1266). Pursuant to the agreement, in April 2018, we paid Jiangsu an upfront fee of $1.0 million in our common stock recorded to non-cash stock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in-licensing agreements in our consolidated statement of operations. Jiangsu is eligible to receive milestone payments totaling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$350 million upon and subject to the achievement of certain milestones. Various provisions allow for payments in conjunction with the agreement to be made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or our common stock, while others limit the form of payment. Royalty payments in the low double digits are due on net sales of licensed products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sublicenses.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TG-1801: anti-CD47/anti-CD19</w:t>
      </w:r>
    </w:p>
    <w:p>
      <w:pPr>
        <w:spacing w:after="0" w:line="227" w:lineRule="exact"/>
        <w:rPr>
          <w:sz w:val="20"/>
          <w:szCs w:val="20"/>
          <w:color w:val="auto"/>
        </w:rPr>
      </w:pPr>
    </w:p>
    <w:p>
      <w:pPr>
        <w:ind w:right="140" w:firstLine="527"/>
        <w:spacing w:after="0" w:line="253" w:lineRule="auto"/>
        <w:rPr>
          <w:sz w:val="20"/>
          <w:szCs w:val="20"/>
          <w:color w:val="auto"/>
        </w:rPr>
      </w:pPr>
      <w:r>
        <w:rPr>
          <w:rFonts w:ascii="Times New Roman" w:cs="Times New Roman" w:eastAsia="Times New Roman" w:hAnsi="Times New Roman"/>
          <w:sz w:val="18"/>
          <w:szCs w:val="18"/>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LFB Biotechnologies</w:t>
      </w:r>
    </w:p>
    <w:p>
      <w:pPr>
        <w:spacing w:after="0" w:line="229" w:lineRule="exact"/>
        <w:rPr>
          <w:sz w:val="20"/>
          <w:szCs w:val="20"/>
          <w:color w:val="auto"/>
        </w:rPr>
      </w:pPr>
    </w:p>
    <w:p>
      <w:pPr>
        <w:jc w:val="both"/>
        <w:ind w:right="120" w:firstLine="648"/>
        <w:spacing w:after="0" w:line="285" w:lineRule="auto"/>
        <w:rPr>
          <w:sz w:val="20"/>
          <w:szCs w:val="20"/>
          <w:color w:val="auto"/>
        </w:rPr>
      </w:pPr>
      <w:r>
        <w:rPr>
          <w:rFonts w:ascii="Times New Roman" w:cs="Times New Roman" w:eastAsia="Times New Roman" w:hAnsi="Times New Roman"/>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LFB Group maintained the right to nominate a board member until such time as LFB Group owns less than 10% of the outstanding common stock.</w:t>
      </w:r>
    </w:p>
    <w:p>
      <w:pPr>
        <w:spacing w:after="0" w:line="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2018, LFB no longer has the right to nominate a board member as LFB’s ownership had fallen below 10% of the outstanding shares of the Company’s Common Stock.</w:t>
      </w:r>
    </w:p>
    <w:p>
      <w:pPr>
        <w:spacing w:after="0" w:line="21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Under the terms of the LFB License Agreement, we utilize LFB Group for certain development and manufacturing services. We incurred approximately $0.2 million, $2.3 million and $8.1 million in expenses for such services during the years ended December 31, 2018, 2017 and 2016, respectively, which have been included in other research and development expenses in the accompanying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Parties</w:t>
      </w:r>
    </w:p>
    <w:p>
      <w:pPr>
        <w:spacing w:after="0" w:line="229" w:lineRule="exact"/>
        <w:rPr>
          <w:sz w:val="20"/>
          <w:szCs w:val="20"/>
          <w:color w:val="auto"/>
        </w:rPr>
      </w:pPr>
    </w:p>
    <w:p>
      <w:pPr>
        <w:ind w:right="20" w:firstLine="648"/>
        <w:spacing w:after="0" w:line="293" w:lineRule="auto"/>
        <w:rPr>
          <w:sz w:val="20"/>
          <w:szCs w:val="20"/>
          <w:color w:val="auto"/>
        </w:rPr>
      </w:pPr>
      <w:r>
        <w:rPr>
          <w:rFonts w:ascii="Times New Roman" w:cs="Times New Roman" w:eastAsia="Times New Roman" w:hAnsi="Times New Roman"/>
          <w:sz w:val="16"/>
          <w:szCs w:val="16"/>
          <w:color w:val="auto"/>
        </w:rPr>
        <w:t>In October 2014, we entered into an agreement (the “Office Agreement”) with FBIO to occupy approximately 45% (which shall be adjusted based on utilization as discussed below)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years ended December 31, 2018 and 2017, we recorded rent expense of approximately $1.3 million and $1.2 million, and at December 31, 2018, have deferred rent of approximately $1.5 million. Mr. Weiss, our Executive Chairman and Chief Executive Officer, is also Executive Vice Chairman of FBIO.</w:t>
      </w:r>
    </w:p>
    <w:p>
      <w:pPr>
        <w:spacing w:after="0" w:line="16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2018, we paid FBIO $0.1 million for our portion of the build-out costs (as required under the Desk Agreement), which have been allocated to us at the 45% rate mentioned above. The allocated build-out costs have been recorded in Leasehold Interest, net on the Company’s consolidated balance sheets and will be amortized over the 15-year term of the Office Agreement. After an initial commitment period of the 45% rate for a period of three (3) years, we and FBIO will determine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9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$1.6 million, $1.2 million and $0.8 million for shared services for the years ended December 31, 2018, 2017 and 2016, primarily related to shared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3" w:lineRule="exact"/>
        <w:rPr>
          <w:sz w:val="20"/>
          <w:szCs w:val="20"/>
          <w:color w:val="auto"/>
        </w:rPr>
      </w:pPr>
    </w:p>
    <w:p>
      <w:pPr>
        <w:ind w:right="480" w:firstLine="648"/>
        <w:spacing w:after="0" w:line="256" w:lineRule="auto"/>
        <w:rPr>
          <w:sz w:val="20"/>
          <w:szCs w:val="20"/>
          <w:color w:val="auto"/>
        </w:rPr>
      </w:pPr>
      <w:r>
        <w:rPr>
          <w:rFonts w:ascii="Times New Roman" w:cs="Times New Roman" w:eastAsia="Times New Roman" w:hAnsi="Times New Roman"/>
          <w:sz w:val="18"/>
          <w:szCs w:val="18"/>
          <w:color w:val="auto"/>
        </w:rPr>
        <w:t>In May 2016, as part of a broader agreement with Jubilant, an India-based biotechnology company, we entered into a sublicense agreement with Checkpoint, a subsidiary of FBIO, for the development and commercialization of Jubilant’s novel BET inhibitor program in the field of hematological malignancies. We paid Checkpoint an up-front licensing fee of $1.0 million in July 2016 and incurred expenses of $0.2 million in March 2017 for the first milestone achievement as part of the JBET Agreement which is recorded in other research and development in the accompanying consolidated statement of operations.</w:t>
      </w:r>
    </w:p>
    <w:p>
      <w:pPr>
        <w:spacing w:after="0" w:line="193" w:lineRule="exact"/>
        <w:rPr>
          <w:sz w:val="20"/>
          <w:szCs w:val="20"/>
          <w:color w:val="auto"/>
        </w:rPr>
      </w:pPr>
    </w:p>
    <w:p>
      <w:pPr>
        <w:ind w:right="120" w:firstLine="648"/>
        <w:spacing w:after="0" w:line="301" w:lineRule="auto"/>
        <w:rPr>
          <w:sz w:val="20"/>
          <w:szCs w:val="20"/>
          <w:color w:val="auto"/>
        </w:rPr>
      </w:pPr>
      <w:r>
        <w:rPr>
          <w:rFonts w:ascii="Times New Roman" w:cs="Times New Roman" w:eastAsia="Times New Roman" w:hAnsi="Times New Roman"/>
          <w:sz w:val="16"/>
          <w:szCs w:val="16"/>
          <w:color w:val="auto"/>
        </w:rPr>
        <w:t>In March 2015, we entered into a Global Collaboration Agreement (“Collaboration Agreement”) with Checkpoint for the development and commercialization of anti-PD-L1 and anti-GITR antibody research programs in the field of hematological malignancies. We incurred expenses of approximately $0.6 million for the year ended December 31, 2018 related mainly to manufacturing costs of PD-L1, while no costs were incurred during the years ended December 31, 2017 and 2016. The relevant expenses are recorded in other research and development in the accompanying consolidated statement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7"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18"/>
          <w:szCs w:val="18"/>
          <w:color w:val="auto"/>
        </w:rPr>
        <w:t>As of December 31, 2018, we have known contractual obligations; commitments and contingencies of $35.4 million related to our long term liabilities and operating lease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due by period (in thousands)</w:t>
      </w: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340"/>
              <w:spacing w:after="0" w:line="170" w:lineRule="exact"/>
              <w:rPr>
                <w:sz w:val="20"/>
                <w:szCs w:val="20"/>
                <w:color w:val="auto"/>
              </w:rPr>
            </w:pPr>
            <w:r>
              <w:rPr>
                <w:rFonts w:ascii="Times New Roman" w:cs="Times New Roman" w:eastAsia="Times New Roman" w:hAnsi="Times New Roman"/>
                <w:sz w:val="15"/>
                <w:szCs w:val="15"/>
                <w:b w:val="1"/>
                <w:bCs w:val="1"/>
                <w:color w:val="auto"/>
              </w:rPr>
              <w:t>Less than 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jc w:val="right"/>
              <w:ind w:right="200"/>
              <w:spacing w:after="0" w:line="170" w:lineRule="exact"/>
              <w:rPr>
                <w:sz w:val="20"/>
                <w:szCs w:val="20"/>
                <w:color w:val="auto"/>
              </w:rPr>
            </w:pPr>
            <w:r>
              <w:rPr>
                <w:rFonts w:ascii="Times New Roman" w:cs="Times New Roman" w:eastAsia="Times New Roman" w:hAnsi="Times New Roman"/>
                <w:sz w:val="15"/>
                <w:szCs w:val="15"/>
                <w:b w:val="1"/>
                <w:bCs w:val="1"/>
                <w:color w:val="auto"/>
              </w:rPr>
              <w:t>More than 5</w:t>
            </w:r>
          </w:p>
        </w:tc>
      </w:tr>
      <w:tr>
        <w:trPr>
          <w:trHeight w:val="186"/>
        </w:trPr>
        <w:tc>
          <w:tcPr>
            <w:tcW w:w="37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1-3 years</w:t>
            </w:r>
          </w:p>
        </w:tc>
        <w:tc>
          <w:tcPr>
            <w:tcW w:w="1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3-5 years</w:t>
            </w:r>
          </w:p>
        </w:tc>
        <w:tc>
          <w:tcPr>
            <w:tcW w:w="180" w:type="dxa"/>
            <w:vAlign w:val="bottom"/>
          </w:tcPr>
          <w:p>
            <w:pPr>
              <w:spacing w:after="0"/>
              <w:rPr>
                <w:sz w:val="16"/>
                <w:szCs w:val="16"/>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years</w:t>
            </w:r>
          </w:p>
        </w:tc>
      </w:tr>
      <w:tr>
        <w:trPr>
          <w:trHeight w:val="241"/>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ontractual obligations</w:t>
            </w:r>
          </w:p>
        </w:tc>
        <w:tc>
          <w:tcPr>
            <w:tcW w:w="2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16,996</w:t>
            </w:r>
          </w:p>
        </w:tc>
        <w:tc>
          <w:tcPr>
            <w:tcW w:w="3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2,742</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10,191</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Contract manufacturer</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18,350</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35,346</w:t>
            </w:r>
          </w:p>
        </w:tc>
        <w:tc>
          <w:tcPr>
            <w:tcW w:w="3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2,742</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10,191</w:t>
            </w: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Manufacturer</w:t>
      </w:r>
    </w:p>
    <w:p>
      <w:pPr>
        <w:spacing w:after="0" w:line="227" w:lineRule="exact"/>
        <w:rPr>
          <w:sz w:val="20"/>
          <w:szCs w:val="20"/>
          <w:color w:val="auto"/>
        </w:rPr>
      </w:pPr>
    </w:p>
    <w:p>
      <w:pPr>
        <w:ind w:right="1060" w:firstLine="648"/>
        <w:spacing w:after="0" w:line="275" w:lineRule="auto"/>
        <w:rPr>
          <w:sz w:val="20"/>
          <w:szCs w:val="20"/>
          <w:color w:val="auto"/>
        </w:rPr>
      </w:pPr>
      <w:r>
        <w:rPr>
          <w:rFonts w:ascii="Times New Roman" w:cs="Times New Roman" w:eastAsia="Times New Roman" w:hAnsi="Times New Roman"/>
          <w:sz w:val="18"/>
          <w:szCs w:val="18"/>
          <w:color w:val="auto"/>
        </w:rPr>
        <w:t>See Note 6 for a detailed description of our long term liabilities. Future minimum contractual commitments as of December 31, 2018 total approximately $18.4 million and are due in 2020.</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See Note 9 for a detailed description of our lease arrangement in New York. Total rental expense was approximately $1.4 million, $1.4 million and $1.6 million for the years ended December 31, 2018, 2017, and 2016, respectively.</w:t>
      </w:r>
    </w:p>
    <w:p>
      <w:pPr>
        <w:spacing w:after="0" w:line="186" w:lineRule="exact"/>
        <w:rPr>
          <w:sz w:val="20"/>
          <w:szCs w:val="20"/>
          <w:color w:val="auto"/>
        </w:rPr>
      </w:pPr>
    </w:p>
    <w:p>
      <w:pPr>
        <w:ind w:right="400" w:firstLine="648"/>
        <w:spacing w:after="0" w:line="262" w:lineRule="auto"/>
        <w:rPr>
          <w:sz w:val="20"/>
          <w:szCs w:val="20"/>
          <w:color w:val="auto"/>
        </w:rPr>
      </w:pPr>
      <w:r>
        <w:rPr>
          <w:rFonts w:ascii="Times New Roman" w:cs="Times New Roman" w:eastAsia="Times New Roman" w:hAnsi="Times New Roman"/>
          <w:sz w:val="18"/>
          <w:szCs w:val="18"/>
          <w:color w:val="auto"/>
        </w:rPr>
        <w:t>Future minimum lease commitments as of December 31, 2018, in the aggregate total approximately $17.0 million through December 31, 2031. The preceding table shows future minimum lease commitments, which include our office leases in New York, North Carolina and Tennessee by year as of December 31, 2018.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NOTE 12 – QUARTERLY FINANCIAL INFORMATION (UNAUDITED)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60"/>
              <w:spacing w:after="0" w:line="200" w:lineRule="exact"/>
              <w:rPr>
                <w:sz w:val="20"/>
                <w:szCs w:val="20"/>
                <w:color w:val="auto"/>
              </w:rPr>
            </w:pPr>
            <w:r>
              <w:rPr>
                <w:rFonts w:ascii="Times New Roman" w:cs="Times New Roman" w:eastAsia="Times New Roman" w:hAnsi="Times New Roman"/>
                <w:sz w:val="18"/>
                <w:szCs w:val="18"/>
                <w:b w:val="1"/>
                <w:bCs w:val="1"/>
                <w:color w:val="auto"/>
                <w:w w:val="95"/>
              </w:rPr>
              <w:t>March 31, 2018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00"/>
              <w:spacing w:after="0" w:line="200"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line="20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7"/>
              </w:rPr>
              <w:t>June 30, 2018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(41,529)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(44,142)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(33,951)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(53,861)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60"/>
              <w:spacing w:after="0" w:line="200" w:lineRule="exact"/>
              <w:rPr>
                <w:sz w:val="20"/>
                <w:szCs w:val="20"/>
                <w:color w:val="auto"/>
              </w:rPr>
            </w:pPr>
            <w:r>
              <w:rPr>
                <w:rFonts w:ascii="Times New Roman" w:cs="Times New Roman" w:eastAsia="Times New Roman" w:hAnsi="Times New Roman"/>
                <w:sz w:val="18"/>
                <w:szCs w:val="18"/>
                <w:b w:val="1"/>
                <w:bCs w:val="1"/>
                <w:color w:val="auto"/>
                <w:w w:val="95"/>
              </w:rPr>
              <w:t>March 31, 2017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00"/>
              <w:spacing w:after="0" w:line="200"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line="20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7"/>
              </w:rPr>
              <w:t>June 30, 2017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(27,727)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(28,353)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(31,536)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(30,860)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LITIGATION</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7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0" w:firstLine="648"/>
        <w:spacing w:after="0" w:line="291" w:lineRule="auto"/>
        <w:rPr>
          <w:sz w:val="20"/>
          <w:szCs w:val="20"/>
          <w:color w:val="auto"/>
        </w:rPr>
      </w:pPr>
      <w:r>
        <w:rPr>
          <w:rFonts w:ascii="Times New Roman" w:cs="Times New Roman" w:eastAsia="Times New Roman" w:hAnsi="Times New Roman"/>
          <w:sz w:val="16"/>
          <w:szCs w:val="16"/>
          <w:color w:val="auto"/>
        </w:rPr>
        <w:t>In October 2018, a purported securities class action complaint was filed in the U.S. District Court for the Southern District of New York (the “Southern District”) against the Company and one of its officers on behalf of all shareholders who purchased or otherwise acquired TG Therapeutics common stock between June 4, 2018 and September 25, 2018 (the “Class Period”). The case is captioned Randall Reinmann v. TG Therapeutics Inc., and Michael S. Weiss, Case No. 1:18-cv-09104-KPF. The complaint alleges that, throughout the Class Period, the Company made false and/or misleading statements and/or failed to disclose various facts and circumstances regarding its UNITY-CLL study allegedly in violation of the Securities Exchange Act of 1934 and Rule 10b-5 promulgated thereunder. In December 2018, the Southern District appointed Co-Lead Plaintiffs to represent the putative class, and approved their selection of Lead Counsel. On March 1, 2019, Co-Lead Plaintiffs filed a notice with the Southern District seeking to voluntarily dismiss the action in its entirety without prejudice.</w:t>
      </w:r>
    </w:p>
    <w:p>
      <w:pPr>
        <w:spacing w:after="0" w:line="167" w:lineRule="exact"/>
        <w:rPr>
          <w:sz w:val="20"/>
          <w:szCs w:val="20"/>
          <w:color w:val="auto"/>
        </w:rPr>
      </w:pPr>
    </w:p>
    <w:p>
      <w:pPr>
        <w:jc w:val="both"/>
        <w:ind w:right="80" w:firstLine="648"/>
        <w:spacing w:after="0" w:line="285" w:lineRule="auto"/>
        <w:rPr>
          <w:sz w:val="20"/>
          <w:szCs w:val="20"/>
          <w:color w:val="auto"/>
        </w:rPr>
      </w:pPr>
      <w:r>
        <w:rPr>
          <w:rFonts w:ascii="Times New Roman" w:cs="Times New Roman" w:eastAsia="Times New Roman" w:hAnsi="Times New Roman"/>
          <w:sz w:val="16"/>
          <w:szCs w:val="16"/>
          <w:color w:val="auto"/>
        </w:rPr>
        <w:t>In addition, on December 18, 2018, a related shareholder derivative litigation was filed in the Southern District against the Company’s directors and one of its officers in litigation captioned Thessalus Capital v. Weiss, et al., 1:18-cv-11918-KPF. The Company is named only as a nominal defendant. The suit alleges that the officer and directors breached their fiduciary duties to the Company, wasted corporate assets, and violated the Securities Exchange Act of 1934 and Rule 10b-5 promulgated thereunder in connection with the Company’s alleged failure to disclose various facts and circumstances regarding its UNITY-CLL study.</w:t>
      </w:r>
    </w:p>
    <w:p>
      <w:pPr>
        <w:spacing w:after="0" w:line="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plaintiff asserts that the alleged disclosure violations concerning the Company’s UNITY-CLL study have caused the Company to incur losses, including defense costs, and further alleges that the named officer and directors received excessive compensation.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legal reserve is necessary.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7" w:lineRule="exact"/>
        <w:rPr>
          <w:sz w:val="20"/>
          <w:szCs w:val="20"/>
          <w:color w:val="auto"/>
        </w:rPr>
      </w:pPr>
    </w:p>
    <w:p>
      <w:pPr>
        <w:ind w:right="40" w:firstLine="615"/>
        <w:spacing w:after="0" w:line="255" w:lineRule="auto"/>
        <w:rPr>
          <w:sz w:val="20"/>
          <w:szCs w:val="20"/>
          <w:color w:val="auto"/>
        </w:rPr>
      </w:pPr>
      <w:r>
        <w:rPr>
          <w:rFonts w:ascii="Times New Roman" w:cs="Times New Roman" w:eastAsia="Times New Roman" w:hAnsi="Times New Roman"/>
          <w:sz w:val="18"/>
          <w:szCs w:val="18"/>
          <w:color w:val="auto"/>
        </w:rPr>
        <w:t>On February 28, 2019 (the “Closing Date”), the Company (“Borrower”) entered into a term loan facility of up to $60.0 million (“Term Loan”) with Hercules Capital, Inc., (“Hercules”), the proceeds of which will be used for its ongoing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the Borrower’s option but subject to the clinical trial milestones, and the fourth advance of $10.0 million, available in minimum increments of $5.0 million, is available through December 15, 2020 subject to the approval of Hercules’ investment committee.</w:t>
      </w:r>
    </w:p>
    <w:p>
      <w:pPr>
        <w:spacing w:after="0" w:line="1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the Borrower, on or before September 30, 2020, achieves either the third milestone or the Company has raised at least an amount equal to $150.0 million in unrestricted net cash proceeds from one or more equity financings, subordinated indebtedness and/or upfront proceeds from business development transactions permitted under theLoan Agreement, in each case after February 7, 2019, and prior to September 30, 2020. Thereafter, amortization payments will be payable monthly in eighteen installments (or, if the period requiring interest-only payments has been extended to April 1, 2021, in twelve installments) of principal and interest (subject to recalculation upon a change in prime rates). At its option upon seven business days’ prior written notice to Hercules, the Company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shall accrue interest at an additional rate of 4.0% per annum of the past due amount outstanding.</w:t>
      </w:r>
    </w:p>
    <w:p>
      <w:pPr>
        <w:spacing w:after="0" w:line="13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the assets of the Borrower,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w:t>
      </w:r>
    </w:p>
    <w:p>
      <w:pPr>
        <w:spacing w:after="0" w:line="119"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16"/>
          <w:szCs w:val="16"/>
          <w:color w:val="auto"/>
        </w:rPr>
        <w:t>The events of default under the Loan Agreement include, without limitation, and subject to customary grace periods, (1) the Borrower’s failure to make any payments of principal or interest under the Loan Agreement, promissory notes or other loan documents, (2) the Borrower’s breach or default in the performance of any covenant under the Loan Agreement, (3) the occurrence of a material adverse effect, (4) the Borrower making a false or misleading representation or warranty in any material respect, (5) the Borrower’s insolvency or bankruptcy, (6) certain attachments or judgments on the Borrower’s assets, or</w:t>
      </w:r>
    </w:p>
    <w:p>
      <w:pPr>
        <w:spacing w:after="0" w:line="3" w:lineRule="exact"/>
        <w:rPr>
          <w:sz w:val="20"/>
          <w:szCs w:val="20"/>
          <w:color w:val="auto"/>
        </w:rPr>
      </w:pPr>
    </w:p>
    <w:p>
      <w:pPr>
        <w:ind w:firstLine="8"/>
        <w:spacing w:after="0" w:line="261" w:lineRule="auto"/>
        <w:tabs>
          <w:tab w:leader="none" w:pos="25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material default under certain agreements or obligations of the Borrower involving indebtedness in excess of $750,000. If an event of default occurs, Hercules is entitled to take enforcement action, including acceleration of amounts due under the Loan Agreement.</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Loan Agreement also contains warrant coverage of 2% of the total amount funded. A warrant (the “Warrant) was issued by Borrower to Hercules to purchase 147,058 shares of common stock with an exercise price of $4.08. The Warrant shall be exercisable for seven years from the date of issuance. Hercules may exercise the Warrant either by (a) cash or check or (b) through a net issuance conversion. The shares will be registered and freely tradeable within six months of issuance.</w:t>
      </w:r>
    </w:p>
    <w:p>
      <w:pPr>
        <w:spacing w:after="0" w:line="1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on March 1, 2019, we announced the pricing of a public offering of 4,100,000 shares of our common stock (plus a 30-day underwriter overallotment option to purchase up to an additional 615,000 shares of common stock), with expected gross proceeds to the Company of $25.2 million, less underwriting discounts and commissions. The shares were sold under a shelf registration statement Form S-3 (File No. 333-218293) that was previously filed and declared effective by the SEC in June 2017. The offering is expected to close on March 5, 2019.</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7"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1, 2019</w:t>
      </w:r>
      <w:r>
        <w:rPr>
          <w:sz w:val="20"/>
          <w:szCs w:val="20"/>
          <w:color w:val="auto"/>
        </w:rPr>
        <w:tab/>
      </w:r>
      <w:r>
        <w:rPr>
          <w:rFonts w:ascii="Times New Roman" w:cs="Times New Roman" w:eastAsia="Times New Roman" w:hAnsi="Times New Roman"/>
          <w:sz w:val="16"/>
          <w:szCs w:val="16"/>
          <w:color w:val="auto"/>
        </w:rPr>
        <w:t>By: /s/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255587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255587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Michael S. Weiss</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93"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Form 10-K has been signed by the following persons on behalf of the Registrant on March 1, 2019, and in the capacities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5"/>
              </w:rPr>
              <w:t>Signatures</w:t>
            </w:r>
          </w:p>
        </w:tc>
        <w:tc>
          <w:tcPr>
            <w:tcW w:w="200" w:type="dxa"/>
            <w:vAlign w:val="bottom"/>
          </w:tcPr>
          <w:p>
            <w:pPr>
              <w:spacing w:after="0"/>
              <w:rPr>
                <w:sz w:val="20"/>
                <w:szCs w:val="20"/>
                <w:color w:val="auto"/>
              </w:rPr>
            </w:pPr>
          </w:p>
        </w:tc>
        <w:tc>
          <w:tcPr>
            <w:tcW w:w="56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2"/>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Executive Chairman, Chief Executive Officer and President</w:t>
            </w:r>
          </w:p>
        </w:tc>
      </w:tr>
      <w:tr>
        <w:trPr>
          <w:trHeight w:val="229"/>
        </w:trPr>
        <w:tc>
          <w:tcPr>
            <w:tcW w:w="56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7"/>
              </w:rPr>
              <w:t>/s/ Michael S. Weiss</w:t>
            </w:r>
          </w:p>
        </w:tc>
        <w:tc>
          <w:tcPr>
            <w:tcW w:w="2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23"/>
        </w:trPr>
        <w:tc>
          <w:tcPr>
            <w:tcW w:w="56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Michael S. Weiss</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8"/>
        </w:trPr>
        <w:tc>
          <w:tcPr>
            <w:tcW w:w="56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7"/>
              </w:rPr>
              <w:t>/s/ Sean A. Power</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4"/>
        </w:trPr>
        <w:tc>
          <w:tcPr>
            <w:tcW w:w="5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Sean A. Power</w:t>
            </w:r>
          </w:p>
        </w:tc>
        <w:tc>
          <w:tcPr>
            <w:tcW w:w="2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9"/>
        </w:trPr>
        <w:tc>
          <w:tcPr>
            <w:tcW w:w="56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7"/>
              </w:rPr>
              <w:t>/s/ Laurence N. Charney</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56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Laurence N. Charney</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9"/>
        </w:trPr>
        <w:tc>
          <w:tcPr>
            <w:tcW w:w="56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6"/>
              </w:rPr>
              <w:t>/s/ Yann Echelard</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5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Yann Echelard</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9"/>
        </w:trPr>
        <w:tc>
          <w:tcPr>
            <w:tcW w:w="56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6"/>
              </w:rPr>
              <w:t>/s/ Kenneth Hoberman</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56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Kenneth Hoberman</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9"/>
        </w:trPr>
        <w:tc>
          <w:tcPr>
            <w:tcW w:w="56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6"/>
              </w:rPr>
              <w:t>/s/ Daniel Hume</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56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Daniel Hume</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9"/>
        </w:trPr>
        <w:tc>
          <w:tcPr>
            <w:tcW w:w="56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7"/>
              </w:rPr>
              <w:t>/s/ William J. Kennedy</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5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William J. Kennedy</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9"/>
        </w:trPr>
        <w:tc>
          <w:tcPr>
            <w:tcW w:w="56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6"/>
              </w:rPr>
              <w:t>/s/ Mark Schoenebaum, M.D.</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56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Mark Schoenebaum, M.D.</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810"/>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77</w:t>
            </w: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2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8"/>
        </w:trPr>
        <w:tc>
          <w:tcPr>
            <w:tcW w:w="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top w:val="single" w:sz="8" w:color="auto"/>
            </w:tcBorders>
            <w:gridSpan w:val="5"/>
            <w:shd w:val="clear" w:color="auto" w:fill="CCEEFF"/>
          </w:tcPr>
          <w:p>
            <w:pPr>
              <w:jc w:val="center"/>
              <w:ind w:left="12"/>
              <w:spacing w:after="0" w:line="176" w:lineRule="exact"/>
              <w:rPr>
                <w:rFonts w:ascii="Times New Roman" w:cs="Times New Roman" w:eastAsia="Times New Roman" w:hAnsi="Times New Roman"/>
                <w:sz w:val="18"/>
                <w:szCs w:val="18"/>
                <w:color w:val="0000EE"/>
                <w:w w:val="98"/>
              </w:rPr>
            </w:pPr>
            <w:hyperlink w:anchor="page11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22</w:t>
              </w:r>
            </w:hyperlink>
          </w:p>
        </w:tc>
        <w:tc>
          <w:tcPr>
            <w:tcW w:w="10620" w:type="dxa"/>
            <w:vAlign w:val="bottom"/>
            <w:tcBorders>
              <w:top w:val="single" w:sz="8" w:color="auto"/>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Master Services Agreement, effective February 21,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jc w:val="center"/>
              <w:ind w:left="212"/>
              <w:spacing w:after="0" w:line="176" w:lineRule="exact"/>
              <w:rPr>
                <w:rFonts w:ascii="Times New Roman" w:cs="Times New Roman" w:eastAsia="Times New Roman" w:hAnsi="Times New Roman"/>
                <w:sz w:val="18"/>
                <w:szCs w:val="18"/>
                <w:color w:val="0000FF"/>
                <w:w w:val="95"/>
              </w:rPr>
            </w:pPr>
            <w:hyperlink w:anchor="page106">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hyperlink>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Subsidiaries of TG Therapeutics,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jc w:val="center"/>
              <w:ind w:left="212"/>
              <w:spacing w:after="0" w:line="176" w:lineRule="exact"/>
              <w:rPr>
                <w:rFonts w:ascii="Times New Roman" w:cs="Times New Roman" w:eastAsia="Times New Roman" w:hAnsi="Times New Roman"/>
                <w:sz w:val="18"/>
                <w:szCs w:val="18"/>
                <w:color w:val="0000FF"/>
                <w:w w:val="95"/>
              </w:rPr>
            </w:pPr>
            <w:hyperlink w:anchor="page107">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hyperlink>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jc w:val="center"/>
              <w:ind w:left="212"/>
              <w:spacing w:after="0" w:line="176" w:lineRule="exact"/>
              <w:rPr>
                <w:rFonts w:ascii="Times New Roman" w:cs="Times New Roman" w:eastAsia="Times New Roman" w:hAnsi="Times New Roman"/>
                <w:sz w:val="18"/>
                <w:szCs w:val="18"/>
                <w:color w:val="0000FF"/>
                <w:w w:val="95"/>
              </w:rPr>
            </w:pPr>
            <w:hyperlink w:anchor="page108">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hyperlink>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jc w:val="center"/>
              <w:ind w:left="212"/>
              <w:spacing w:after="0" w:line="176" w:lineRule="exact"/>
              <w:rPr>
                <w:rFonts w:ascii="Times New Roman" w:cs="Times New Roman" w:eastAsia="Times New Roman" w:hAnsi="Times New Roman"/>
                <w:sz w:val="18"/>
                <w:szCs w:val="18"/>
                <w:color w:val="0000FF"/>
                <w:w w:val="95"/>
              </w:rPr>
            </w:pPr>
            <w:hyperlink w:anchor="page109">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hyperlink>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jc w:val="center"/>
              <w:ind w:left="212"/>
              <w:spacing w:after="0" w:line="176" w:lineRule="exact"/>
              <w:rPr>
                <w:rFonts w:ascii="Times New Roman" w:cs="Times New Roman" w:eastAsia="Times New Roman" w:hAnsi="Times New Roman"/>
                <w:sz w:val="18"/>
                <w:szCs w:val="18"/>
                <w:color w:val="0000EE"/>
                <w:w w:val="95"/>
              </w:rPr>
            </w:pPr>
            <w:hyperlink w:anchor="page110">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hyperlink>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jc w:val="center"/>
              <w:ind w:left="212"/>
              <w:spacing w:after="0" w:line="176" w:lineRule="exact"/>
              <w:rPr>
                <w:rFonts w:ascii="Times New Roman" w:cs="Times New Roman" w:eastAsia="Times New Roman" w:hAnsi="Times New Roman"/>
                <w:sz w:val="18"/>
                <w:szCs w:val="18"/>
                <w:color w:val="0000FF"/>
                <w:w w:val="95"/>
              </w:rPr>
            </w:pPr>
            <w:hyperlink w:anchor="page111">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hyperlink>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0000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6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tcPr>
          <w:p>
            <w:pPr>
              <w:ind w:left="48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ectPr>
          <w:pgSz w:w="11900" w:h="16838" w:orient="portrait"/>
          <w:cols w:equalWidth="0" w:num="1">
            <w:col w:w="11420"/>
          </w:cols>
          <w:pgMar w:left="240" w:top="528"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TG Therapeutics,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Ariston Pharmaceuticals,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TG Biologics,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TG Therapeutics AUS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333-181439, 333-210227 and 333-225868 on Form S-8 and registration statement Nos. 333-218293 and 333-226097 on Form S-3 of TG Therapeutics, Inc. of our report dated March 1, 2019 on our audits of the consolidated financial statements of TG Therapeutics, Inc. and Subsidiaries as of December 31, 2018 and 2017, and for each of the three years in the period ended December 31, 2018, and our report on our audit of internal control over financial reporting of TG Therapeutics, Inc. and Subsidiaries as of December 31, 2018, dated March 1, 2019, included in this Annual Report on Form 10-K of TG Therapeutics, Inc. and Subsidiaries for the year ended December 31,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S. Weiss, certify that:</w:t>
      </w:r>
    </w:p>
    <w:p>
      <w:pPr>
        <w:spacing w:after="0" w:line="221" w:lineRule="exact"/>
        <w:rPr>
          <w:sz w:val="20"/>
          <w:szCs w:val="20"/>
          <w:color w:val="auto"/>
        </w:rPr>
      </w:pPr>
    </w:p>
    <w:p>
      <w:pPr>
        <w:ind w:left="340" w:hanging="251"/>
        <w:spacing w:after="0"/>
        <w:tabs>
          <w:tab w:leader="none" w:pos="340"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TG Therapeutics, Inc.;</w:t>
      </w:r>
    </w:p>
    <w:p>
      <w:pPr>
        <w:spacing w:after="0" w:line="221" w:lineRule="exact"/>
        <w:rPr>
          <w:rFonts w:ascii="Times New Roman" w:cs="Times New Roman" w:eastAsia="Times New Roman" w:hAnsi="Times New Roman"/>
          <w:sz w:val="16"/>
          <w:szCs w:val="16"/>
          <w:color w:val="auto"/>
        </w:rPr>
      </w:pPr>
    </w:p>
    <w:p>
      <w:pPr>
        <w:ind w:left="300" w:right="20" w:hanging="251"/>
        <w:spacing w:after="0" w:line="298" w:lineRule="auto"/>
        <w:tabs>
          <w:tab w:leader="none" w:pos="3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300" w:right="360" w:hanging="251"/>
        <w:spacing w:after="0" w:line="298" w:lineRule="auto"/>
        <w:tabs>
          <w:tab w:leader="none" w:pos="3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300" w:hanging="251"/>
        <w:spacing w:after="0"/>
        <w:tabs>
          <w:tab w:leader="none" w:pos="3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16"/>
          <w:szCs w:val="16"/>
          <w:color w:val="auto"/>
        </w:rPr>
      </w:pPr>
    </w:p>
    <w:p>
      <w:pPr>
        <w:jc w:val="both"/>
        <w:ind w:left="660" w:right="240" w:hanging="328"/>
        <w:spacing w:after="0" w:line="281" w:lineRule="auto"/>
        <w:tabs>
          <w:tab w:leader="none" w:pos="660"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ind w:left="660" w:right="300" w:hanging="328"/>
        <w:spacing w:after="0" w:line="281" w:lineRule="auto"/>
        <w:tabs>
          <w:tab w:leader="none" w:pos="660"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660" w:right="40" w:hanging="328"/>
        <w:spacing w:after="0" w:line="298" w:lineRule="auto"/>
        <w:tabs>
          <w:tab w:leader="none" w:pos="660"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660" w:hanging="328"/>
        <w:spacing w:after="0" w:line="281" w:lineRule="auto"/>
        <w:tabs>
          <w:tab w:leader="none" w:pos="660"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300" w:right="100" w:hanging="251"/>
        <w:spacing w:after="0" w:line="298" w:lineRule="auto"/>
        <w:tabs>
          <w:tab w:leader="none" w:pos="3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660" w:right="240" w:hanging="328"/>
        <w:spacing w:after="0" w:line="298" w:lineRule="auto"/>
        <w:tabs>
          <w:tab w:leader="none" w:pos="660"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660" w:right="500" w:hanging="328"/>
        <w:spacing w:after="0" w:line="298" w:lineRule="auto"/>
        <w:tabs>
          <w:tab w:leader="none" w:pos="660"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6"/>
          <w:szCs w:val="16"/>
          <w:color w:val="auto"/>
        </w:rPr>
        <w:t>Date: March 1, 2019</w:t>
      </w:r>
      <w:r>
        <w:rPr>
          <w:sz w:val="20"/>
          <w:szCs w:val="20"/>
          <w:color w:val="auto"/>
        </w:rPr>
        <w:tab/>
      </w:r>
      <w:r>
        <w:rPr>
          <w:rFonts w:ascii="Times New Roman" w:cs="Times New Roman" w:eastAsia="Times New Roman" w:hAnsi="Times New Roman"/>
          <w:sz w:val="16"/>
          <w:szCs w:val="16"/>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20320</wp:posOffset>
            </wp:positionV>
            <wp:extent cx="36188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Michael S. Weiss</w:t>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Executive Chairman, Chief Executive Officer and President</w:t>
      </w:r>
    </w:p>
    <w:p>
      <w:pPr>
        <w:spacing w:after="0" w:line="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838835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Sean A. Power, certify that:</w:t>
      </w:r>
    </w:p>
    <w:p>
      <w:pPr>
        <w:spacing w:after="0" w:line="221" w:lineRule="exact"/>
        <w:rPr>
          <w:sz w:val="20"/>
          <w:szCs w:val="20"/>
          <w:color w:val="auto"/>
        </w:rPr>
      </w:pPr>
    </w:p>
    <w:p>
      <w:pPr>
        <w:ind w:left="340" w:hanging="251"/>
        <w:spacing w:after="0"/>
        <w:tabs>
          <w:tab w:leader="none" w:pos="34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TG Therapeutics, Inc.;</w:t>
      </w:r>
    </w:p>
    <w:p>
      <w:pPr>
        <w:spacing w:after="0" w:line="221" w:lineRule="exact"/>
        <w:rPr>
          <w:rFonts w:ascii="Times New Roman" w:cs="Times New Roman" w:eastAsia="Times New Roman" w:hAnsi="Times New Roman"/>
          <w:sz w:val="16"/>
          <w:szCs w:val="16"/>
          <w:color w:val="auto"/>
        </w:rPr>
      </w:pPr>
    </w:p>
    <w:p>
      <w:pPr>
        <w:ind w:left="300" w:right="20" w:hanging="251"/>
        <w:spacing w:after="0" w:line="298" w:lineRule="auto"/>
        <w:tabs>
          <w:tab w:leader="none" w:pos="3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300" w:right="360" w:hanging="251"/>
        <w:spacing w:after="0" w:line="298" w:lineRule="auto"/>
        <w:tabs>
          <w:tab w:leader="none" w:pos="3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300" w:hanging="251"/>
        <w:spacing w:after="0"/>
        <w:tabs>
          <w:tab w:leader="none" w:pos="3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16"/>
          <w:szCs w:val="16"/>
          <w:color w:val="auto"/>
        </w:rPr>
      </w:pPr>
    </w:p>
    <w:p>
      <w:pPr>
        <w:jc w:val="both"/>
        <w:ind w:left="660" w:right="240" w:hanging="328"/>
        <w:spacing w:after="0" w:line="281" w:lineRule="auto"/>
        <w:tabs>
          <w:tab w:leader="none" w:pos="660" w:val="left"/>
        </w:tabs>
        <w:numPr>
          <w:ilvl w:val="2"/>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ind w:left="660" w:right="300" w:hanging="328"/>
        <w:spacing w:after="0" w:line="281" w:lineRule="auto"/>
        <w:tabs>
          <w:tab w:leader="none" w:pos="660" w:val="left"/>
        </w:tabs>
        <w:numPr>
          <w:ilvl w:val="2"/>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660" w:right="40" w:hanging="328"/>
        <w:spacing w:after="0" w:line="298" w:lineRule="auto"/>
        <w:tabs>
          <w:tab w:leader="none" w:pos="660" w:val="left"/>
        </w:tabs>
        <w:numPr>
          <w:ilvl w:val="2"/>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660" w:hanging="328"/>
        <w:spacing w:after="0" w:line="281" w:lineRule="auto"/>
        <w:tabs>
          <w:tab w:leader="none" w:pos="660" w:val="left"/>
        </w:tabs>
        <w:numPr>
          <w:ilvl w:val="2"/>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300" w:right="100" w:hanging="251"/>
        <w:spacing w:after="0" w:line="298" w:lineRule="auto"/>
        <w:tabs>
          <w:tab w:leader="none" w:pos="3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660" w:right="240" w:hanging="328"/>
        <w:spacing w:after="0" w:line="298" w:lineRule="auto"/>
        <w:tabs>
          <w:tab w:leader="none" w:pos="660" w:val="left"/>
        </w:tabs>
        <w:numPr>
          <w:ilvl w:val="2"/>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660" w:right="500" w:hanging="328"/>
        <w:spacing w:after="0" w:line="298" w:lineRule="auto"/>
        <w:tabs>
          <w:tab w:leader="none" w:pos="660" w:val="left"/>
        </w:tabs>
        <w:numPr>
          <w:ilvl w:val="2"/>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6"/>
          <w:szCs w:val="16"/>
          <w:color w:val="auto"/>
        </w:rPr>
        <w:t>Date: March 1, 2019</w:t>
      </w:r>
      <w:r>
        <w:rPr>
          <w:sz w:val="20"/>
          <w:szCs w:val="20"/>
          <w:color w:val="auto"/>
        </w:rPr>
        <w:tab/>
      </w:r>
      <w:r>
        <w:rPr>
          <w:rFonts w:ascii="Times New Roman" w:cs="Times New Roman" w:eastAsia="Times New Roman" w:hAnsi="Times New Roman"/>
          <w:sz w:val="16"/>
          <w:szCs w:val="16"/>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20320</wp:posOffset>
            </wp:positionV>
            <wp:extent cx="36188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Sean A. Power</w:t>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4" w:lineRule="exact"/>
        <w:rPr>
          <w:sz w:val="20"/>
          <w:szCs w:val="20"/>
          <w:color w:val="auto"/>
        </w:rPr>
      </w:pPr>
    </w:p>
    <w:p>
      <w:pPr>
        <w:jc w:val="both"/>
        <w:ind w:firstLine="429"/>
        <w:spacing w:after="0" w:line="281" w:lineRule="auto"/>
        <w:rPr>
          <w:sz w:val="20"/>
          <w:szCs w:val="20"/>
          <w:color w:val="auto"/>
        </w:rPr>
      </w:pPr>
      <w:r>
        <w:rPr>
          <w:rFonts w:ascii="Times New Roman" w:cs="Times New Roman" w:eastAsia="Times New Roman" w:hAnsi="Times New Roman"/>
          <w:sz w:val="16"/>
          <w:szCs w:val="16"/>
          <w:color w:val="auto"/>
        </w:rPr>
        <w:t>In connection with the annual report of TG Therapeutics, Inc. (the “Company”) on Form 10-K for the year ended December 31, 2018 as filed with the Securities and Exchange Commission (the “Report”), I, Michael S. Weiss, Executive Chairman, Chief Executive Officer and President of the Company, certify, pursuant to 18 U.S.C. §1350, as adopted pursuant to §906 of the Sarbanes-Oxley Act of 2002, that, based on my knowledge:</w:t>
      </w:r>
    </w:p>
    <w:p>
      <w:pPr>
        <w:spacing w:after="0" w:line="164" w:lineRule="exact"/>
        <w:rPr>
          <w:sz w:val="20"/>
          <w:szCs w:val="20"/>
          <w:color w:val="auto"/>
        </w:rPr>
      </w:pPr>
    </w:p>
    <w:p>
      <w:pPr>
        <w:ind w:left="540" w:hanging="208"/>
        <w:spacing w:after="0"/>
        <w:tabs>
          <w:tab w:leader="none" w:pos="5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21" w:lineRule="exact"/>
        <w:rPr>
          <w:rFonts w:ascii="Times New Roman" w:cs="Times New Roman" w:eastAsia="Times New Roman" w:hAnsi="Times New Roman"/>
          <w:sz w:val="16"/>
          <w:szCs w:val="16"/>
          <w:color w:val="auto"/>
        </w:rPr>
      </w:pPr>
    </w:p>
    <w:p>
      <w:pPr>
        <w:ind w:left="500" w:hanging="168"/>
        <w:spacing w:after="0"/>
        <w:tabs>
          <w:tab w:leader="none" w:pos="5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6"/>
          <w:szCs w:val="16"/>
          <w:color w:val="auto"/>
        </w:rPr>
        <w:t>Date: March 1, 2019</w:t>
      </w:r>
      <w:r>
        <w:rPr>
          <w:sz w:val="20"/>
          <w:szCs w:val="20"/>
          <w:color w:val="auto"/>
        </w:rPr>
        <w:tab/>
      </w:r>
      <w:r>
        <w:rPr>
          <w:rFonts w:ascii="Times New Roman" w:cs="Times New Roman" w:eastAsia="Times New Roman" w:hAnsi="Times New Roman"/>
          <w:sz w:val="16"/>
          <w:szCs w:val="16"/>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20320</wp:posOffset>
            </wp:positionV>
            <wp:extent cx="36188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Michael S. Weiss</w:t>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Executive Chairman, Chief Executive Officer and President</w:t>
      </w:r>
    </w:p>
    <w:p>
      <w:pPr>
        <w:spacing w:after="0" w:line="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838835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7" w:lineRule="exact"/>
        <w:rPr>
          <w:sz w:val="20"/>
          <w:szCs w:val="20"/>
          <w:color w:val="auto"/>
        </w:rPr>
      </w:pPr>
    </w:p>
    <w:p>
      <w:pPr>
        <w:jc w:val="both"/>
        <w:ind w:right="360" w:firstLine="338"/>
        <w:spacing w:after="0" w:line="281" w:lineRule="auto"/>
        <w:rPr>
          <w:sz w:val="20"/>
          <w:szCs w:val="20"/>
          <w:color w:val="auto"/>
        </w:rPr>
      </w:pPr>
      <w:r>
        <w:rPr>
          <w:rFonts w:ascii="Times New Roman" w:cs="Times New Roman" w:eastAsia="Times New Roman" w:hAnsi="Times New Roman"/>
          <w:sz w:val="16"/>
          <w:szCs w:val="16"/>
          <w:color w:val="auto"/>
        </w:rPr>
        <w:t>In connection with the annual report of TG Therapeutics, Inc. (the “Company”) on Form 10-K for the year ended December 31, 2018 as filed with the Securities and Exchange Commission (the “Report”), I, Sean A. Power, Chief Financial Officer of the Company, certify, pursuant to 18 U.S.C. §1350, as adopted pursuant to §906 of the Sarbanes-Oxley Act of 2002, that, based on my knowledge</w:t>
      </w:r>
    </w:p>
    <w:p>
      <w:pPr>
        <w:spacing w:after="0" w:line="164" w:lineRule="exact"/>
        <w:rPr>
          <w:sz w:val="20"/>
          <w:szCs w:val="20"/>
          <w:color w:val="auto"/>
        </w:rPr>
      </w:pPr>
    </w:p>
    <w:p>
      <w:pPr>
        <w:ind w:left="500" w:hanging="168"/>
        <w:spacing w:after="0"/>
        <w:tabs>
          <w:tab w:leader="none" w:pos="5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20" w:lineRule="exact"/>
        <w:rPr>
          <w:rFonts w:ascii="Times New Roman" w:cs="Times New Roman" w:eastAsia="Times New Roman" w:hAnsi="Times New Roman"/>
          <w:sz w:val="16"/>
          <w:szCs w:val="16"/>
          <w:color w:val="auto"/>
        </w:rPr>
      </w:pPr>
    </w:p>
    <w:p>
      <w:pPr>
        <w:ind w:left="520" w:hanging="188"/>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6"/>
          <w:szCs w:val="16"/>
          <w:color w:val="auto"/>
        </w:rPr>
        <w:t>Date: March 1, 2019</w:t>
      </w:r>
      <w:r>
        <w:rPr>
          <w:sz w:val="20"/>
          <w:szCs w:val="20"/>
          <w:color w:val="auto"/>
        </w:rPr>
        <w:tab/>
      </w:r>
      <w:r>
        <w:rPr>
          <w:rFonts w:ascii="Times New Roman" w:cs="Times New Roman" w:eastAsia="Times New Roman" w:hAnsi="Times New Roman"/>
          <w:sz w:val="16"/>
          <w:szCs w:val="16"/>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20320</wp:posOffset>
            </wp:positionV>
            <wp:extent cx="36188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Sean A. Power</w:t>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684530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11" w:name="page112"/>
    <w:bookmarkEnd w:id="111"/>
    <w:p>
      <w:pPr>
        <w:ind w:left="10420"/>
        <w:spacing w:after="0"/>
        <w:rPr>
          <w:sz w:val="20"/>
          <w:szCs w:val="20"/>
          <w:color w:val="auto"/>
        </w:rPr>
      </w:pPr>
      <w:r>
        <w:rPr>
          <w:rFonts w:ascii="Times New Roman" w:cs="Times New Roman" w:eastAsia="Times New Roman" w:hAnsi="Times New Roman"/>
          <w:sz w:val="16"/>
          <w:szCs w:val="16"/>
          <w:b w:val="1"/>
          <w:bCs w:val="1"/>
          <w:color w:val="auto"/>
        </w:rPr>
        <w:t>Exhibit 10.22</w:t>
      </w:r>
    </w:p>
    <w:p>
      <w:pPr>
        <w:spacing w:after="0" w:line="24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MASTER SERVICES AGREEMENT</w:t>
      </w:r>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37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39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1388110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3"/>
        </w:trPr>
        <w:tc>
          <w:tcPr>
            <w:tcW w:w="1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87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DEFINITIONS</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2</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RELATED AGREEMENTS AND EXHIBITS</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3</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MANAGEMENT OF SERVICE</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4</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5</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SERVICE DESCRIPTIONS</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16"/>
        </w:trPr>
        <w:tc>
          <w:tcPr>
            <w:tcW w:w="1700" w:type="dxa"/>
            <w:vAlign w:val="bottom"/>
          </w:tcPr>
          <w:p>
            <w:pPr>
              <w:spacing w:after="0"/>
              <w:rPr>
                <w:sz w:val="18"/>
                <w:szCs w:val="18"/>
                <w:color w:val="auto"/>
              </w:rPr>
            </w:pPr>
          </w:p>
        </w:tc>
        <w:tc>
          <w:tcPr>
            <w:tcW w:w="876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CHANGES TO THE SPECIFICATIONS, ANALYTICAL METHODS, MANUFACTURING</w:t>
            </w:r>
          </w:p>
        </w:tc>
        <w:tc>
          <w:tcPr>
            <w:tcW w:w="960" w:type="dxa"/>
            <w:vAlign w:val="bottom"/>
          </w:tcPr>
          <w:p>
            <w:pPr>
              <w:spacing w:after="0"/>
              <w:rPr>
                <w:sz w:val="18"/>
                <w:szCs w:val="18"/>
                <w:color w:val="auto"/>
              </w:rPr>
            </w:pPr>
          </w:p>
        </w:tc>
      </w:tr>
      <w:tr>
        <w:trPr>
          <w:trHeight w:val="271"/>
        </w:trPr>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SECTION 6</w:t>
            </w:r>
          </w:p>
        </w:tc>
        <w:tc>
          <w:tcPr>
            <w:tcW w:w="8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PROCESS, FACILITY OR EQUIPMENT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7</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REGULATORY APPROVALS AND INSPECTIONS</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8</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QUALITY COMPLIANCE</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9</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CONSIDERATION AND PAYMENT TERMS</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10</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11</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OWNERSHIP OF MATERIALS AND INTELLECTUAL PROPERTY</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12</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WARRANTIES</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13</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INDEMNIFICATION</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14</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DISCLAIMER OF CONSEQUENTIAL DAMAGES; LIMITATION OF LIABILITY</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15</w:t>
            </w:r>
          </w:p>
        </w:tc>
        <w:tc>
          <w:tcPr>
            <w:tcW w:w="87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TERM AND TERMINATION OF AGREEMENT</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16</w:t>
            </w:r>
          </w:p>
        </w:tc>
        <w:tc>
          <w:tcPr>
            <w:tcW w:w="87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ARBITRATION</w:t>
            </w: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700" w:type="dxa"/>
            <w:vAlign w:val="bottom"/>
            <w:shd w:val="clear" w:color="auto" w:fill="CCEEFF"/>
          </w:tcPr>
          <w:p>
            <w:pPr>
              <w:spacing w:after="0"/>
              <w:rPr>
                <w:sz w:val="21"/>
                <w:szCs w:val="21"/>
                <w:color w:val="auto"/>
              </w:rPr>
            </w:pPr>
          </w:p>
        </w:tc>
        <w:tc>
          <w:tcPr>
            <w:tcW w:w="8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83"/>
        </w:trPr>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SECTION 17</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MISCELLANEOUS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w:t>
            </w:r>
          </w:p>
        </w:tc>
      </w:tr>
      <w:tr>
        <w:trPr>
          <w:trHeight w:val="568"/>
        </w:trPr>
        <w:tc>
          <w:tcPr>
            <w:tcW w:w="17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2" w:right="2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b w:val="1"/>
          <w:bCs w:val="1"/>
          <w:color w:val="auto"/>
        </w:rPr>
        <w:t>MASTER SERVICES AGREEMENT</w:t>
      </w:r>
    </w:p>
    <w:p>
      <w:pPr>
        <w:spacing w:after="0" w:line="248" w:lineRule="exact"/>
        <w:rPr>
          <w:sz w:val="20"/>
          <w:szCs w:val="20"/>
          <w:color w:val="auto"/>
        </w:rPr>
      </w:pPr>
    </w:p>
    <w:p>
      <w:pPr>
        <w:ind w:right="28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THIS MASTER SERVICES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is made and entered into as of the date of last signature below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TG Therapeutics, Inc., a Delaware corporation having its principal place of business at 2 Gansevoort St., 9th Floor, New York, NY 10014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xml:space="preserve">), and </w:t>
      </w:r>
      <w:hyperlink w:anchor="page114">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Client and *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and collectively as the </w:t>
      </w:r>
      <w:r>
        <w:rPr>
          <w:rFonts w:ascii="Times New Roman" w:cs="Times New Roman" w:eastAsia="Times New Roman" w:hAnsi="Times New Roman"/>
          <w:sz w:val="18"/>
          <w:szCs w:val="18"/>
          <w:b w:val="1"/>
          <w:bCs w:val="1"/>
          <w:color w:val="auto"/>
        </w:rPr>
        <w:t>“Parties”.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Client and * wish to enter into a business relationship whereby * will provide Client with certain biologics manufacturing services;</w:t>
      </w:r>
    </w:p>
    <w:p>
      <w:pPr>
        <w:spacing w:after="0" w:line="15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promises, covenants and agreements hereinafter set forth and for other valuable consideration,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7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SECTION 1</w:t>
      </w:r>
      <w:r>
        <w:rPr>
          <w:sz w:val="20"/>
          <w:szCs w:val="20"/>
          <w:color w:val="auto"/>
        </w:rPr>
        <w:tab/>
      </w:r>
      <w:r>
        <w:rPr>
          <w:rFonts w:ascii="Times New Roman" w:cs="Times New Roman" w:eastAsia="Times New Roman" w:hAnsi="Times New Roman"/>
          <w:sz w:val="16"/>
          <w:szCs w:val="16"/>
          <w:b w:val="1"/>
          <w:bCs w:val="1"/>
          <w:u w:val="single" w:color="auto"/>
          <w:color w:val="auto"/>
        </w:rPr>
        <w:t>DEFINITIONS</w:t>
      </w:r>
    </w:p>
    <w:p>
      <w:pPr>
        <w:spacing w:after="0" w:line="227" w:lineRule="exact"/>
        <w:rPr>
          <w:sz w:val="20"/>
          <w:szCs w:val="20"/>
          <w:color w:val="auto"/>
        </w:rPr>
      </w:pPr>
    </w:p>
    <w:p>
      <w:pPr>
        <w:jc w:val="both"/>
        <w:ind w:left="340" w:right="20" w:hanging="323"/>
        <w:spacing w:after="0" w:line="262" w:lineRule="auto"/>
        <w:rPr>
          <w:sz w:val="20"/>
          <w:szCs w:val="20"/>
          <w:color w:val="auto"/>
        </w:rPr>
      </w:pP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“Acceptance Procedure” shall mean the review of the Batch Related Documents and test(s) of the Product, if necessary, to verify that the Product delivered meets the Specifications and complies with Regulatory Authority requirements, conducted by Client after *’s release of the Product, to determine whether to accept the same, in accordance with the applicable </w:t>
      </w:r>
      <w:r>
        <w:rPr>
          <w:rFonts w:ascii="Times New Roman" w:cs="Times New Roman" w:eastAsia="Times New Roman" w:hAnsi="Times New Roman"/>
          <w:sz w:val="16"/>
          <w:szCs w:val="16"/>
          <w:color w:val="auto"/>
        </w:rPr>
        <w:t>QAG as modified from time to time by written agreement between the Parties.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“Affected Party” is defined in Section 17.3.</w:t>
      </w:r>
    </w:p>
    <w:p>
      <w:pPr>
        <w:spacing w:after="0" w:line="252"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“Affiliate” shall mean any corporation, company, partnership or other entity which directly or indirectly, controls, is controlled by or is under common control with either Party hereto. A corporation or other entity shall be regarded as controlling another corporation or other entity if it owns or directly or indirectly controls more than fifty percent (50 %) of the voting stock or other ownership interest of the corporation or other entity, or if possesses, directly or indirectly, the power to direct or cause the direction of the management and policies of the corporation or other entity or the power to elect or appoint more than fifty percent (50 %) of the members of the governing body of the corporation or other entity.</w:t>
      </w:r>
    </w:p>
    <w:p>
      <w:pPr>
        <w:spacing w:after="0" w:line="193"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“Applicable Laws” shall mean any and all applicable laws of any jurisdiction which are applicable to any of the Parties in carrying out activities described in this MSA or any PSAs that may be in effect from time to time, and shall include all statutes, enactments, acts of legislature, laws, ordinances, rules, regulations, notifications, guidelines, directions, directives and orders of any Regulatory Authority, statutory authority, stock exchange, securities regulatory agency, tribunal, board, or court or any central or state government or local authority or other governmental entity in such jurisdictions.</w:t>
      </w:r>
    </w:p>
    <w:p>
      <w:pPr>
        <w:spacing w:after="0" w:line="190" w:lineRule="exact"/>
        <w:rPr>
          <w:sz w:val="20"/>
          <w:szCs w:val="20"/>
          <w:color w:val="auto"/>
        </w:rPr>
      </w:pPr>
    </w:p>
    <w:p>
      <w:pPr>
        <w:jc w:val="both"/>
        <w:ind w:left="340" w:hanging="323"/>
        <w:spacing w:after="0" w:line="275" w:lineRule="auto"/>
        <w:rPr>
          <w:sz w:val="20"/>
          <w:szCs w:val="20"/>
          <w:color w:val="auto"/>
        </w:rPr>
      </w:pP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“Background IP” shall mean Intellectual Property which has been owned and/or controlled by a Party prior to the Effective Date or outside, or not relating to, the performance of the MSA and any pertinent PSA.</w:t>
      </w:r>
    </w:p>
    <w:p>
      <w:pPr>
        <w:spacing w:after="0" w:line="174" w:lineRule="exact"/>
        <w:rPr>
          <w:sz w:val="20"/>
          <w:szCs w:val="20"/>
          <w:color w:val="auto"/>
        </w:rPr>
      </w:pPr>
    </w:p>
    <w:p>
      <w:pPr>
        <w:ind w:left="120" w:hanging="112"/>
        <w:spacing w:after="0"/>
        <w:tabs>
          <w:tab w:leader="none" w:pos="1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114" w:name="page115"/>
    <w:bookmarkEnd w:id="114"/>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“Batch” shall mean Product Manufactured by </w:t>
      </w:r>
      <w:hyperlink w:anchor="page115">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from a single run of the applicable Manufacturing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“Batch Record” is defined in the applicable QAG.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“Batch Related Documents” means Manufacturing Documentation in support of the *’s release of a Product.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“Binding Year” shall be defined in the applicable PSA.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1.10</w:t>
      </w:r>
      <w:r>
        <w:rPr>
          <w:rFonts w:ascii="Times New Roman" w:cs="Times New Roman" w:eastAsia="Times New Roman" w:hAnsi="Times New Roman"/>
          <w:sz w:val="18"/>
          <w:szCs w:val="18"/>
          <w:color w:val="auto"/>
        </w:rPr>
        <w:t xml:space="preserve"> “Business Day” shall mean a day on which commercial banks are open for business in both the Republic of Korea and New York, New York.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“Cell Line” shall mean the aliquot of cells supplied to * by Client to perform the Services and their progeny.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“Certificate of Analysis” is defined in the applicable QAG.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“Certificate of Compliance” is defined in the applicable QAG.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 xml:space="preserve"> “Change” is defined in Section 6.1.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“Client” is defined in the preamble.</w:t>
      </w:r>
    </w:p>
    <w:p>
      <w:pPr>
        <w:spacing w:after="0" w:line="225" w:lineRule="exact"/>
        <w:rPr>
          <w:sz w:val="20"/>
          <w:szCs w:val="20"/>
          <w:color w:val="auto"/>
        </w:rPr>
      </w:pPr>
    </w:p>
    <w:p>
      <w:pPr>
        <w:jc w:val="both"/>
        <w:ind w:left="500" w:hanging="485"/>
        <w:spacing w:after="0" w:line="262" w:lineRule="auto"/>
        <w:rPr>
          <w:sz w:val="20"/>
          <w:szCs w:val="20"/>
          <w:color w:val="auto"/>
        </w:rPr>
      </w:pP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 xml:space="preserve"> “Client Materials” shall mean Client reagents and other materials supplied by Client or its third party supplier to be used in the Service hereunder, as each is further defined in the PSA and/or applicable QAG. In the case of a Drug Product PSA, Client Materials shall also include Drug Substance and/or other active pharmaceutical ingredients, which may or may not be Manufactured by *.</w:t>
      </w:r>
    </w:p>
    <w:p>
      <w:pPr>
        <w:spacing w:after="0" w:line="213" w:lineRule="exact"/>
        <w:rPr>
          <w:sz w:val="20"/>
          <w:szCs w:val="20"/>
          <w:color w:val="auto"/>
        </w:rPr>
      </w:pPr>
    </w:p>
    <w:p>
      <w:pPr>
        <w:jc w:val="both"/>
        <w:ind w:left="500" w:hanging="485"/>
        <w:spacing w:after="0" w:line="262" w:lineRule="auto"/>
        <w:rPr>
          <w:sz w:val="20"/>
          <w:szCs w:val="20"/>
          <w:color w:val="auto"/>
        </w:rPr>
      </w:pPr>
      <w:r>
        <w:rPr>
          <w:rFonts w:ascii="Times New Roman" w:cs="Times New Roman" w:eastAsia="Times New Roman" w:hAnsi="Times New Roman"/>
          <w:sz w:val="18"/>
          <w:szCs w:val="18"/>
          <w:u w:val="single" w:color="auto"/>
          <w:color w:val="auto"/>
        </w:rPr>
        <w:t>1.17</w:t>
      </w:r>
      <w:r>
        <w:rPr>
          <w:rFonts w:ascii="Times New Roman" w:cs="Times New Roman" w:eastAsia="Times New Roman" w:hAnsi="Times New Roman"/>
          <w:sz w:val="18"/>
          <w:szCs w:val="18"/>
          <w:color w:val="auto"/>
        </w:rPr>
        <w:t xml:space="preserve"> “Client Technology” shall mean know-how, technology, research and other information of Client including and relating to the Manufacturing Process, analytical methods, quality control analysis, specifications, transportation and storage requirements provided by Client to * in connection with this MSA and applicable PSA.</w:t>
      </w:r>
    </w:p>
    <w:p>
      <w:pPr>
        <w:spacing w:after="0" w:line="213" w:lineRule="exact"/>
        <w:rPr>
          <w:sz w:val="20"/>
          <w:szCs w:val="20"/>
          <w:color w:val="auto"/>
        </w:rPr>
      </w:pPr>
    </w:p>
    <w:p>
      <w:pPr>
        <w:jc w:val="both"/>
        <w:ind w:left="500" w:hanging="485"/>
        <w:spacing w:after="0" w:line="262" w:lineRule="auto"/>
        <w:rPr>
          <w:sz w:val="20"/>
          <w:szCs w:val="20"/>
          <w:color w:val="auto"/>
        </w:rPr>
      </w:pPr>
      <w:r>
        <w:rPr>
          <w:rFonts w:ascii="Times New Roman" w:cs="Times New Roman" w:eastAsia="Times New Roman" w:hAnsi="Times New Roman"/>
          <w:sz w:val="18"/>
          <w:szCs w:val="18"/>
          <w:u w:val="single" w:color="auto"/>
          <w:color w:val="auto"/>
        </w:rPr>
        <w:t>1.18</w:t>
      </w:r>
      <w:r>
        <w:rPr>
          <w:rFonts w:ascii="Times New Roman" w:cs="Times New Roman" w:eastAsia="Times New Roman" w:hAnsi="Times New Roman"/>
          <w:sz w:val="18"/>
          <w:szCs w:val="18"/>
          <w:color w:val="auto"/>
        </w:rPr>
        <w:t xml:space="preserve"> “Clinical Product” shall mean a Drug Substance or Drug Product which is Manufactured by * pursuant to a PSA and which is to be used by Client in a research study or studies that investigate the safety of human use or prospectively assign human participants or groups of humans to one or more health-related interventions to evaluate the effects on health outcomes.</w:t>
      </w:r>
    </w:p>
    <w:p>
      <w:pPr>
        <w:spacing w:after="0" w:line="213" w:lineRule="exact"/>
        <w:rPr>
          <w:sz w:val="20"/>
          <w:szCs w:val="20"/>
          <w:color w:val="auto"/>
        </w:rPr>
      </w:pPr>
    </w:p>
    <w:p>
      <w:pPr>
        <w:jc w:val="both"/>
        <w:ind w:left="500" w:hanging="485"/>
        <w:spacing w:after="0" w:line="275" w:lineRule="auto"/>
        <w:rPr>
          <w:sz w:val="20"/>
          <w:szCs w:val="20"/>
          <w:color w:val="auto"/>
        </w:rPr>
      </w:pP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“Commercial Product” shall mean a Drug Substance or Drug Product which is Manufactured by * which is intended for commercial sale and use by humans and for importation or exportation into countries or regions designated in each PSA.</w:t>
      </w:r>
    </w:p>
    <w:p>
      <w:pPr>
        <w:spacing w:after="0" w:line="34" w:lineRule="exact"/>
        <w:rPr>
          <w:sz w:val="20"/>
          <w:szCs w:val="20"/>
          <w:color w:val="auto"/>
        </w:rPr>
      </w:pPr>
    </w:p>
    <w:p>
      <w:pPr>
        <w:ind w:left="120" w:hanging="112"/>
        <w:spacing w:after="0"/>
        <w:tabs>
          <w:tab w:leader="none" w:pos="120" w:val="left"/>
        </w:tabs>
        <w:numPr>
          <w:ilvl w:val="0"/>
          <w:numId w:val="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15" w:name="page116"/>
    <w:bookmarkEnd w:id="115"/>
    <w:p>
      <w:pPr>
        <w:jc w:val="both"/>
        <w:ind w:left="500" w:hanging="485"/>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1.20</w:t>
      </w:r>
      <w:r>
        <w:rPr>
          <w:rFonts w:ascii="Times New Roman" w:cs="Times New Roman" w:eastAsia="Times New Roman" w:hAnsi="Times New Roman"/>
          <w:sz w:val="18"/>
          <w:szCs w:val="18"/>
          <w:color w:val="auto"/>
        </w:rPr>
        <w:t xml:space="preserve"> “Commercially Reasonable Efforts” shall mean with respect to an activity to be carried out by a Party, the carrying out of such activity in a diligent manner, which, in the case of </w:t>
      </w:r>
      <w:hyperlink w:anchor="page116">
        <w:r>
          <w:rPr>
            <w:rFonts w:ascii="Times New Roman" w:cs="Times New Roman" w:eastAsia="Times New Roman" w:hAnsi="Times New Roman"/>
            <w:sz w:val="12"/>
            <w:szCs w:val="12"/>
            <w:u w:val="single" w:color="auto"/>
            <w:color w:val="0000EE"/>
          </w:rPr>
          <w:t>*</w:t>
        </w:r>
      </w:hyperlink>
      <w:r>
        <w:rPr>
          <w:rFonts w:ascii="Times New Roman" w:cs="Times New Roman" w:eastAsia="Times New Roman" w:hAnsi="Times New Roman"/>
          <w:sz w:val="18"/>
          <w:szCs w:val="18"/>
          <w:color w:val="auto"/>
        </w:rPr>
        <w:t>, requires using the efforts of sufficient numbers of personnel appropriately qualified by experience and training, in the application of such resources as would be reasonably applied by a qualified manufacturer of biologics for human use adhering to recognized standards in the manufacture and testing of such products, or, in the case of Client, using such efforts as would be typically be used in the biopharmaceutical industry by companies of comparable resources and expertise. “Commercially Reasonable Efforts” requires prompt assignment of responsibility for such task or activity to specific qualified employee(s) and allocation of resources designed to advance progress with respect to such task or activity but does not require the taking of actions which would require either Party to violate Applicable Laws or break any existing contractual commitments with third parties which were entered into prior to the Effective Date, the performance of which at such time was not reasonably foreseeable to be in conflict, or otherwise inconsistent, with such Party’s obligations under the MSA or any PSA.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“Common Raw Materials” is defined in Section 5.3.1.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xml:space="preserve"> “Confidential Information” is defined in Section 10.1.</w:t>
      </w:r>
    </w:p>
    <w:p>
      <w:pPr>
        <w:spacing w:after="0" w:line="252" w:lineRule="exact"/>
        <w:rPr>
          <w:sz w:val="20"/>
          <w:szCs w:val="20"/>
          <w:color w:val="auto"/>
        </w:rPr>
      </w:pPr>
    </w:p>
    <w:p>
      <w:pPr>
        <w:jc w:val="both"/>
        <w:ind w:left="480" w:hanging="485"/>
        <w:spacing w:after="0" w:line="262" w:lineRule="auto"/>
        <w:tabs>
          <w:tab w:leader="none" w:pos="460" w:val="left"/>
        </w:tabs>
        <w:rPr>
          <w:sz w:val="20"/>
          <w:szCs w:val="20"/>
          <w:color w:val="auto"/>
        </w:rPr>
      </w:pPr>
      <w:r>
        <w:rPr>
          <w:rFonts w:ascii="Times New Roman" w:cs="Times New Roman" w:eastAsia="Times New Roman" w:hAnsi="Times New Roman"/>
          <w:sz w:val="18"/>
          <w:szCs w:val="18"/>
          <w:u w:val="single" w:color="auto"/>
          <w:color w:val="auto"/>
        </w:rPr>
        <w:t>1.23</w:t>
      </w:r>
      <w:r>
        <w:rPr>
          <w:sz w:val="20"/>
          <w:szCs w:val="20"/>
          <w:color w:val="auto"/>
        </w:rPr>
        <w:tab/>
      </w:r>
      <w:r>
        <w:rPr>
          <w:rFonts w:ascii="Times New Roman" w:cs="Times New Roman" w:eastAsia="Times New Roman" w:hAnsi="Times New Roman"/>
          <w:sz w:val="18"/>
          <w:szCs w:val="18"/>
          <w:color w:val="auto"/>
        </w:rPr>
        <w:t>“Control” (including, with correlative meanings, “Controlled”) means possession, directly or indirectly, of power to direct or cause the direction of management or policies (whether through ownership of securities or other ownership interest, by contract or otherwise) of that person or entity and/or the ownership of more than 50% of the voting shares of that person or entity.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“Core Team” is defined in Section 3.3.</w:t>
      </w:r>
    </w:p>
    <w:p>
      <w:pPr>
        <w:spacing w:after="0" w:line="225" w:lineRule="exact"/>
        <w:rPr>
          <w:sz w:val="20"/>
          <w:szCs w:val="20"/>
          <w:color w:val="auto"/>
        </w:rPr>
      </w:pPr>
    </w:p>
    <w:p>
      <w:pPr>
        <w:jc w:val="both"/>
        <w:ind w:left="500" w:hanging="485"/>
        <w:spacing w:after="0" w:line="254" w:lineRule="auto"/>
        <w:rPr>
          <w:sz w:val="20"/>
          <w:szCs w:val="20"/>
          <w:color w:val="auto"/>
        </w:rPr>
      </w:pPr>
      <w:r>
        <w:rPr>
          <w:rFonts w:ascii="Times New Roman" w:cs="Times New Roman" w:eastAsia="Times New Roman" w:hAnsi="Times New Roman"/>
          <w:sz w:val="18"/>
          <w:szCs w:val="18"/>
          <w:u w:val="single" w:color="auto"/>
          <w:color w:val="auto"/>
        </w:rPr>
        <w:t>1.25</w:t>
      </w:r>
      <w:r>
        <w:rPr>
          <w:rFonts w:ascii="Times New Roman" w:cs="Times New Roman" w:eastAsia="Times New Roman" w:hAnsi="Times New Roman"/>
          <w:sz w:val="18"/>
          <w:szCs w:val="18"/>
          <w:color w:val="auto"/>
        </w:rPr>
        <w:t xml:space="preserve"> “current Good Manufacturing Practices” or “cGMP” shall mean current good manufacturing practices and regulations applicable to the Manufacture of Product that are promulgated by any Regulatory Authority, including as promulgated under and in accordance with (i) the U.S. Federal Food, Drug and Cosmetic Act, Title 21 of the U.S. Code of Federal Regulations, Parts 210, 211, 600, 601 and 610, (ii) relevant EU legislation, including European Directive 2003/94/EC or national implementations of that Directive, (iii) relevant guidelines, including the EU Guidelines for Good Manufacturing Practices for Medicinal Products (Eudralex Vol. 4 and Annexes thereto), (iv) International Conference on Harmonisation Good Manufacturing Practice Guide for Active Pharmaceuticals Ingredients and (v) and any analogous set of regulations, guidelines or standards as defined, from time to time, by any relevant Regulatory Authority having jurisdiction over the development, manufacture or commercialization of the Product, as applicable, in each case as in effect as of the date such manufacturing for the Product are or were conducted.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1.26</w:t>
      </w:r>
      <w:r>
        <w:rPr>
          <w:rFonts w:ascii="Times New Roman" w:cs="Times New Roman" w:eastAsia="Times New Roman" w:hAnsi="Times New Roman"/>
          <w:sz w:val="18"/>
          <w:szCs w:val="18"/>
          <w:color w:val="auto"/>
        </w:rPr>
        <w:t xml:space="preserve"> “Damages” means any damages, costs, expenses, fines, penalties (including reasonable attorneys’ fees and costs), losses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1.27</w:t>
      </w:r>
      <w:r>
        <w:rPr>
          <w:rFonts w:ascii="Times New Roman" w:cs="Times New Roman" w:eastAsia="Times New Roman" w:hAnsi="Times New Roman"/>
          <w:sz w:val="18"/>
          <w:szCs w:val="18"/>
          <w:color w:val="auto"/>
        </w:rPr>
        <w:t xml:space="preserve"> “Disclosing Party” is defined in Section 10.1.</w:t>
      </w:r>
    </w:p>
    <w:p>
      <w:pPr>
        <w:spacing w:after="0" w:line="166" w:lineRule="exact"/>
        <w:rPr>
          <w:sz w:val="20"/>
          <w:szCs w:val="20"/>
          <w:color w:val="auto"/>
        </w:rPr>
      </w:pPr>
    </w:p>
    <w:p>
      <w:pPr>
        <w:ind w:left="120" w:hanging="112"/>
        <w:spacing w:after="0"/>
        <w:tabs>
          <w:tab w:leader="none" w:pos="120"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jc w:val="both"/>
        <w:ind w:left="500" w:right="20" w:hanging="485"/>
        <w:spacing w:after="0" w:line="275" w:lineRule="auto"/>
        <w:rPr>
          <w:sz w:val="20"/>
          <w:szCs w:val="20"/>
          <w:color w:val="auto"/>
        </w:rPr>
      </w:pPr>
      <w:r>
        <w:rPr>
          <w:rFonts w:ascii="Times New Roman" w:cs="Times New Roman" w:eastAsia="Times New Roman" w:hAnsi="Times New Roman"/>
          <w:sz w:val="18"/>
          <w:szCs w:val="18"/>
          <w:u w:val="single" w:color="auto"/>
          <w:color w:val="auto"/>
        </w:rPr>
        <w:t>1.28</w:t>
      </w:r>
      <w:r>
        <w:rPr>
          <w:rFonts w:ascii="Times New Roman" w:cs="Times New Roman" w:eastAsia="Times New Roman" w:hAnsi="Times New Roman"/>
          <w:sz w:val="18"/>
          <w:szCs w:val="18"/>
          <w:color w:val="auto"/>
        </w:rPr>
        <w:t xml:space="preserve"> “Drug Product” means a finished or intermediate dosage form that contains a Drug Substance, generally, but not necessarily, in association with one or more other ingredients.</w:t>
      </w:r>
    </w:p>
    <w:p>
      <w:pPr>
        <w:spacing w:after="0" w:line="106" w:lineRule="exact"/>
        <w:rPr>
          <w:sz w:val="20"/>
          <w:szCs w:val="20"/>
          <w:color w:val="auto"/>
        </w:rPr>
      </w:pPr>
    </w:p>
    <w:p>
      <w:pPr>
        <w:jc w:val="both"/>
        <w:ind w:left="500" w:hanging="485"/>
        <w:spacing w:after="0" w:line="262" w:lineRule="auto"/>
        <w:rPr>
          <w:sz w:val="20"/>
          <w:szCs w:val="20"/>
          <w:color w:val="auto"/>
        </w:rPr>
      </w:pPr>
      <w:r>
        <w:rPr>
          <w:rFonts w:ascii="Times New Roman" w:cs="Times New Roman" w:eastAsia="Times New Roman" w:hAnsi="Times New Roman"/>
          <w:sz w:val="18"/>
          <w:szCs w:val="18"/>
          <w:u w:val="single" w:color="auto"/>
          <w:color w:val="auto"/>
        </w:rPr>
        <w:t>1.29</w:t>
      </w:r>
      <w:r>
        <w:rPr>
          <w:rFonts w:ascii="Times New Roman" w:cs="Times New Roman" w:eastAsia="Times New Roman" w:hAnsi="Times New Roman"/>
          <w:sz w:val="18"/>
          <w:szCs w:val="18"/>
          <w:color w:val="auto"/>
        </w:rPr>
        <w:t xml:space="preserve"> “Drug Substance” means an active ingredient that is intended to furnish pharmacological activity or other direct effect in the diagnosis, cure, mitigation, treatment, or prevention of disease or to affect the structure or any function of the human body, but does not include intermediates used in the synthesis of such ingredient.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1.30</w:t>
      </w:r>
      <w:r>
        <w:rPr>
          <w:rFonts w:ascii="Times New Roman" w:cs="Times New Roman" w:eastAsia="Times New Roman" w:hAnsi="Times New Roman"/>
          <w:sz w:val="18"/>
          <w:szCs w:val="18"/>
          <w:color w:val="auto"/>
        </w:rPr>
        <w:t xml:space="preserve"> “Effective Date” is defined in the preamble.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1.31</w:t>
      </w:r>
      <w:r>
        <w:rPr>
          <w:rFonts w:ascii="Times New Roman" w:cs="Times New Roman" w:eastAsia="Times New Roman" w:hAnsi="Times New Roman"/>
          <w:sz w:val="18"/>
          <w:szCs w:val="18"/>
          <w:color w:val="auto"/>
        </w:rPr>
        <w:t xml:space="preserve"> “EMA” shall mean the European Medicines Agency, or any successor agency.</w:t>
      </w:r>
    </w:p>
    <w:p>
      <w:pPr>
        <w:spacing w:after="0" w:line="252" w:lineRule="exact"/>
        <w:rPr>
          <w:sz w:val="20"/>
          <w:szCs w:val="20"/>
          <w:color w:val="auto"/>
        </w:rPr>
      </w:pPr>
    </w:p>
    <w:p>
      <w:pPr>
        <w:jc w:val="both"/>
        <w:ind w:left="500" w:hanging="485"/>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1.32</w:t>
      </w:r>
      <w:r>
        <w:rPr>
          <w:rFonts w:ascii="Times New Roman" w:cs="Times New Roman" w:eastAsia="Times New Roman" w:hAnsi="Times New Roman"/>
          <w:sz w:val="18"/>
          <w:szCs w:val="18"/>
          <w:color w:val="auto"/>
        </w:rPr>
        <w:t xml:space="preserve"> “Engineering Batch” shall mean a Batch that is intended to demonstrate the transfer of the Manufacturing Process to the Facility. After Manufacture, Client shall have the right to make whatever further use of non-cGMP Engineering Batches as it shall determine, provided that Client pays for such Batches according to this MSA, such use is not for human use and does not violate any Applicable Laws. </w:t>
      </w:r>
      <w:hyperlink w:anchor="page117">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makes no warranty that Engineering Batches will meet cGMP or the Specifications. If * determines that an Engineering Batch does meet cGMP and the Specifications, it will release such Engineering Batch as a cGMP Batch, and thereafter Client shall be entitled to use such Engineering Batch for human use.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1.33</w:t>
      </w:r>
      <w:r>
        <w:rPr>
          <w:rFonts w:ascii="Times New Roman" w:cs="Times New Roman" w:eastAsia="Times New Roman" w:hAnsi="Times New Roman"/>
          <w:sz w:val="18"/>
          <w:szCs w:val="18"/>
          <w:color w:val="auto"/>
        </w:rPr>
        <w:t xml:space="preserve"> “Facility” shall mean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1.34</w:t>
      </w:r>
      <w:r>
        <w:rPr>
          <w:rFonts w:ascii="Times New Roman" w:cs="Times New Roman" w:eastAsia="Times New Roman" w:hAnsi="Times New Roman"/>
          <w:sz w:val="18"/>
          <w:szCs w:val="18"/>
          <w:color w:val="auto"/>
        </w:rPr>
        <w:t xml:space="preserve"> “FDA” shall mean the United States Food and Drug Administration or any successor agency thereto.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1.35</w:t>
      </w:r>
      <w:r>
        <w:rPr>
          <w:rFonts w:ascii="Times New Roman" w:cs="Times New Roman" w:eastAsia="Times New Roman" w:hAnsi="Times New Roman"/>
          <w:sz w:val="18"/>
          <w:szCs w:val="18"/>
          <w:color w:val="auto"/>
        </w:rPr>
        <w:t xml:space="preserve"> “Firm Period” shall be defined in the applicable PSA.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1.36</w:t>
      </w:r>
      <w:r>
        <w:rPr>
          <w:rFonts w:ascii="Times New Roman" w:cs="Times New Roman" w:eastAsia="Times New Roman" w:hAnsi="Times New Roman"/>
          <w:sz w:val="18"/>
          <w:szCs w:val="18"/>
          <w:color w:val="auto"/>
        </w:rPr>
        <w:t xml:space="preserve"> “Force Majeure Event” is defined in Section 17.3.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1.37</w:t>
      </w:r>
      <w:r>
        <w:rPr>
          <w:rFonts w:ascii="Times New Roman" w:cs="Times New Roman" w:eastAsia="Times New Roman" w:hAnsi="Times New Roman"/>
          <w:sz w:val="18"/>
          <w:szCs w:val="18"/>
          <w:color w:val="auto"/>
        </w:rPr>
        <w:t xml:space="preserve"> “Implementation Plan and Budget” is defined in Section 6.2(b).</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1.38</w:t>
      </w:r>
      <w:r>
        <w:rPr>
          <w:rFonts w:ascii="Times New Roman" w:cs="Times New Roman" w:eastAsia="Times New Roman" w:hAnsi="Times New Roman"/>
          <w:sz w:val="18"/>
          <w:szCs w:val="18"/>
          <w:color w:val="auto"/>
        </w:rPr>
        <w:t xml:space="preserve"> “Indemnified Party” is defined in Section 13.3.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1.39</w:t>
      </w:r>
      <w:r>
        <w:rPr>
          <w:rFonts w:ascii="Times New Roman" w:cs="Times New Roman" w:eastAsia="Times New Roman" w:hAnsi="Times New Roman"/>
          <w:sz w:val="18"/>
          <w:szCs w:val="18"/>
          <w:color w:val="auto"/>
        </w:rPr>
        <w:t xml:space="preserve"> “Indemnifying Party” is defined in Section 13.3.</w:t>
      </w:r>
    </w:p>
    <w:p>
      <w:pPr>
        <w:spacing w:after="0" w:line="252" w:lineRule="exact"/>
        <w:rPr>
          <w:sz w:val="20"/>
          <w:szCs w:val="20"/>
          <w:color w:val="auto"/>
        </w:rPr>
      </w:pPr>
    </w:p>
    <w:p>
      <w:pPr>
        <w:jc w:val="both"/>
        <w:ind w:left="500" w:hanging="485"/>
        <w:spacing w:after="0" w:line="254" w:lineRule="auto"/>
        <w:rPr>
          <w:sz w:val="20"/>
          <w:szCs w:val="20"/>
          <w:color w:val="auto"/>
        </w:rPr>
      </w:pPr>
      <w:r>
        <w:rPr>
          <w:rFonts w:ascii="Times New Roman" w:cs="Times New Roman" w:eastAsia="Times New Roman" w:hAnsi="Times New Roman"/>
          <w:sz w:val="18"/>
          <w:szCs w:val="18"/>
          <w:u w:val="single" w:color="auto"/>
          <w:color w:val="auto"/>
        </w:rPr>
        <w:t>1.40</w:t>
      </w:r>
      <w:r>
        <w:rPr>
          <w:rFonts w:ascii="Times New Roman" w:cs="Times New Roman" w:eastAsia="Times New Roman" w:hAnsi="Times New Roman"/>
          <w:sz w:val="18"/>
          <w:szCs w:val="18"/>
          <w:color w:val="auto"/>
        </w:rPr>
        <w:t xml:space="preserve"> “Intellectual Property” is shall mean (a) patents, patent rights, provisional patent applications, patent applications, designs, registered designs, registered design applications, industrial designs, industrial design applications and industrial design registrations, including any and all divisions, continuations, continuations-in-part, extensions, restorations, substitutions, renewals, registrations, revalidations, reexaminations, reissues or additions, including supplementary certificates of protection, of or to any of the foregoing items; (b) copyrights, copyright registrations, copyright applications, original works of authorship fixed in any tangible medium of expression, including literary works (including all forms and types of computer software, including all source code, object code, firmware, development tools, files, records and data, and all documentation related to any of the foregoing), pictorial and graphic works; (c) trade secrets, technology, developments, discoveries and improvements, know- how, proprietary rights, formulae, confidential and proprietary information, technical information, techniques, inventions,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which have actual or potential commercial value and are not available in the public domain; (d) trademarks, trademark registrations, trademark applications, service marks, service mark registrations, service mark applications, business marks, brand names, trade names, trade dress, names, logos and slogans, Internet domain names, and all goodwill associated therewith; and (e) all other intellectual property or proprietary rights, in each case whether or not subject to statutory registration or protection.</w:t>
      </w:r>
    </w:p>
    <w:p>
      <w:pPr>
        <w:spacing w:after="0" w:line="61" w:lineRule="exact"/>
        <w:rPr>
          <w:sz w:val="20"/>
          <w:szCs w:val="20"/>
          <w:color w:val="auto"/>
        </w:rPr>
      </w:pPr>
    </w:p>
    <w:p>
      <w:pPr>
        <w:ind w:left="120" w:hanging="112"/>
        <w:spacing w:after="0"/>
        <w:tabs>
          <w:tab w:leader="none" w:pos="120" w:val="left"/>
        </w:tabs>
        <w:numPr>
          <w:ilvl w:val="0"/>
          <w:numId w:val="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auto"/>
        </w:rPr>
        <w:t>1.41</w:t>
      </w:r>
      <w:r>
        <w:rPr>
          <w:rFonts w:ascii="Times New Roman" w:cs="Times New Roman" w:eastAsia="Times New Roman" w:hAnsi="Times New Roman"/>
          <w:sz w:val="18"/>
          <w:szCs w:val="18"/>
          <w:color w:val="auto"/>
        </w:rPr>
        <w:t xml:space="preserve"> “Joint Steering Committee” or “JSC” is defined in Section 3.2.1.</w:t>
      </w:r>
    </w:p>
    <w:p>
      <w:pPr>
        <w:spacing w:after="0" w:line="225" w:lineRule="exact"/>
        <w:rPr>
          <w:sz w:val="20"/>
          <w:szCs w:val="20"/>
          <w:color w:val="auto"/>
        </w:rPr>
      </w:pPr>
    </w:p>
    <w:p>
      <w:pPr>
        <w:ind w:left="500" w:hanging="485"/>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1.42</w:t>
      </w:r>
      <w:r>
        <w:rPr>
          <w:rFonts w:ascii="Times New Roman" w:cs="Times New Roman" w:eastAsia="Times New Roman" w:hAnsi="Times New Roman"/>
          <w:sz w:val="18"/>
          <w:szCs w:val="18"/>
          <w:color w:val="auto"/>
        </w:rPr>
        <w:t xml:space="preserve"> “Manufacturing” or to “Manufacture” shall mean the manufacturing of the Product, and any services relating to such manufacturing, including, but not limited to, testing, quality control, documentations, archiving, handling, storage and packaging, release and delivery of the Product, to be performed by </w:t>
      </w:r>
      <w:hyperlink w:anchor="page118">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at the Facility under the MSA and any applicable PSA.</w:t>
      </w:r>
    </w:p>
    <w:p>
      <w:pPr>
        <w:spacing w:after="0" w:line="186" w:lineRule="exact"/>
        <w:rPr>
          <w:sz w:val="20"/>
          <w:szCs w:val="20"/>
          <w:color w:val="auto"/>
        </w:rPr>
      </w:pPr>
    </w:p>
    <w:p>
      <w:pPr>
        <w:ind w:left="500" w:right="60" w:hanging="485"/>
        <w:spacing w:after="0" w:line="256" w:lineRule="auto"/>
        <w:rPr>
          <w:sz w:val="20"/>
          <w:szCs w:val="20"/>
          <w:color w:val="auto"/>
        </w:rPr>
      </w:pPr>
      <w:r>
        <w:rPr>
          <w:rFonts w:ascii="Times New Roman" w:cs="Times New Roman" w:eastAsia="Times New Roman" w:hAnsi="Times New Roman"/>
          <w:sz w:val="18"/>
          <w:szCs w:val="18"/>
          <w:u w:val="single" w:color="auto"/>
          <w:color w:val="auto"/>
        </w:rPr>
        <w:t>1.43</w:t>
      </w:r>
      <w:r>
        <w:rPr>
          <w:rFonts w:ascii="Times New Roman" w:cs="Times New Roman" w:eastAsia="Times New Roman" w:hAnsi="Times New Roman"/>
          <w:sz w:val="18"/>
          <w:szCs w:val="18"/>
          <w:color w:val="auto"/>
        </w:rPr>
        <w:t xml:space="preserve"> “Manufacturing Documentation” shall mean data acquired and generated, documents and records describing or otherwise related to the Manufacturing Process including, without limitation: documents and records consisting of or containing process descriptions, requirements and specifications; Client Materials and Specifications; analytical methods, process trend and variability data; validations protocols and reports; process development reports; Batch Records; Batch Related Documents, and SOPs, including, without limitation, SOP’s for the Raw Materials handling, the Manufacturing operations, equipment operation, in-process, final Product and stability quality control testing, quality assurance, validation, storage and shipping.</w:t>
      </w:r>
    </w:p>
    <w:p>
      <w:pPr>
        <w:spacing w:after="0" w:line="193" w:lineRule="exact"/>
        <w:rPr>
          <w:sz w:val="20"/>
          <w:szCs w:val="20"/>
          <w:color w:val="auto"/>
        </w:rPr>
      </w:pPr>
    </w:p>
    <w:p>
      <w:pPr>
        <w:jc w:val="both"/>
        <w:ind w:left="500" w:right="200" w:hanging="485"/>
        <w:spacing w:after="0" w:line="262" w:lineRule="auto"/>
        <w:rPr>
          <w:sz w:val="20"/>
          <w:szCs w:val="20"/>
          <w:color w:val="auto"/>
        </w:rPr>
      </w:pPr>
      <w:r>
        <w:rPr>
          <w:rFonts w:ascii="Times New Roman" w:cs="Times New Roman" w:eastAsia="Times New Roman" w:hAnsi="Times New Roman"/>
          <w:sz w:val="18"/>
          <w:szCs w:val="18"/>
          <w:u w:val="single" w:color="auto"/>
          <w:color w:val="auto"/>
        </w:rPr>
        <w:t>1.44</w:t>
      </w:r>
      <w:r>
        <w:rPr>
          <w:rFonts w:ascii="Times New Roman" w:cs="Times New Roman" w:eastAsia="Times New Roman" w:hAnsi="Times New Roman"/>
          <w:sz w:val="18"/>
          <w:szCs w:val="18"/>
          <w:color w:val="auto"/>
        </w:rPr>
        <w:t xml:space="preserve"> “Manufacturing Process” shall mean the mutually agreed production process and analytical methods for the Manufacturing of the Product pursuant to the applicable PSA, as summarily described in the applicable QAG and as described in the Manufacturing Documentation, as such process may be changed from time to time in accordance with the MSA.</w:t>
      </w:r>
    </w:p>
    <w:p>
      <w:pPr>
        <w:spacing w:after="0" w:line="186" w:lineRule="exact"/>
        <w:rPr>
          <w:sz w:val="20"/>
          <w:szCs w:val="20"/>
          <w:color w:val="auto"/>
        </w:rPr>
      </w:pPr>
    </w:p>
    <w:p>
      <w:pPr>
        <w:ind w:left="500" w:hanging="485"/>
        <w:spacing w:after="0" w:line="246" w:lineRule="auto"/>
        <w:rPr>
          <w:sz w:val="20"/>
          <w:szCs w:val="20"/>
          <w:color w:val="auto"/>
        </w:rPr>
      </w:pPr>
      <w:r>
        <w:rPr>
          <w:rFonts w:ascii="Times New Roman" w:cs="Times New Roman" w:eastAsia="Times New Roman" w:hAnsi="Times New Roman"/>
          <w:sz w:val="18"/>
          <w:szCs w:val="18"/>
          <w:u w:val="single" w:color="auto"/>
          <w:color w:val="auto"/>
        </w:rPr>
        <w:t>1.45</w:t>
      </w:r>
      <w:r>
        <w:rPr>
          <w:rFonts w:ascii="Times New Roman" w:cs="Times New Roman" w:eastAsia="Times New Roman" w:hAnsi="Times New Roman"/>
          <w:sz w:val="18"/>
          <w:szCs w:val="18"/>
          <w:color w:val="auto"/>
        </w:rPr>
        <w:t xml:space="preserve"> “Manufacturing Process Transfer” means the Commercially Reasonable Efforts of the parties undertaken pursuant to the Manufacturing Process Transfer Plan to transfer the Manufacturing Process (together with copies of relevant books and records) in *’s possession or under its control, to Client as set forth in greater detail in the Manufacturing Process Transfer Plan. * shall only be obligated to use its Commercially Reasonable Efforts in the implementation of the Manufacturing Transfer Plan, and in no case shall * personnel be required to visit the site of Client or any third party manufacturer. For the avoidance of doubt, the foregoing prohibition shall not be construed as a basis for * refusing to assist in the transfer of analytical methods to an independent laboratory, including a visit by * personnel to such site to assist in method transfer, if, and only as, reasonably necessary, and at Client’s cost and expense. For the avoidance of doubt, Manufacturing Process Transfer shall include, without limitation, the transfer of data, information, or samples of validated or * manufactured or partially manufactured Products or other indicia measured at various points during Manufacture, to the extent * possesses such data, information, or samples. * shall not be obligated to deliver the proprietary process information contained in any drug master file with respect to which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has granted Client a right of reference. * shall provide Manufacturing Process Transfer services with a capacity of one (1) full time employee equivalent (“FTE”) month for each of upstream, downstream and analytics, for a total maximum of three (3) FTE months. * will have no obligation to provide Manufacturing Process Transfer services more than twelve (12) months after termination of the MSA or applicable PSA. For clarity, *'s assistance shall be time- based, and * shall in no way guarantee or ensure that after Manufacturing Process Transfer services is complete, Client or its third-party manufacturer will be able to manufacture the Product.</w:t>
      </w:r>
    </w:p>
    <w:p>
      <w:pPr>
        <w:spacing w:after="0" w:line="141" w:lineRule="exact"/>
        <w:rPr>
          <w:sz w:val="20"/>
          <w:szCs w:val="20"/>
          <w:color w:val="auto"/>
        </w:rPr>
      </w:pPr>
    </w:p>
    <w:p>
      <w:pPr>
        <w:ind w:left="120" w:hanging="112"/>
        <w:spacing w:after="0"/>
        <w:tabs>
          <w:tab w:leader="none" w:pos="120" w:val="left"/>
        </w:tabs>
        <w:numPr>
          <w:ilvl w:val="0"/>
          <w:numId w:val="6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18" w:name="page119"/>
    <w:bookmarkEnd w:id="118"/>
    <w:p>
      <w:pPr>
        <w:jc w:val="both"/>
        <w:ind w:left="500" w:hanging="485"/>
        <w:spacing w:after="0" w:line="339" w:lineRule="auto"/>
        <w:rPr>
          <w:sz w:val="20"/>
          <w:szCs w:val="20"/>
          <w:color w:val="auto"/>
        </w:rPr>
      </w:pPr>
      <w:r>
        <w:rPr>
          <w:rFonts w:ascii="Times New Roman" w:cs="Times New Roman" w:eastAsia="Times New Roman" w:hAnsi="Times New Roman"/>
          <w:sz w:val="16"/>
          <w:szCs w:val="16"/>
          <w:u w:val="single" w:color="auto"/>
          <w:color w:val="auto"/>
        </w:rPr>
        <w:t>1.46</w:t>
      </w:r>
      <w:r>
        <w:rPr>
          <w:rFonts w:ascii="Times New Roman" w:cs="Times New Roman" w:eastAsia="Times New Roman" w:hAnsi="Times New Roman"/>
          <w:sz w:val="16"/>
          <w:szCs w:val="16"/>
          <w:color w:val="auto"/>
        </w:rPr>
        <w:t xml:space="preserve"> “Manufacturing Process Transfer Plan” means that plan addressing orderly Manufacturing Process Transfer, to be prepared in writing and reasonably agreed to by the parties within the forty (40) Business Day period following notice from Client to * of its intention to commence Manufacturing Process Transfer.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1.47</w:t>
      </w:r>
      <w:r>
        <w:rPr>
          <w:rFonts w:ascii="Times New Roman" w:cs="Times New Roman" w:eastAsia="Times New Roman" w:hAnsi="Times New Roman"/>
          <w:sz w:val="18"/>
          <w:szCs w:val="18"/>
          <w:color w:val="auto"/>
        </w:rPr>
        <w:t xml:space="preserve"> “Non-Affected Party” is defined in Section 17.3.</w:t>
      </w:r>
    </w:p>
    <w:p>
      <w:pPr>
        <w:spacing w:after="0" w:line="158" w:lineRule="exact"/>
        <w:rPr>
          <w:sz w:val="20"/>
          <w:szCs w:val="20"/>
          <w:color w:val="auto"/>
        </w:rPr>
      </w:pPr>
    </w:p>
    <w:p>
      <w:pPr>
        <w:jc w:val="both"/>
        <w:ind w:left="500" w:hanging="485"/>
        <w:spacing w:after="0" w:line="275" w:lineRule="auto"/>
        <w:rPr>
          <w:sz w:val="20"/>
          <w:szCs w:val="20"/>
          <w:color w:val="auto"/>
        </w:rPr>
      </w:pPr>
      <w:r>
        <w:rPr>
          <w:rFonts w:ascii="Times New Roman" w:cs="Times New Roman" w:eastAsia="Times New Roman" w:hAnsi="Times New Roman"/>
          <w:sz w:val="18"/>
          <w:szCs w:val="18"/>
          <w:u w:val="single" w:color="auto"/>
          <w:color w:val="auto"/>
        </w:rPr>
        <w:t>1.48</w:t>
      </w:r>
      <w:r>
        <w:rPr>
          <w:rFonts w:ascii="Times New Roman" w:cs="Times New Roman" w:eastAsia="Times New Roman" w:hAnsi="Times New Roman"/>
          <w:sz w:val="18"/>
          <w:szCs w:val="18"/>
          <w:color w:val="auto"/>
        </w:rPr>
        <w:t xml:space="preserve"> “Non-Conforming Product” shall mean an entire Batch of Product, any portion of which fails to conform to the Specifications, cGMP (if applicable), and any other mutually agreed upon written express requirements for * to follow under the applicable PSA and the applicable QAG.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1.49</w:t>
      </w:r>
      <w:r>
        <w:rPr>
          <w:rFonts w:ascii="Times New Roman" w:cs="Times New Roman" w:eastAsia="Times New Roman" w:hAnsi="Times New Roman"/>
          <w:sz w:val="18"/>
          <w:szCs w:val="18"/>
          <w:color w:val="auto"/>
        </w:rPr>
        <w:t xml:space="preserve"> “Party” and “Parties” is defined in the preamble.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1.50</w:t>
      </w:r>
      <w:r>
        <w:rPr>
          <w:rFonts w:ascii="Times New Roman" w:cs="Times New Roman" w:eastAsia="Times New Roman" w:hAnsi="Times New Roman"/>
          <w:sz w:val="18"/>
          <w:szCs w:val="18"/>
          <w:color w:val="auto"/>
        </w:rPr>
        <w:t xml:space="preserve"> “Pilot Batch” means a Batch of Product designated as a pilot Batch which shall not comply with cGMP and is not required to meet the Specifications.</w:t>
      </w:r>
    </w:p>
    <w:p>
      <w:pPr>
        <w:spacing w:after="0" w:line="158" w:lineRule="exact"/>
        <w:rPr>
          <w:sz w:val="20"/>
          <w:szCs w:val="20"/>
          <w:color w:val="auto"/>
        </w:rPr>
      </w:pPr>
    </w:p>
    <w:p>
      <w:pPr>
        <w:jc w:val="both"/>
        <w:ind w:left="460" w:hanging="485"/>
        <w:spacing w:after="0" w:line="262" w:lineRule="auto"/>
        <w:tabs>
          <w:tab w:leader="none" w:pos="440" w:val="left"/>
        </w:tabs>
        <w:rPr>
          <w:sz w:val="20"/>
          <w:szCs w:val="20"/>
          <w:color w:val="auto"/>
        </w:rPr>
      </w:pPr>
      <w:r>
        <w:rPr>
          <w:rFonts w:ascii="Times New Roman" w:cs="Times New Roman" w:eastAsia="Times New Roman" w:hAnsi="Times New Roman"/>
          <w:sz w:val="18"/>
          <w:szCs w:val="18"/>
          <w:u w:val="single" w:color="auto"/>
          <w:color w:val="auto"/>
        </w:rPr>
        <w:t>1.51</w:t>
      </w:r>
      <w:r>
        <w:rPr>
          <w:sz w:val="20"/>
          <w:szCs w:val="20"/>
          <w:color w:val="auto"/>
        </w:rPr>
        <w:tab/>
      </w:r>
      <w:r>
        <w:rPr>
          <w:rFonts w:ascii="Times New Roman" w:cs="Times New Roman" w:eastAsia="Times New Roman" w:hAnsi="Times New Roman"/>
          <w:sz w:val="18"/>
          <w:szCs w:val="18"/>
          <w:color w:val="auto"/>
        </w:rPr>
        <w:t>“Pre-Approval Inspection” means an on-site inspection of the Facility by the Regulatory Authority prior to granting the Regulatory Approval for a Commercial Product as required by various Regulatory Authorities to ensure that the Manufacturing Process and the Facility meet the appropriate requirements and comply with cGMP.</w:t>
      </w:r>
    </w:p>
    <w:p>
      <w:pPr>
        <w:spacing w:after="0" w:line="119" w:lineRule="exact"/>
        <w:rPr>
          <w:sz w:val="20"/>
          <w:szCs w:val="20"/>
          <w:color w:val="auto"/>
        </w:rPr>
      </w:pPr>
    </w:p>
    <w:p>
      <w:pPr>
        <w:jc w:val="both"/>
        <w:ind w:left="500" w:hanging="485"/>
        <w:spacing w:after="0" w:line="262" w:lineRule="auto"/>
        <w:rPr>
          <w:sz w:val="20"/>
          <w:szCs w:val="20"/>
          <w:color w:val="auto"/>
        </w:rPr>
      </w:pPr>
      <w:r>
        <w:rPr>
          <w:rFonts w:ascii="Times New Roman" w:cs="Times New Roman" w:eastAsia="Times New Roman" w:hAnsi="Times New Roman"/>
          <w:sz w:val="18"/>
          <w:szCs w:val="18"/>
          <w:u w:val="single" w:color="auto"/>
          <w:color w:val="auto"/>
        </w:rPr>
        <w:t>1.52</w:t>
      </w:r>
      <w:r>
        <w:rPr>
          <w:rFonts w:ascii="Times New Roman" w:cs="Times New Roman" w:eastAsia="Times New Roman" w:hAnsi="Times New Roman"/>
          <w:sz w:val="18"/>
          <w:szCs w:val="18"/>
          <w:color w:val="auto"/>
        </w:rPr>
        <w:t xml:space="preserve"> “Process Validation Batch” shall mean a Batch of Commercial Product produced from a process validation run conducted by * hereunder to (i) demonstrate and document the consistency and reproducibility of the Manufacturing Process at the Facility, and (ii) support the Regulatory Approval of both the Product Manufactured and the Manufacturing Process at the Facility each as defined in the Project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1.53</w:t>
      </w:r>
      <w:r>
        <w:rPr>
          <w:rFonts w:ascii="Times New Roman" w:cs="Times New Roman" w:eastAsia="Times New Roman" w:hAnsi="Times New Roman"/>
          <w:sz w:val="18"/>
          <w:szCs w:val="18"/>
          <w:color w:val="auto"/>
        </w:rPr>
        <w:t xml:space="preserve"> “Product” shall mean Clinical Product or Commercial Product to be Manufactured by * pursuant to this MSA and any applicable PSA.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1.54</w:t>
      </w:r>
      <w:r>
        <w:rPr>
          <w:rFonts w:ascii="Times New Roman" w:cs="Times New Roman" w:eastAsia="Times New Roman" w:hAnsi="Times New Roman"/>
          <w:sz w:val="18"/>
          <w:szCs w:val="18"/>
          <w:color w:val="auto"/>
        </w:rPr>
        <w:t xml:space="preserve"> “Product Purchase Commitment” is defined in Section 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1.55</w:t>
      </w:r>
      <w:r>
        <w:rPr>
          <w:rFonts w:ascii="Times New Roman" w:cs="Times New Roman" w:eastAsia="Times New Roman" w:hAnsi="Times New Roman"/>
          <w:sz w:val="18"/>
          <w:szCs w:val="18"/>
          <w:color w:val="auto"/>
        </w:rPr>
        <w:t xml:space="preserve"> “Product specific agreement” or “PSA” is defined in Section 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1.56</w:t>
      </w:r>
      <w:r>
        <w:rPr>
          <w:rFonts w:ascii="Times New Roman" w:cs="Times New Roman" w:eastAsia="Times New Roman" w:hAnsi="Times New Roman"/>
          <w:sz w:val="18"/>
          <w:szCs w:val="18"/>
          <w:color w:val="auto"/>
        </w:rPr>
        <w:t xml:space="preserve"> “Project Management Team Leader” is defined in Section 3.3.2.</w:t>
      </w:r>
    </w:p>
    <w:p>
      <w:pPr>
        <w:spacing w:after="0" w:line="166" w:lineRule="exact"/>
        <w:rPr>
          <w:sz w:val="20"/>
          <w:szCs w:val="20"/>
          <w:color w:val="auto"/>
        </w:rPr>
      </w:pPr>
    </w:p>
    <w:p>
      <w:pPr>
        <w:ind w:left="120" w:hanging="112"/>
        <w:spacing w:after="0"/>
        <w:tabs>
          <w:tab w:leader="none" w:pos="120" w:val="left"/>
        </w:tabs>
        <w:numPr>
          <w:ilvl w:val="0"/>
          <w:numId w:val="6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9" w:name="page120"/>
    <w:bookmarkEnd w:id="119"/>
    <w:p>
      <w:pPr>
        <w:jc w:val="both"/>
        <w:ind w:left="500" w:hanging="485"/>
        <w:spacing w:after="0" w:line="256" w:lineRule="auto"/>
        <w:rPr>
          <w:sz w:val="20"/>
          <w:szCs w:val="20"/>
          <w:color w:val="auto"/>
        </w:rPr>
      </w:pPr>
      <w:r>
        <w:rPr>
          <w:rFonts w:ascii="Times New Roman" w:cs="Times New Roman" w:eastAsia="Times New Roman" w:hAnsi="Times New Roman"/>
          <w:sz w:val="18"/>
          <w:szCs w:val="18"/>
          <w:u w:val="single" w:color="auto"/>
          <w:color w:val="auto"/>
        </w:rPr>
        <w:t>1.57</w:t>
      </w:r>
      <w:r>
        <w:rPr>
          <w:rFonts w:ascii="Times New Roman" w:cs="Times New Roman" w:eastAsia="Times New Roman" w:hAnsi="Times New Roman"/>
          <w:sz w:val="18"/>
          <w:szCs w:val="18"/>
          <w:color w:val="auto"/>
        </w:rPr>
        <w:t xml:space="preserve"> “Project Plan” shall mean a formal, approved document used to guide both project execution and project control. The primary uses of the Project Plan are to document planning assumptions and decisions, facilitate communication among project stakeholders, and document approved scope, cost, and schedule baselines. The Project Plan will contain the description and overall objectives of the Services for Manufacturing a Product and shall include, among other things: (a) JSC and Core Team membership rosters, (b) change request procedures, (c) details, intentions, and deliverables for Technology Transfer, (d) project schedule, (e) detailed procurement plan, as needed, and (f) project budgets and invoicing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1.58</w:t>
      </w:r>
      <w:r>
        <w:rPr>
          <w:rFonts w:ascii="Times New Roman" w:cs="Times New Roman" w:eastAsia="Times New Roman" w:hAnsi="Times New Roman"/>
          <w:sz w:val="18"/>
          <w:szCs w:val="18"/>
          <w:color w:val="auto"/>
        </w:rPr>
        <w:t xml:space="preserve"> “PSA Effective Date” shall mean the effective date of any PSA governed by this MSA.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1.59</w:t>
      </w:r>
      <w:r>
        <w:rPr>
          <w:rFonts w:ascii="Times New Roman" w:cs="Times New Roman" w:eastAsia="Times New Roman" w:hAnsi="Times New Roman"/>
          <w:sz w:val="18"/>
          <w:szCs w:val="18"/>
          <w:color w:val="auto"/>
        </w:rPr>
        <w:t xml:space="preserve"> “Purchase Order” is defined in Section 5.6.</w:t>
      </w:r>
    </w:p>
    <w:p>
      <w:pPr>
        <w:spacing w:after="0" w:line="158" w:lineRule="exact"/>
        <w:rPr>
          <w:sz w:val="20"/>
          <w:szCs w:val="20"/>
          <w:color w:val="auto"/>
        </w:rPr>
      </w:pPr>
    </w:p>
    <w:p>
      <w:pPr>
        <w:jc w:val="both"/>
        <w:ind w:left="500" w:hanging="485"/>
        <w:spacing w:after="0" w:line="262" w:lineRule="auto"/>
        <w:rPr>
          <w:sz w:val="20"/>
          <w:szCs w:val="20"/>
          <w:color w:val="auto"/>
        </w:rPr>
      </w:pPr>
      <w:r>
        <w:rPr>
          <w:rFonts w:ascii="Times New Roman" w:cs="Times New Roman" w:eastAsia="Times New Roman" w:hAnsi="Times New Roman"/>
          <w:sz w:val="18"/>
          <w:szCs w:val="18"/>
          <w:u w:val="single" w:color="auto"/>
          <w:color w:val="auto"/>
        </w:rPr>
        <w:t>1.60</w:t>
      </w:r>
      <w:r>
        <w:rPr>
          <w:rFonts w:ascii="Times New Roman" w:cs="Times New Roman" w:eastAsia="Times New Roman" w:hAnsi="Times New Roman"/>
          <w:sz w:val="18"/>
          <w:szCs w:val="18"/>
          <w:color w:val="auto"/>
        </w:rPr>
        <w:t xml:space="preserve"> “Quality Agreement” or “QAG” shall mean that certain quality agreement between the Parties that governs their respective responsibilities related to quality systems and quality requirements for the Product(s) Manufactured hereunder, including quality control, testing and release of such Product(s) at the Facility. Clinical Products and Commercial Products shall have separate forms of QAGs.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1.61</w:t>
      </w:r>
      <w:r>
        <w:rPr>
          <w:rFonts w:ascii="Times New Roman" w:cs="Times New Roman" w:eastAsia="Times New Roman" w:hAnsi="Times New Roman"/>
          <w:sz w:val="18"/>
          <w:szCs w:val="18"/>
          <w:color w:val="auto"/>
        </w:rPr>
        <w:t xml:space="preserve"> “Quarter” means each period of three (3) consecutive calendar months beginning on January 1, April 1, July 1, or October 1.</w:t>
      </w:r>
    </w:p>
    <w:p>
      <w:pPr>
        <w:spacing w:after="0" w:line="158" w:lineRule="exact"/>
        <w:rPr>
          <w:sz w:val="20"/>
          <w:szCs w:val="20"/>
          <w:color w:val="auto"/>
        </w:rPr>
      </w:pPr>
    </w:p>
    <w:p>
      <w:pPr>
        <w:jc w:val="both"/>
        <w:ind w:left="500" w:right="20" w:hanging="485"/>
        <w:spacing w:after="0" w:line="275" w:lineRule="auto"/>
        <w:rPr>
          <w:sz w:val="20"/>
          <w:szCs w:val="20"/>
          <w:color w:val="auto"/>
        </w:rPr>
      </w:pPr>
      <w:r>
        <w:rPr>
          <w:rFonts w:ascii="Times New Roman" w:cs="Times New Roman" w:eastAsia="Times New Roman" w:hAnsi="Times New Roman"/>
          <w:sz w:val="18"/>
          <w:szCs w:val="18"/>
          <w:u w:val="single" w:color="auto"/>
          <w:color w:val="auto"/>
        </w:rPr>
        <w:t>1.62</w:t>
      </w:r>
      <w:r>
        <w:rPr>
          <w:rFonts w:ascii="Times New Roman" w:cs="Times New Roman" w:eastAsia="Times New Roman" w:hAnsi="Times New Roman"/>
          <w:sz w:val="18"/>
          <w:szCs w:val="18"/>
          <w:color w:val="auto"/>
        </w:rPr>
        <w:t xml:space="preserve"> “Raw Materials” shall mean those materials that are used in the Manufacturing Process, including, but not limited to, chemicals, reagents, filters, excipients, disposable consumables, and secondary packaging materials. Raw Materials exclude the Client Materials.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1.63</w:t>
      </w:r>
      <w:r>
        <w:rPr>
          <w:rFonts w:ascii="Times New Roman" w:cs="Times New Roman" w:eastAsia="Times New Roman" w:hAnsi="Times New Roman"/>
          <w:sz w:val="18"/>
          <w:szCs w:val="18"/>
          <w:color w:val="auto"/>
        </w:rPr>
        <w:t xml:space="preserve"> “Receiving Party” is defined in Section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1.64</w:t>
      </w:r>
      <w:r>
        <w:rPr>
          <w:rFonts w:ascii="Times New Roman" w:cs="Times New Roman" w:eastAsia="Times New Roman" w:hAnsi="Times New Roman"/>
          <w:sz w:val="18"/>
          <w:szCs w:val="18"/>
          <w:color w:val="auto"/>
        </w:rPr>
        <w:t xml:space="preserve"> “Reference Standards” shall mean materials for standards prepared by Client and/or * in accordance with the applicable QAG.</w:t>
      </w:r>
    </w:p>
    <w:p>
      <w:pPr>
        <w:spacing w:after="0" w:line="225" w:lineRule="exact"/>
        <w:rPr>
          <w:sz w:val="20"/>
          <w:szCs w:val="20"/>
          <w:color w:val="auto"/>
        </w:rPr>
      </w:pPr>
    </w:p>
    <w:p>
      <w:pPr>
        <w:jc w:val="both"/>
        <w:ind w:left="500" w:hanging="485"/>
        <w:spacing w:after="0" w:line="262" w:lineRule="auto"/>
        <w:rPr>
          <w:sz w:val="20"/>
          <w:szCs w:val="20"/>
          <w:color w:val="auto"/>
        </w:rPr>
      </w:pPr>
      <w:r>
        <w:rPr>
          <w:rFonts w:ascii="Times New Roman" w:cs="Times New Roman" w:eastAsia="Times New Roman" w:hAnsi="Times New Roman"/>
          <w:sz w:val="18"/>
          <w:szCs w:val="18"/>
          <w:u w:val="single" w:color="auto"/>
          <w:color w:val="auto"/>
        </w:rPr>
        <w:t>1.65</w:t>
      </w:r>
      <w:r>
        <w:rPr>
          <w:rFonts w:ascii="Times New Roman" w:cs="Times New Roman" w:eastAsia="Times New Roman" w:hAnsi="Times New Roman"/>
          <w:sz w:val="18"/>
          <w:szCs w:val="18"/>
          <w:color w:val="auto"/>
        </w:rPr>
        <w:t xml:space="preserve"> “Regulatory Approval” shall mean all approvals, licenses, registrations or authorizations thereof of any national, regional, state or local regulatory agency, department, bureau or other governmental entity in any jurisdiction where the Product is marketed or intended to be marketed, necessary for the manufacture and sale of the Product, which manufacturing includes the Manufacturing of the Products at the Facility.</w:t>
      </w:r>
    </w:p>
    <w:p>
      <w:pPr>
        <w:spacing w:after="0" w:line="186" w:lineRule="exact"/>
        <w:rPr>
          <w:sz w:val="20"/>
          <w:szCs w:val="20"/>
          <w:color w:val="auto"/>
        </w:rPr>
      </w:pPr>
    </w:p>
    <w:p>
      <w:pPr>
        <w:jc w:val="both"/>
        <w:ind w:left="500" w:hanging="485"/>
        <w:spacing w:after="0" w:line="275" w:lineRule="auto"/>
        <w:rPr>
          <w:sz w:val="20"/>
          <w:szCs w:val="20"/>
          <w:color w:val="auto"/>
        </w:rPr>
      </w:pPr>
      <w:r>
        <w:rPr>
          <w:rFonts w:ascii="Times New Roman" w:cs="Times New Roman" w:eastAsia="Times New Roman" w:hAnsi="Times New Roman"/>
          <w:sz w:val="18"/>
          <w:szCs w:val="18"/>
          <w:u w:val="single" w:color="auto"/>
          <w:color w:val="auto"/>
        </w:rPr>
        <w:t>1.66</w:t>
      </w:r>
      <w:r>
        <w:rPr>
          <w:rFonts w:ascii="Times New Roman" w:cs="Times New Roman" w:eastAsia="Times New Roman" w:hAnsi="Times New Roman"/>
          <w:sz w:val="18"/>
          <w:szCs w:val="18"/>
          <w:color w:val="auto"/>
        </w:rPr>
        <w:t xml:space="preserve"> “Regulatory Authority” shall mean any national (e.g., the FDA), supra-national (e.g., the EMA), regional, state or local regulatory agency, department, bureau, commission, council or other governmental entity, in any jurisdiction responsible for granting the Regulatory Approval.</w:t>
      </w:r>
    </w:p>
    <w:p>
      <w:pPr>
        <w:spacing w:after="0" w:line="174" w:lineRule="exact"/>
        <w:rPr>
          <w:sz w:val="20"/>
          <w:szCs w:val="20"/>
          <w:color w:val="auto"/>
        </w:rPr>
      </w:pPr>
    </w:p>
    <w:p>
      <w:pPr>
        <w:jc w:val="both"/>
        <w:ind w:left="500" w:hanging="485"/>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1.67</w:t>
      </w:r>
      <w:r>
        <w:rPr>
          <w:rFonts w:ascii="Times New Roman" w:cs="Times New Roman" w:eastAsia="Times New Roman" w:hAnsi="Times New Roman"/>
          <w:sz w:val="18"/>
          <w:szCs w:val="18"/>
          <w:color w:val="auto"/>
        </w:rPr>
        <w:t xml:space="preserve"> “</w:t>
      </w:r>
      <w:hyperlink w:anchor="page120">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Assignable Error” means: negligence, fraud, recklessness, willful misconduct, or material breach of cGMP (if applicable) on the part of employees, consultants, contractors, sub-contractors, agents or representatives of *.</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1.68</w:t>
      </w:r>
      <w:r>
        <w:rPr>
          <w:rFonts w:ascii="Times New Roman" w:cs="Times New Roman" w:eastAsia="Times New Roman" w:hAnsi="Times New Roman"/>
          <w:sz w:val="18"/>
          <w:szCs w:val="18"/>
          <w:color w:val="auto"/>
        </w:rPr>
        <w:t xml:space="preserve"> “Service” or “Services” is defined in Section 2.1.</w:t>
      </w:r>
    </w:p>
    <w:p>
      <w:pPr>
        <w:spacing w:after="0" w:line="166" w:lineRule="exact"/>
        <w:rPr>
          <w:sz w:val="20"/>
          <w:szCs w:val="20"/>
          <w:color w:val="auto"/>
        </w:rPr>
      </w:pPr>
    </w:p>
    <w:p>
      <w:pPr>
        <w:ind w:left="120" w:hanging="112"/>
        <w:spacing w:after="0"/>
        <w:tabs>
          <w:tab w:leader="none" w:pos="120" w:val="left"/>
        </w:tabs>
        <w:numPr>
          <w:ilvl w:val="0"/>
          <w:numId w:val="7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auto"/>
        </w:rPr>
        <w:t>1.69</w:t>
      </w:r>
      <w:r>
        <w:rPr>
          <w:rFonts w:ascii="Times New Roman" w:cs="Times New Roman" w:eastAsia="Times New Roman" w:hAnsi="Times New Roman"/>
          <w:sz w:val="18"/>
          <w:szCs w:val="18"/>
          <w:color w:val="auto"/>
        </w:rPr>
        <w:t xml:space="preserve"> “Service Fee” is defined in Section 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1.70</w:t>
      </w:r>
      <w:r>
        <w:rPr>
          <w:rFonts w:ascii="Times New Roman" w:cs="Times New Roman" w:eastAsia="Times New Roman" w:hAnsi="Times New Roman"/>
          <w:sz w:val="18"/>
          <w:szCs w:val="18"/>
          <w:color w:val="auto"/>
        </w:rPr>
        <w:t xml:space="preserve"> “Specialized Raw Materials” is defined in Section 5.3.1.</w:t>
      </w:r>
    </w:p>
    <w:p>
      <w:pPr>
        <w:spacing w:after="0" w:line="158" w:lineRule="exact"/>
        <w:rPr>
          <w:sz w:val="20"/>
          <w:szCs w:val="20"/>
          <w:color w:val="auto"/>
        </w:rPr>
      </w:pPr>
    </w:p>
    <w:p>
      <w:pPr>
        <w:jc w:val="both"/>
        <w:ind w:left="500" w:hanging="485"/>
        <w:spacing w:after="0" w:line="262" w:lineRule="auto"/>
        <w:rPr>
          <w:sz w:val="20"/>
          <w:szCs w:val="20"/>
          <w:color w:val="auto"/>
        </w:rPr>
      </w:pPr>
      <w:r>
        <w:rPr>
          <w:rFonts w:ascii="Times New Roman" w:cs="Times New Roman" w:eastAsia="Times New Roman" w:hAnsi="Times New Roman"/>
          <w:sz w:val="18"/>
          <w:szCs w:val="18"/>
          <w:u w:val="single" w:color="auto"/>
          <w:color w:val="auto"/>
        </w:rPr>
        <w:t>1.71</w:t>
      </w:r>
      <w:r>
        <w:rPr>
          <w:rFonts w:ascii="Times New Roman" w:cs="Times New Roman" w:eastAsia="Times New Roman" w:hAnsi="Times New Roman"/>
          <w:sz w:val="18"/>
          <w:szCs w:val="18"/>
          <w:color w:val="auto"/>
        </w:rPr>
        <w:t xml:space="preserve"> “Specification(s)” shall mean the observable and measurable characteristics of the Products, Client Materials, or Raw Materials, as the case maybe, and the criteria for their storage, handling, packaging and shipping, which details are provided in documentation as reviewed and approved in writing by the Parties.</w:t>
      </w:r>
    </w:p>
    <w:p>
      <w:pPr>
        <w:spacing w:after="0" w:line="119" w:lineRule="exact"/>
        <w:rPr>
          <w:sz w:val="20"/>
          <w:szCs w:val="20"/>
          <w:color w:val="auto"/>
        </w:rPr>
      </w:pPr>
    </w:p>
    <w:p>
      <w:pPr>
        <w:jc w:val="both"/>
        <w:ind w:left="500" w:hanging="485"/>
        <w:spacing w:after="0" w:line="275" w:lineRule="auto"/>
        <w:rPr>
          <w:sz w:val="20"/>
          <w:szCs w:val="20"/>
          <w:color w:val="auto"/>
        </w:rPr>
      </w:pPr>
      <w:r>
        <w:rPr>
          <w:rFonts w:ascii="Times New Roman" w:cs="Times New Roman" w:eastAsia="Times New Roman" w:hAnsi="Times New Roman"/>
          <w:sz w:val="18"/>
          <w:szCs w:val="18"/>
          <w:u w:val="single" w:color="auto"/>
          <w:color w:val="auto"/>
        </w:rPr>
        <w:t>1.72</w:t>
      </w:r>
      <w:r>
        <w:rPr>
          <w:rFonts w:ascii="Times New Roman" w:cs="Times New Roman" w:eastAsia="Times New Roman" w:hAnsi="Times New Roman"/>
          <w:sz w:val="18"/>
          <w:szCs w:val="18"/>
          <w:color w:val="auto"/>
        </w:rPr>
        <w:t xml:space="preserve"> “Standard Operating Procedure(s)” or “SOP(s)” shall mean the standard operating procedures established by and mutually agreed upon by both Parties regarding the Manufacturing Process.</w:t>
      </w:r>
    </w:p>
    <w:p>
      <w:pPr>
        <w:spacing w:after="0" w:line="106" w:lineRule="exact"/>
        <w:rPr>
          <w:sz w:val="20"/>
          <w:szCs w:val="20"/>
          <w:color w:val="auto"/>
        </w:rPr>
      </w:pPr>
    </w:p>
    <w:p>
      <w:pPr>
        <w:jc w:val="both"/>
        <w:ind w:left="500" w:hanging="485"/>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1.73</w:t>
      </w:r>
      <w:r>
        <w:rPr>
          <w:rFonts w:ascii="Times New Roman" w:cs="Times New Roman" w:eastAsia="Times New Roman" w:hAnsi="Times New Roman"/>
          <w:sz w:val="16"/>
          <w:szCs w:val="16"/>
          <w:color w:val="auto"/>
        </w:rPr>
        <w:t xml:space="preserve"> “Technology Transfer” shall mean the activities by the Parties necessary to Manufacture the Product for Client at the Facility or otherwise conduct the Services, as further described in the applicable PSA and/or Project Plan which may include: (i) transfer of the Client Technology and Client Material from Client to </w:t>
      </w:r>
      <w:hyperlink w:anchor="page121">
        <w:r>
          <w:rPr>
            <w:rFonts w:ascii="Times New Roman" w:cs="Times New Roman" w:eastAsia="Times New Roman" w:hAnsi="Times New Roman"/>
            <w:sz w:val="11"/>
            <w:szCs w:val="11"/>
            <w:u w:val="single" w:color="auto"/>
            <w:color w:val="0000EE"/>
          </w:rPr>
          <w:t>*</w:t>
        </w:r>
      </w:hyperlink>
      <w:r>
        <w:rPr>
          <w:rFonts w:ascii="Times New Roman" w:cs="Times New Roman" w:eastAsia="Times New Roman" w:hAnsi="Times New Roman"/>
          <w:sz w:val="16"/>
          <w:szCs w:val="16"/>
          <w:color w:val="auto"/>
        </w:rPr>
        <w:t>; (ii) implementation of the Manufacturing Process at the Facility, including establishing a small scale Manufacturing Process model at *; (iii) all Manufacturing Process fit activities, including required small- and large-scale process development and validation work as allocated between the Parties to</w:t>
      </w:r>
    </w:p>
    <w:p>
      <w:pPr>
        <w:spacing w:after="0" w:line="3" w:lineRule="exact"/>
        <w:rPr>
          <w:sz w:val="20"/>
          <w:szCs w:val="20"/>
          <w:color w:val="auto"/>
        </w:rPr>
      </w:pPr>
    </w:p>
    <w:p>
      <w:pPr>
        <w:jc w:val="both"/>
        <w:ind w:left="500" w:hanging="6"/>
        <w:spacing w:after="0" w:line="255" w:lineRule="auto"/>
        <w:tabs>
          <w:tab w:leader="none" w:pos="6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process engineering required to modify / equip, qualify and validate the Facility for the Manufacturing of the Commercial Product; (iv) stability testing, if applicable, for the Product required for licensure; (v) comparability testing to the appropriate reference product, and (vi) regulatory support for all Regulatory Approvals, each as further described in the Project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1.74</w:t>
      </w:r>
      <w:r>
        <w:rPr>
          <w:rFonts w:ascii="Times New Roman" w:cs="Times New Roman" w:eastAsia="Times New Roman" w:hAnsi="Times New Roman"/>
          <w:sz w:val="18"/>
          <w:szCs w:val="18"/>
          <w:color w:val="auto"/>
        </w:rPr>
        <w:t xml:space="preserve"> “Term” is defined in Section 15.1.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1.75</w:t>
      </w:r>
      <w:r>
        <w:rPr>
          <w:rFonts w:ascii="Times New Roman" w:cs="Times New Roman" w:eastAsia="Times New Roman" w:hAnsi="Times New Roman"/>
          <w:sz w:val="18"/>
          <w:szCs w:val="18"/>
          <w:color w:val="auto"/>
        </w:rPr>
        <w:t xml:space="preserve"> “Warehouse” shall mean *.</w:t>
      </w:r>
    </w:p>
    <w:p>
      <w:pPr>
        <w:spacing w:after="0" w:line="25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u w:val="single" w:color="auto"/>
          <w:color w:val="auto"/>
        </w:rPr>
        <w:t>SECTION 2</w:t>
      </w:r>
      <w:r>
        <w:rPr>
          <w:sz w:val="20"/>
          <w:szCs w:val="20"/>
          <w:color w:val="auto"/>
        </w:rPr>
        <w:tab/>
      </w:r>
      <w:r>
        <w:rPr>
          <w:rFonts w:ascii="Times New Roman" w:cs="Times New Roman" w:eastAsia="Times New Roman" w:hAnsi="Times New Roman"/>
          <w:sz w:val="16"/>
          <w:szCs w:val="16"/>
          <w:b w:val="1"/>
          <w:bCs w:val="1"/>
          <w:u w:val="single" w:color="auto"/>
          <w:color w:val="auto"/>
        </w:rPr>
        <w:t>RELATED AGREEMENTS AND EXHIBITS</w:t>
      </w:r>
    </w:p>
    <w:p>
      <w:pPr>
        <w:spacing w:after="0" w:line="158"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Product specific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Pursuant to one or more product specific agreements entered into and mutually agreed from time to time by duly authorized representatives of the Parties (</w:t>
      </w:r>
      <w:r>
        <w:rPr>
          <w:rFonts w:ascii="Times New Roman" w:cs="Times New Roman" w:eastAsia="Times New Roman" w:hAnsi="Times New Roman"/>
          <w:sz w:val="18"/>
          <w:szCs w:val="18"/>
          <w:b w:val="1"/>
          <w:bCs w:val="1"/>
          <w:color w:val="auto"/>
        </w:rPr>
        <w:t>“Product specific agreements” or “PSAs”</w:t>
      </w:r>
      <w:r>
        <w:rPr>
          <w:rFonts w:ascii="Times New Roman" w:cs="Times New Roman" w:eastAsia="Times New Roman" w:hAnsi="Times New Roman"/>
          <w:sz w:val="18"/>
          <w:szCs w:val="18"/>
          <w:color w:val="auto"/>
        </w:rPr>
        <w:t>), * will perform manufacturing services for Client as specified in such PSAs and applicable Project Plan and in accordance with the terms and conditions of this MSA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Each PSA shall refer to this MSA and contain as applicable (i) a high level scope of work of the Services to be performed under such PSA which describes key activities, (ii) the Product for which * will perform such Services for Client, (iii) a description of the Cell Line; (iv) fees to be paid to * by Client for the Services with a general timing plan for invoicing and a more detailed plan to be in the Project Plan, (v) if the Services pertain to the manufacture of the Product, the number of batches of Product to be manufactured by * and delivered to Client and the Specifications, (vi) any other deliverables, (vii) the * facility where the Services are to be performed, and (viii) the Regulatory Approvals to be obtained by the Parties. Services shall be governed by the terms and conditions of this MSA, the applicable PSA, and any applicable Quality Agreement. In the event of a conflict between a Quality Agreement and either any provision of this MSA or any PSA, the MSA or PSA shall control except with respect to Product quality terms, in which case, the Quality Agreement will control. In the event of a conflict between any provisio of this MSA and the PSA, this MSA shall control, except as otherwise explicitly specified in the PSA.</w:t>
      </w:r>
    </w:p>
    <w:p>
      <w:pPr>
        <w:spacing w:after="0" w:line="134" w:lineRule="exact"/>
        <w:rPr>
          <w:sz w:val="20"/>
          <w:szCs w:val="20"/>
          <w:color w:val="auto"/>
        </w:rPr>
      </w:pPr>
    </w:p>
    <w:p>
      <w:pPr>
        <w:ind w:left="120" w:hanging="112"/>
        <w:spacing w:after="0"/>
        <w:tabs>
          <w:tab w:leader="none" w:pos="120" w:val="left"/>
        </w:tabs>
        <w:numPr>
          <w:ilvl w:val="0"/>
          <w:numId w:val="7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1" w:name="page122"/>
    <w:bookmarkEnd w:id="121"/>
    <w:p>
      <w:pPr>
        <w:jc w:val="both"/>
        <w:ind w:left="340" w:hanging="323"/>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Project Plan.</w:t>
      </w:r>
      <w:r>
        <w:rPr>
          <w:rFonts w:ascii="Times New Roman" w:cs="Times New Roman" w:eastAsia="Times New Roman" w:hAnsi="Times New Roman"/>
          <w:sz w:val="18"/>
          <w:szCs w:val="18"/>
          <w:color w:val="auto"/>
        </w:rPr>
        <w:t xml:space="preserve"> Concurrently with the execution of a PSA or within a reasonable time after the PSA effective date, the Parties shall agree upon a Project Plan which will specify in detail scope and schedule of the Services, including Technology Transfer and Manufacture. The Project Plan shall also set forth the JSC members (if applicable), Core Team members, and Project Management Team Leader for the Services as well as the frequency and duration of meetings. The Project Plan may be updated as needed by the mutual agreement of the Client and </w:t>
      </w:r>
      <w:hyperlink w:anchor="page122">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is governed by and incorporated into the applicable PSA by reference. If there is a conflict between the Project Plan and the applicable PSA, the PSA shall control. If any of the assumptions shared in writing by the Parties and on which the Parties have relied in defining the scope of the activities required to effect the Technology Transfer and/or other Services including but not limited to Manufacture, and the associated timeframes, fees, expenditures and costs proves to be invalid, or if for any reason other than a Party’s negligence in planning, it becomes apparent that additional activities are required as part of or in connection with the Technology Transfer and/or other Services including but not limited to Manufacture, the Parties shall (acting reasonably and in good faith) discuss and seek to agree appropriate revisions to the Technology Transfer activities, and associated timelines and pricing.</w:t>
      </w:r>
    </w:p>
    <w:p>
      <w:pPr>
        <w:spacing w:after="0" w:line="222" w:lineRule="exact"/>
        <w:rPr>
          <w:sz w:val="20"/>
          <w:szCs w:val="20"/>
          <w:color w:val="auto"/>
        </w:rPr>
      </w:pPr>
    </w:p>
    <w:p>
      <w:pPr>
        <w:jc w:val="both"/>
        <w:ind w:left="340" w:right="20" w:hanging="323"/>
        <w:spacing w:after="0" w:line="259" w:lineRule="auto"/>
        <w:rPr>
          <w:sz w:val="20"/>
          <w:szCs w:val="20"/>
          <w:color w:val="auto"/>
        </w:rPr>
      </w:pP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Quality Agreement (QAG).</w:t>
      </w:r>
      <w:r>
        <w:rPr>
          <w:rFonts w:ascii="Times New Roman" w:cs="Times New Roman" w:eastAsia="Times New Roman" w:hAnsi="Times New Roman"/>
          <w:sz w:val="18"/>
          <w:szCs w:val="18"/>
          <w:color w:val="auto"/>
        </w:rPr>
        <w:t xml:space="preserve"> The Parties shall agree upon and finalize a Quality Agreement in good faith within a reasonable period time after each PSA Effective Date which shall cover such PSA. No Manufacturing of Products for human use shall be conducted without an agreed upon, applicable QAG.Clinical Products and Commercial Products shall have separate QAGs. The Quality Agreement may be amended from time to time, subject to the JSC’s approval followed by the Parties’ written agreement pursuant to Section 17.9 (if applicable), which is incorporated herein by reference.</w:t>
      </w:r>
    </w:p>
    <w:p>
      <w:pPr>
        <w:spacing w:after="0" w:line="21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u w:val="single" w:color="auto"/>
          <w:color w:val="auto"/>
        </w:rPr>
        <w:t>SECTION 3</w:t>
      </w:r>
      <w:r>
        <w:rPr>
          <w:sz w:val="20"/>
          <w:szCs w:val="20"/>
          <w:color w:val="auto"/>
        </w:rPr>
        <w:tab/>
      </w:r>
      <w:r>
        <w:rPr>
          <w:rFonts w:ascii="Times New Roman" w:cs="Times New Roman" w:eastAsia="Times New Roman" w:hAnsi="Times New Roman"/>
          <w:sz w:val="16"/>
          <w:szCs w:val="16"/>
          <w:b w:val="1"/>
          <w:bCs w:val="1"/>
          <w:u w:val="single" w:color="auto"/>
          <w:color w:val="auto"/>
        </w:rPr>
        <w:t>MANAGEMENT OF SERVICE</w:t>
      </w:r>
    </w:p>
    <w:p>
      <w:pPr>
        <w:spacing w:after="0" w:line="252" w:lineRule="exact"/>
        <w:rPr>
          <w:sz w:val="20"/>
          <w:szCs w:val="20"/>
          <w:color w:val="auto"/>
        </w:rPr>
      </w:pPr>
    </w:p>
    <w:p>
      <w:pPr>
        <w:jc w:val="both"/>
        <w:ind w:left="340" w:hanging="323"/>
        <w:spacing w:after="0" w:line="259" w:lineRule="auto"/>
        <w:rPr>
          <w:sz w:val="20"/>
          <w:szCs w:val="20"/>
          <w:color w:val="auto"/>
        </w:rPr>
      </w:pP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xml:space="preserve"> Each Party will be responsible for its internal decision making process and for reasonably informing the other Party of decisions affecting the Service in a regular and timely manner. Without limiting the foregoing, the Parties shall establish the joint committees or teams set forth herein to advise the Parties on certain matters including, without limitation, Facility modification, Technology Transfer, and optimization of the Manufacturing operation relating to the Product.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3.2 </w:t>
      </w:r>
      <w:r>
        <w:rPr>
          <w:rFonts w:ascii="Times New Roman" w:cs="Times New Roman" w:eastAsia="Times New Roman" w:hAnsi="Times New Roman"/>
          <w:sz w:val="18"/>
          <w:szCs w:val="18"/>
          <w:b w:val="1"/>
          <w:bCs w:val="1"/>
          <w:u w:val="single" w:color="auto"/>
          <w:color w:val="auto"/>
        </w:rPr>
        <w:t>Joint Steering Committee</w:t>
      </w:r>
      <w:r>
        <w:rPr>
          <w:rFonts w:ascii="Times New Roman" w:cs="Times New Roman" w:eastAsia="Times New Roman" w:hAnsi="Times New Roman"/>
          <w:sz w:val="21"/>
          <w:szCs w:val="21"/>
          <w:u w:val="single" w:color="auto"/>
          <w:color w:val="auto"/>
        </w:rPr>
        <w:t>.</w:t>
      </w:r>
    </w:p>
    <w:p>
      <w:pPr>
        <w:spacing w:after="0" w:line="256" w:lineRule="exact"/>
        <w:rPr>
          <w:sz w:val="20"/>
          <w:szCs w:val="20"/>
          <w:color w:val="auto"/>
        </w:rPr>
      </w:pPr>
    </w:p>
    <w:p>
      <w:pPr>
        <w:ind w:left="50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Formation and Composition.</w:t>
      </w:r>
      <w:r>
        <w:rPr>
          <w:rFonts w:ascii="Times New Roman" w:cs="Times New Roman" w:eastAsia="Times New Roman" w:hAnsi="Times New Roman"/>
          <w:sz w:val="18"/>
          <w:szCs w:val="18"/>
          <w:color w:val="auto"/>
        </w:rPr>
        <w:t xml:space="preserve"> The applicable Project Plan will set forth a Joint Steering Committee for that Product (the “</w:t>
      </w:r>
      <w:r>
        <w:rPr>
          <w:rFonts w:ascii="Times New Roman" w:cs="Times New Roman" w:eastAsia="Times New Roman" w:hAnsi="Times New Roman"/>
          <w:sz w:val="18"/>
          <w:szCs w:val="18"/>
          <w:b w:val="1"/>
          <w:bCs w:val="1"/>
          <w:color w:val="auto"/>
        </w:rPr>
        <w:t>Joint Steering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if the Parties mutually agree that such JSC is necessary. The JSC will be a cross-functional committee composed of an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representatives appointed by each of Client and * with each of Client and * having at least three (3) representatives, and with one (1) representative from each of Client and * having oversight for quality activities, and with one (1) representative from each of Client and * having oversight for manufacturing and supply chain activities, including the transfer and implementation of the Manufacturing Process at the Facility. Either Party may replace any or all of its representitives at any time. Such Party shall notify, in writing, of such replacement to the other Party.</w:t>
      </w:r>
    </w:p>
    <w:p>
      <w:pPr>
        <w:spacing w:after="0" w:line="55" w:lineRule="exact"/>
        <w:rPr>
          <w:sz w:val="20"/>
          <w:szCs w:val="20"/>
          <w:color w:val="auto"/>
        </w:rPr>
      </w:pPr>
    </w:p>
    <w:p>
      <w:pPr>
        <w:ind w:left="120" w:hanging="112"/>
        <w:spacing w:after="0"/>
        <w:tabs>
          <w:tab w:leader="none" w:pos="120" w:val="left"/>
        </w:tabs>
        <w:numPr>
          <w:ilvl w:val="0"/>
          <w:numId w:val="7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22" w:name="page123"/>
    <w:bookmarkEnd w:id="122"/>
    <w:p>
      <w:pPr>
        <w:ind w:left="500" w:right="40"/>
        <w:spacing w:after="0" w:line="284" w:lineRule="auto"/>
        <w:rPr>
          <w:sz w:val="20"/>
          <w:szCs w:val="20"/>
          <w:color w:val="auto"/>
        </w:rPr>
      </w:pPr>
      <w:r>
        <w:rPr>
          <w:rFonts w:ascii="Times New Roman" w:cs="Times New Roman" w:eastAsia="Times New Roman" w:hAnsi="Times New Roman"/>
          <w:sz w:val="16"/>
          <w:szCs w:val="16"/>
          <w:u w:val="single" w:color="auto"/>
          <w:color w:val="auto"/>
        </w:rPr>
        <w:t>3.2.2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Responsibilities.</w:t>
      </w:r>
      <w:r>
        <w:rPr>
          <w:rFonts w:ascii="Times New Roman" w:cs="Times New Roman" w:eastAsia="Times New Roman" w:hAnsi="Times New Roman"/>
          <w:sz w:val="16"/>
          <w:szCs w:val="16"/>
          <w:color w:val="auto"/>
        </w:rPr>
        <w:t xml:space="preserve"> The JSC shall (i) establish and oversee the governance structure for the Service including the formation of any subcommittee hereunder; (ii) monitor any Facility modification and the Technology Transfer and Manufacturing strategy of the Product at the Facility, including strategies for the Regulatory Approval of the Facility to Manufacture the Product; (iii) provide strategic guidance to the Core Team as required by the Project Plan; (iv) conduct high level project stage reviews with the Core Team as required by the Project Plan at appropriate milestones or completion of key deliverables or a sequence of event to review and approve key deliverables, evaluate the Core Team’s progress and performance, all in order to ensure that the Manufacturing Process is being implemented appropriately; (v) advise on and/or resolve business, manufacturing, supply chain, quality, regulatory or other issues unresolved at the Core Team level; (vi) review and recommend for approval by the Parties any changes to the MSA or the applicable PSA;</w:t>
      </w:r>
    </w:p>
    <w:p>
      <w:pPr>
        <w:spacing w:after="0" w:line="3" w:lineRule="exact"/>
        <w:rPr>
          <w:sz w:val="20"/>
          <w:szCs w:val="20"/>
          <w:color w:val="auto"/>
        </w:rPr>
      </w:pPr>
    </w:p>
    <w:p>
      <w:pPr>
        <w:ind w:left="500" w:hanging="6"/>
        <w:spacing w:after="0" w:line="307" w:lineRule="auto"/>
        <w:tabs>
          <w:tab w:leader="none" w:pos="84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approve changes to the Specifications, analytical methods, the Manufacturing Process, the Facility or equipment as escalated to the JSC by the Core Team or by a Party pursuant to Section 3.6 below; (viii) review completion of the Service; (ix) settle disputes or disagreements unresolved by a subcommittee; and (x) perform such other functions as appropriate to further the purposes of the MSA as determined by the Parties. For the avoidance of doubt, the JSC shall be a reviewing and consultative body, without authority to make decisions not otherwise concurred in by the Parties.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3.3 </w:t>
      </w:r>
      <w:r>
        <w:rPr>
          <w:rFonts w:ascii="Times New Roman" w:cs="Times New Roman" w:eastAsia="Times New Roman" w:hAnsi="Times New Roman"/>
          <w:sz w:val="18"/>
          <w:szCs w:val="18"/>
          <w:b w:val="1"/>
          <w:bCs w:val="1"/>
          <w:u w:val="single" w:color="auto"/>
          <w:color w:val="auto"/>
        </w:rPr>
        <w:t>Core Team.</w:t>
      </w:r>
    </w:p>
    <w:p>
      <w:pPr>
        <w:spacing w:after="0" w:line="252" w:lineRule="exact"/>
        <w:rPr>
          <w:sz w:val="20"/>
          <w:szCs w:val="20"/>
          <w:color w:val="auto"/>
        </w:rPr>
      </w:pPr>
    </w:p>
    <w:p>
      <w:pPr>
        <w:ind w:left="50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Formation and Composition.</w:t>
      </w:r>
      <w:r>
        <w:rPr>
          <w:rFonts w:ascii="Times New Roman" w:cs="Times New Roman" w:eastAsia="Times New Roman" w:hAnsi="Times New Roman"/>
          <w:sz w:val="18"/>
          <w:szCs w:val="18"/>
          <w:color w:val="auto"/>
        </w:rPr>
        <w:t xml:space="preserve"> The applicable Project Plan will set forth a Core Team for that Product (the “</w:t>
      </w:r>
      <w:r>
        <w:rPr>
          <w:rFonts w:ascii="Times New Roman" w:cs="Times New Roman" w:eastAsia="Times New Roman" w:hAnsi="Times New Roman"/>
          <w:sz w:val="18"/>
          <w:szCs w:val="18"/>
          <w:b w:val="1"/>
          <w:bCs w:val="1"/>
          <w:color w:val="auto"/>
        </w:rPr>
        <w:t>Core Team</w:t>
      </w:r>
      <w:r>
        <w:rPr>
          <w:rFonts w:ascii="Times New Roman" w:cs="Times New Roman" w:eastAsia="Times New Roman" w:hAnsi="Times New Roman"/>
          <w:sz w:val="18"/>
          <w:szCs w:val="18"/>
          <w:color w:val="auto"/>
        </w:rPr>
        <w:t xml:space="preserve">”). The Core Team shall be composed of an equal number of representatives from each of </w:t>
      </w:r>
      <w:hyperlink w:anchor="page123">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Client, with up to four (4) representatives appointed by each of Client and *. Such representatives will include the Project Management Team Leaders of Client and * as well as such of their representatives from manufacturing, technical operations, supply chain, quality assurance, quality control, regulatory affairs or other individuals with expertise and responsibilities for those functions required from time-to-time to execute the Facility modification, the Technology Transfer and Manufacturing. Either Party may replace any or all of its representatives at any time. Such Party shall notify, in writing, of such replacement to the other Party.</w:t>
      </w:r>
    </w:p>
    <w:p>
      <w:pPr>
        <w:spacing w:after="0" w:line="193" w:lineRule="exact"/>
        <w:rPr>
          <w:sz w:val="20"/>
          <w:szCs w:val="20"/>
          <w:color w:val="auto"/>
        </w:rPr>
      </w:pPr>
    </w:p>
    <w:p>
      <w:pPr>
        <w:ind w:left="500" w:right="120"/>
        <w:spacing w:after="0" w:line="302" w:lineRule="auto"/>
        <w:rPr>
          <w:sz w:val="20"/>
          <w:szCs w:val="20"/>
          <w:color w:val="auto"/>
        </w:rPr>
      </w:pPr>
      <w:r>
        <w:rPr>
          <w:rFonts w:ascii="Times New Roman" w:cs="Times New Roman" w:eastAsia="Times New Roman" w:hAnsi="Times New Roman"/>
          <w:sz w:val="16"/>
          <w:szCs w:val="16"/>
          <w:u w:val="single" w:color="auto"/>
          <w:color w:val="auto"/>
        </w:rPr>
        <w:t>3.3.2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Appointment of Project Management Team Leader.</w:t>
      </w:r>
      <w:r>
        <w:rPr>
          <w:rFonts w:ascii="Times New Roman" w:cs="Times New Roman" w:eastAsia="Times New Roman" w:hAnsi="Times New Roman"/>
          <w:sz w:val="16"/>
          <w:szCs w:val="16"/>
          <w:color w:val="auto"/>
        </w:rPr>
        <w:t xml:space="preserve"> Each Party shall appoint a Project Management Team Leader (each, a “</w:t>
      </w:r>
      <w:r>
        <w:rPr>
          <w:rFonts w:ascii="Times New Roman" w:cs="Times New Roman" w:eastAsia="Times New Roman" w:hAnsi="Times New Roman"/>
          <w:sz w:val="16"/>
          <w:szCs w:val="16"/>
          <w:b w:val="1"/>
          <w:bCs w:val="1"/>
          <w:color w:val="auto"/>
        </w:rPr>
        <w:t>Project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Management Team Leader</w:t>
      </w:r>
      <w:r>
        <w:rPr>
          <w:rFonts w:ascii="Times New Roman" w:cs="Times New Roman" w:eastAsia="Times New Roman" w:hAnsi="Times New Roman"/>
          <w:sz w:val="16"/>
          <w:szCs w:val="16"/>
          <w:color w:val="auto"/>
        </w:rPr>
        <w:t>”) to act as the primary contact for such Party in connection with matters related to the Service. Each Project Management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Team Leader, unless otherwise mutually agreed, shall serve as the leaders of the Core Team. A Party may replace its Project Management Team Leader at any time and from time to time for any reason. Such Party shall notify, in writing, of such replacement to the other Party.</w:t>
      </w:r>
    </w:p>
    <w:p>
      <w:pPr>
        <w:spacing w:after="0" w:line="154" w:lineRule="exact"/>
        <w:rPr>
          <w:sz w:val="20"/>
          <w:szCs w:val="20"/>
          <w:color w:val="auto"/>
        </w:rPr>
      </w:pPr>
    </w:p>
    <w:p>
      <w:pPr>
        <w:ind w:left="500" w:right="80"/>
        <w:spacing w:after="0" w:line="257" w:lineRule="auto"/>
        <w:rPr>
          <w:sz w:val="20"/>
          <w:szCs w:val="20"/>
          <w:color w:val="auto"/>
        </w:rPr>
      </w:pPr>
      <w:r>
        <w:rPr>
          <w:rFonts w:ascii="Times New Roman" w:cs="Times New Roman" w:eastAsia="Times New Roman" w:hAnsi="Times New Roman"/>
          <w:sz w:val="18"/>
          <w:szCs w:val="18"/>
          <w:u w:val="single" w:color="auto"/>
          <w:color w:val="auto"/>
        </w:rPr>
        <w:t>3.3.3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Responsibilities.</w:t>
      </w:r>
      <w:r>
        <w:rPr>
          <w:rFonts w:ascii="Times New Roman" w:cs="Times New Roman" w:eastAsia="Times New Roman" w:hAnsi="Times New Roman"/>
          <w:sz w:val="18"/>
          <w:szCs w:val="18"/>
          <w:color w:val="auto"/>
        </w:rPr>
        <w:t xml:space="preserve"> The Core Team shall (i) develop and maintain the Project Plan and monitor, review and manage the Service according to the MSA and applicable PSA; (ii) conduct project stage reviews with the JSC as required by the Project Plan at appropriate milestones or completion of key deliverables or a sequence of event to review key deliverables, review its progress and performance against plans; (iii) develop a change management process to identify, review and recommend any significant changes in the project scope, time, fee or risk to the JSC; (iv) investigate and resolve business, manufacturing, supply chain, quality, regulatory or other issues arising during the Service;</w:t>
      </w:r>
    </w:p>
    <w:p>
      <w:pPr>
        <w:spacing w:after="0" w:line="131" w:lineRule="exact"/>
        <w:rPr>
          <w:sz w:val="20"/>
          <w:szCs w:val="20"/>
          <w:color w:val="auto"/>
        </w:rPr>
      </w:pPr>
    </w:p>
    <w:p>
      <w:pPr>
        <w:ind w:left="120" w:hanging="112"/>
        <w:spacing w:after="0"/>
        <w:tabs>
          <w:tab w:leader="none" w:pos="120" w:val="left"/>
        </w:tabs>
        <w:numPr>
          <w:ilvl w:val="0"/>
          <w:numId w:val="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3" w:name="page124"/>
    <w:bookmarkEnd w:id="123"/>
    <w:p>
      <w:pPr>
        <w:ind w:left="340" w:right="100" w:hanging="25"/>
        <w:spacing w:after="0" w:line="254" w:lineRule="auto"/>
        <w:tabs>
          <w:tab w:leader="none" w:pos="57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escalate to the JSC, as needed, changes to the Project Plan or applicable QAG; (vi) review and recommend to the JSC changes to the Specifications, analytical methods, the Manufacturing Process, the Facility or equipment; (vii) coordinate the activities of the Parties relating to the Manufacturing hereunder, including but not limited to: managing the technical operations and quality aspects of routine manufacturing, conducting Product testing technical operations and quality aspects of routine manufacturing, conducting Product testing and release, and managing supply chain activities including shipping and delivery logistics; (viii) report periodically on operation and quality progress and performance; and (ix) perform such other tasks and undertake such other responsibilities as may be specifically delegate to the Core Team by mutual agreement of the Parties. For the avoidance of doubt, the Core Team shall be without authority to make decisions not otherwise concurred in by the Parties.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3.4 </w:t>
      </w:r>
      <w:r>
        <w:rPr>
          <w:rFonts w:ascii="Times New Roman" w:cs="Times New Roman" w:eastAsia="Times New Roman" w:hAnsi="Times New Roman"/>
          <w:sz w:val="18"/>
          <w:szCs w:val="18"/>
          <w:b w:val="1"/>
          <w:bCs w:val="1"/>
          <w:u w:val="single" w:color="auto"/>
          <w:color w:val="auto"/>
        </w:rPr>
        <w:t>Meetings.</w:t>
      </w:r>
    </w:p>
    <w:p>
      <w:pPr>
        <w:spacing w:after="0" w:line="225" w:lineRule="exact"/>
        <w:rPr>
          <w:sz w:val="20"/>
          <w:szCs w:val="20"/>
          <w:color w:val="auto"/>
        </w:rPr>
      </w:pPr>
    </w:p>
    <w:p>
      <w:pPr>
        <w:ind w:left="500" w:right="40"/>
        <w:spacing w:after="0" w:line="259" w:lineRule="auto"/>
        <w:rPr>
          <w:sz w:val="20"/>
          <w:szCs w:val="20"/>
          <w:color w:val="auto"/>
        </w:rPr>
      </w:pPr>
      <w:r>
        <w:rPr>
          <w:rFonts w:ascii="Times New Roman" w:cs="Times New Roman" w:eastAsia="Times New Roman" w:hAnsi="Times New Roman"/>
          <w:sz w:val="18"/>
          <w:szCs w:val="18"/>
          <w:u w:val="single" w:color="auto"/>
          <w:color w:val="auto"/>
        </w:rPr>
        <w:t>3.4.1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JSC.</w:t>
      </w:r>
      <w:r>
        <w:rPr>
          <w:rFonts w:ascii="Times New Roman" w:cs="Times New Roman" w:eastAsia="Times New Roman" w:hAnsi="Times New Roman"/>
          <w:sz w:val="18"/>
          <w:szCs w:val="18"/>
          <w:color w:val="auto"/>
        </w:rPr>
        <w:t xml:space="preserve"> The JSC shall meet by audio or video teleconference or in-person as agreed by the JSC or as necessary to make determinations as required of it. Any member of the JSC may designate a substitute to attend and perform the functions of that member at any meeting of the JSC and each Party may, in its reasonable discretion, invite non-member representatives of such Party to attend such meeting with advance notice to the other Party; provided, however, such non-member representatives are subject to enforceable obligations of confidentiality to the inviting Party.</w:t>
      </w:r>
    </w:p>
    <w:p>
      <w:pPr>
        <w:spacing w:after="0" w:line="187" w:lineRule="exact"/>
        <w:rPr>
          <w:sz w:val="20"/>
          <w:szCs w:val="20"/>
          <w:color w:val="auto"/>
        </w:rPr>
      </w:pPr>
    </w:p>
    <w:p>
      <w:pPr>
        <w:ind w:left="500" w:right="160"/>
        <w:spacing w:after="0" w:line="259" w:lineRule="auto"/>
        <w:rPr>
          <w:sz w:val="20"/>
          <w:szCs w:val="20"/>
          <w:color w:val="auto"/>
        </w:rPr>
      </w:pPr>
      <w:r>
        <w:rPr>
          <w:rFonts w:ascii="Times New Roman" w:cs="Times New Roman" w:eastAsia="Times New Roman" w:hAnsi="Times New Roman"/>
          <w:sz w:val="18"/>
          <w:szCs w:val="18"/>
          <w:u w:val="single" w:color="auto"/>
          <w:color w:val="auto"/>
        </w:rPr>
        <w:t>3.4.2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Core Team.</w:t>
      </w:r>
      <w:r>
        <w:rPr>
          <w:rFonts w:ascii="Times New Roman" w:cs="Times New Roman" w:eastAsia="Times New Roman" w:hAnsi="Times New Roman"/>
          <w:sz w:val="18"/>
          <w:szCs w:val="18"/>
          <w:color w:val="auto"/>
        </w:rPr>
        <w:t xml:space="preserve"> The Core Team shall meet by audio or video teleconference or in-person as agreed by the Core Team. Any member of the Core Team may designate a substitute to attend and perform the functions of that member at any meeting of the Core Team and each Party may, in its reasonable discretion, invite non-member representatives of such Party to attend such meetings with advance notice to the other Party; provided, however, such non-member representatives are subject to enforceable obligations of confidentiality to the inviting Party.</w:t>
      </w:r>
    </w:p>
    <w:p>
      <w:pPr>
        <w:spacing w:after="0" w:line="187" w:lineRule="exact"/>
        <w:rPr>
          <w:sz w:val="20"/>
          <w:szCs w:val="20"/>
          <w:color w:val="auto"/>
        </w:rPr>
      </w:pPr>
    </w:p>
    <w:p>
      <w:pPr>
        <w:ind w:left="500" w:right="620"/>
        <w:spacing w:after="0" w:line="277" w:lineRule="auto"/>
        <w:rPr>
          <w:sz w:val="20"/>
          <w:szCs w:val="20"/>
          <w:color w:val="auto"/>
        </w:rPr>
      </w:pPr>
      <w:r>
        <w:rPr>
          <w:rFonts w:ascii="Times New Roman" w:cs="Times New Roman" w:eastAsia="Times New Roman" w:hAnsi="Times New Roman"/>
          <w:sz w:val="18"/>
          <w:szCs w:val="18"/>
          <w:u w:val="single" w:color="auto"/>
          <w:color w:val="auto"/>
        </w:rPr>
        <w:t>3.4.3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Travel Expenses.</w:t>
      </w:r>
      <w:r>
        <w:rPr>
          <w:rFonts w:ascii="Times New Roman" w:cs="Times New Roman" w:eastAsia="Times New Roman" w:hAnsi="Times New Roman"/>
          <w:sz w:val="18"/>
          <w:szCs w:val="18"/>
          <w:color w:val="auto"/>
        </w:rPr>
        <w:t xml:space="preserve"> Each Party shall be responsible for all of its own expenses of traveling to and participating in any joint committee or team meeting, including the JSC and Core Team.</w:t>
      </w:r>
    </w:p>
    <w:p>
      <w:pPr>
        <w:spacing w:after="0" w:line="103" w:lineRule="exact"/>
        <w:rPr>
          <w:sz w:val="20"/>
          <w:szCs w:val="20"/>
          <w:color w:val="auto"/>
        </w:rPr>
      </w:pPr>
    </w:p>
    <w:p>
      <w:pPr>
        <w:jc w:val="both"/>
        <w:ind w:left="340" w:hanging="323"/>
        <w:spacing w:after="0" w:line="242" w:lineRule="auto"/>
        <w:rPr>
          <w:sz w:val="20"/>
          <w:szCs w:val="20"/>
          <w:color w:val="auto"/>
        </w:rPr>
      </w:pP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Decisions.</w:t>
      </w:r>
      <w:r>
        <w:rPr>
          <w:rFonts w:ascii="Times New Roman" w:cs="Times New Roman" w:eastAsia="Times New Roman" w:hAnsi="Times New Roman"/>
          <w:sz w:val="18"/>
          <w:szCs w:val="18"/>
          <w:color w:val="auto"/>
        </w:rPr>
        <w:t xml:space="preserve"> All decisions of JSC, the Core Team and any other joint committee or team formed under the MSA or any applicable PSA, except as expressly set forth herein, shall be made by the unanimous agreement of its members or their designated representatives, with a Party’s members of designated representatives having, in the aggregate, one (1) vote (with the casting of fractional votes being impermissible), and shall be reflected in written meeting minutes which summarily address topics discussed, delegation of work, schedules and decision of such committee or team.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shall prepare written minutes of the JSC and Core Team within fifteen (15) Business Days of the meeting to which they relate, which shall be subject to approval by the authorized representatives of the Parties; provided, however, no joint committee or team herein may amend or waive any provision of theMSA or applicable PSA, including without limitation, the financial terms set forth in Section 9. The MSA or any PSA may be amended, and provision of the MSA or any PSA may be waived, pursuant to Section </w:t>
      </w:r>
      <w:r>
        <w:rPr>
          <w:rFonts w:ascii="Times New Roman" w:cs="Times New Roman" w:eastAsia="Times New Roman" w:hAnsi="Times New Roman"/>
          <w:sz w:val="18"/>
          <w:szCs w:val="18"/>
          <w:u w:val="single" w:color="auto"/>
          <w:color w:val="auto"/>
        </w:rPr>
        <w:t>17.9 only.</w:t>
      </w:r>
    </w:p>
    <w:p>
      <w:pPr>
        <w:spacing w:after="0" w:line="148" w:lineRule="exact"/>
        <w:rPr>
          <w:sz w:val="20"/>
          <w:szCs w:val="20"/>
          <w:color w:val="auto"/>
        </w:rPr>
      </w:pPr>
    </w:p>
    <w:p>
      <w:pPr>
        <w:ind w:left="120" w:hanging="112"/>
        <w:spacing w:after="0"/>
        <w:tabs>
          <w:tab w:leader="none" w:pos="120" w:val="left"/>
        </w:tabs>
        <w:numPr>
          <w:ilvl w:val="0"/>
          <w:numId w:val="7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auto"/>
        </w:rPr>
        <w:t xml:space="preserve">3.6 </w:t>
      </w:r>
      <w:r>
        <w:rPr>
          <w:rFonts w:ascii="Times New Roman" w:cs="Times New Roman" w:eastAsia="Times New Roman" w:hAnsi="Times New Roman"/>
          <w:sz w:val="18"/>
          <w:szCs w:val="18"/>
          <w:b w:val="1"/>
          <w:bCs w:val="1"/>
          <w:u w:val="single" w:color="auto"/>
          <w:color w:val="auto"/>
        </w:rPr>
        <w:t>Disputes.</w:t>
      </w:r>
    </w:p>
    <w:p>
      <w:pPr>
        <w:spacing w:after="0" w:line="252" w:lineRule="exact"/>
        <w:rPr>
          <w:sz w:val="20"/>
          <w:szCs w:val="20"/>
          <w:color w:val="auto"/>
        </w:rPr>
      </w:pPr>
    </w:p>
    <w:p>
      <w:pPr>
        <w:ind w:left="340" w:right="160"/>
        <w:spacing w:after="0" w:line="313" w:lineRule="auto"/>
        <w:rPr>
          <w:sz w:val="20"/>
          <w:szCs w:val="20"/>
          <w:color w:val="auto"/>
        </w:rPr>
      </w:pPr>
      <w:r>
        <w:rPr>
          <w:rFonts w:ascii="Times New Roman" w:cs="Times New Roman" w:eastAsia="Times New Roman" w:hAnsi="Times New Roman"/>
          <w:sz w:val="16"/>
          <w:szCs w:val="16"/>
          <w:u w:val="single" w:color="auto"/>
          <w:color w:val="auto"/>
        </w:rPr>
        <w:t>3.6.1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General.</w:t>
      </w:r>
      <w:r>
        <w:rPr>
          <w:rFonts w:ascii="Times New Roman" w:cs="Times New Roman" w:eastAsia="Times New Roman" w:hAnsi="Times New Roman"/>
          <w:sz w:val="16"/>
          <w:szCs w:val="16"/>
          <w:color w:val="auto"/>
        </w:rPr>
        <w:t xml:space="preserve"> In the event that the Core Team and any other joint committee or team formed under the MSA or any applicable PSA, is unable, despite the good faith efforts of all members, to resolve a disputed issue that is within the purview of such joint committee or team within ten (10) Business Days of meeting request by either Party, the disputed issue shall be referred immediately by such joint committee or team to the JSC. If the disputes still cannot be resolved within an additional twenty (20) Business Days of meeting request by the JSC, the matter may be handled in accordance with Section 16.</w:t>
      </w:r>
    </w:p>
    <w:p>
      <w:pPr>
        <w:spacing w:after="0" w:line="175"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u w:val="single" w:color="auto"/>
          <w:color w:val="auto"/>
        </w:rPr>
        <w:t>3.6.2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Project Management Team Leaders.</w:t>
      </w:r>
      <w:r>
        <w:rPr>
          <w:rFonts w:ascii="Times New Roman" w:cs="Times New Roman" w:eastAsia="Times New Roman" w:hAnsi="Times New Roman"/>
          <w:sz w:val="18"/>
          <w:szCs w:val="18"/>
          <w:color w:val="auto"/>
        </w:rPr>
        <w:t xml:space="preserve"> Subject to Section 3.6.1, the Project Management Team Leaders (or their respective designees) will in good faith attempt to mutually resolve in a timely fashion any disagreement with respect to the Service hereunder, which could reasonably affect the quality of the Manufacturing of the Product, including without limitation, the related management processes and operations, control of production planning and scheduling, prioritization decisions, allocation of resources, timing of in-process and release testing, oversight of auxiliary facilities (e.g., in-process tests that need to be conducted at laboratories other than those at the Facility), Facility modification, the Technology Transfer, registration and troubleshooting decisions, and any other matters relating to implementation of the Manufacturing Process and the Manufacturing of the Product hereunder.</w:t>
      </w:r>
    </w:p>
    <w:p>
      <w:pPr>
        <w:spacing w:after="0" w:line="247"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u w:val="single" w:color="auto"/>
          <w:color w:val="auto"/>
        </w:rPr>
        <w:t>SECTION 4</w:t>
      </w:r>
      <w:r>
        <w:rPr>
          <w:sz w:val="20"/>
          <w:szCs w:val="20"/>
          <w:color w:val="auto"/>
        </w:rPr>
        <w:tab/>
      </w:r>
      <w:r>
        <w:rPr>
          <w:rFonts w:ascii="Times New Roman" w:cs="Times New Roman" w:eastAsia="Times New Roman" w:hAnsi="Times New Roman"/>
          <w:sz w:val="16"/>
          <w:szCs w:val="16"/>
          <w:b w:val="1"/>
          <w:bCs w:val="1"/>
          <w:u w:val="single" w:color="auto"/>
          <w:color w:val="auto"/>
        </w:rPr>
        <w:t>SERVICES</w:t>
      </w:r>
    </w:p>
    <w:p>
      <w:pPr>
        <w:spacing w:after="0" w:line="225"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17"/>
          <w:szCs w:val="17"/>
          <w:u w:val="single" w:color="auto"/>
          <w:color w:val="auto"/>
        </w:rPr>
        <w:t>4.1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Services.</w:t>
      </w:r>
      <w:r>
        <w:rPr>
          <w:rFonts w:ascii="Times New Roman" w:cs="Times New Roman" w:eastAsia="Times New Roman" w:hAnsi="Times New Roman"/>
          <w:sz w:val="17"/>
          <w:szCs w:val="17"/>
          <w:color w:val="auto"/>
        </w:rPr>
        <w:t xml:space="preserve"> During the Term, in accordance with and subject to the terms and conditions set forth in this MSA, applicable PSA, and the applicable QAG,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shall provide the Services to Client relating to the Product(s). * shall at all times make Commercially Reasonable Efforts to complete the Services in accordance with the timelines set forth in the applicable PSA. Except as otherwise expressly set forth in the MSA, applicable PSA, or the applicable QAG or as otherwise mutually agreed in writing by the Parties, * shall be responsible at its own cost and discretion for operating and maintaining the Facility.</w:t>
      </w:r>
    </w:p>
    <w:p>
      <w:pPr>
        <w:spacing w:after="0" w:line="194" w:lineRule="exact"/>
        <w:rPr>
          <w:sz w:val="20"/>
          <w:szCs w:val="20"/>
          <w:color w:val="auto"/>
        </w:rPr>
      </w:pPr>
    </w:p>
    <w:p>
      <w:pPr>
        <w:jc w:val="both"/>
        <w:ind w:left="340" w:hanging="323"/>
        <w:spacing w:after="0" w:line="259" w:lineRule="auto"/>
        <w:tabs>
          <w:tab w:leader="none" w:pos="320" w:val="left"/>
        </w:tabs>
        <w:rPr>
          <w:sz w:val="20"/>
          <w:szCs w:val="20"/>
          <w:color w:val="auto"/>
        </w:rPr>
      </w:pPr>
      <w:r>
        <w:rPr>
          <w:rFonts w:ascii="Times New Roman" w:cs="Times New Roman" w:eastAsia="Times New Roman" w:hAnsi="Times New Roman"/>
          <w:sz w:val="18"/>
          <w:szCs w:val="18"/>
          <w:u w:val="single" w:color="auto"/>
          <w:color w:val="auto"/>
        </w:rPr>
        <w:t>4.2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Compliance with Applicable Law. </w:t>
      </w:r>
      <w:r>
        <w:rPr>
          <w:rFonts w:ascii="Times New Roman" w:cs="Times New Roman" w:eastAsia="Times New Roman" w:hAnsi="Times New Roman"/>
          <w:sz w:val="18"/>
          <w:szCs w:val="18"/>
          <w:color w:val="auto"/>
        </w:rPr>
        <w:t>Subject to the provisions of Section 6 below, * shall maintain the Facility in accordance with cGMP and in such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condition as will allow * to Manufacture the Products in accordance with the terms of the MSA and the applicable QAG. * shall perform the Services under the MSA in conformance with cGMP, if applicable, any requirements of the Regulatory Authorities that shall be mutually agreed upon by the Parties, and all Applicable Laws.</w:t>
      </w:r>
    </w:p>
    <w:p>
      <w:pPr>
        <w:spacing w:after="0" w:line="187" w:lineRule="exact"/>
        <w:rPr>
          <w:sz w:val="20"/>
          <w:szCs w:val="20"/>
          <w:color w:val="auto"/>
        </w:rPr>
      </w:pPr>
    </w:p>
    <w:p>
      <w:pPr>
        <w:jc w:val="both"/>
        <w:ind w:left="340" w:hanging="323"/>
        <w:spacing w:after="0" w:line="239" w:lineRule="auto"/>
        <w:rPr>
          <w:sz w:val="20"/>
          <w:szCs w:val="20"/>
          <w:color w:val="auto"/>
        </w:rPr>
      </w:pP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Project Personnel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shall adequately staff the Facility with personnel necessary (including consultants and contractors), who have sufficient technical expertise by virtue of training and experience to perform its obligations under the MSA and any applicable PSA. Notwithstanding anything to the contrary and in addition to the JSC and Core Team meetings described in Section 3 above, Client and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may arrange for core project personnel to have regular meetings, which shall be by audio or video teleconference. The Project Plan shall specify the frequency and duration of such meetings; provided that the associated costs for meetings requested solely by Client in excess of the number set forth in the Project Plan shall be passed through to Client by *, unless such meeting is for the purpose of addressing a deficiency in Manufacturing caused by * Assignable Error or assessing remediation thereof.</w:t>
      </w:r>
    </w:p>
    <w:p>
      <w:pPr>
        <w:spacing w:after="0" w:line="69" w:lineRule="exact"/>
        <w:rPr>
          <w:sz w:val="20"/>
          <w:szCs w:val="20"/>
          <w:color w:val="auto"/>
        </w:rPr>
      </w:pPr>
    </w:p>
    <w:p>
      <w:pPr>
        <w:ind w:left="120" w:hanging="112"/>
        <w:spacing w:after="0"/>
        <w:tabs>
          <w:tab w:leader="none" w:pos="120" w:val="left"/>
        </w:tabs>
        <w:numPr>
          <w:ilvl w:val="0"/>
          <w:numId w:val="7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6"/>
          <w:szCs w:val="16"/>
          <w:u w:val="single" w:color="auto"/>
          <w:color w:val="auto"/>
        </w:rPr>
        <w:t>4.4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Subcontract.</w:t>
      </w:r>
      <w:r>
        <w:rPr>
          <w:rFonts w:ascii="Times New Roman" w:cs="Times New Roman" w:eastAsia="Times New Roman" w:hAnsi="Times New Roman"/>
          <w:sz w:val="16"/>
          <w:szCs w:val="16"/>
          <w:color w:val="auto"/>
        </w:rPr>
        <w:t xml:space="preserve"> * may subcontract any portion of the Services without approval from Client; provided, however, that * will not subcontract or otherwise engage</w:t>
      </w:r>
    </w:p>
    <w:p>
      <w:pPr>
        <w:spacing w:after="0" w:line="46" w:lineRule="exact"/>
        <w:rPr>
          <w:sz w:val="20"/>
          <w:szCs w:val="20"/>
          <w:color w:val="auto"/>
        </w:rPr>
      </w:pPr>
    </w:p>
    <w:p>
      <w:pPr>
        <w:ind w:left="340" w:right="20"/>
        <w:spacing w:after="0" w:line="251" w:lineRule="auto"/>
        <w:rPr>
          <w:sz w:val="20"/>
          <w:szCs w:val="20"/>
          <w:color w:val="auto"/>
        </w:rPr>
      </w:pPr>
      <w:r>
        <w:rPr>
          <w:rFonts w:ascii="Times New Roman" w:cs="Times New Roman" w:eastAsia="Times New Roman" w:hAnsi="Times New Roman"/>
          <w:sz w:val="18"/>
          <w:szCs w:val="18"/>
          <w:color w:val="auto"/>
        </w:rPr>
        <w:t>subcontractors or other third party agents to manufacture, conduct quality control testing, or perform Services directly related to manufacturing or quality control testing without the prior written approval of Client, which shall not be unreasonably withheld, conditioned, or delayed. Notwithstanding any subcontracting, * shall be primarily obligated to Client for any subcontracted services as if it were providing the Services itself, and shall be jointly and severally liable to Client for the performance of any such Service. The preceding sentence is not meant to nor shall it be construed as altering or eliminating any mutually agreed upon limitations of liability contained within this MSA or any applicable PSA. Every subcontractor or other third party agent of * performing pursuant to this Section 4.4 shall be required by * to agree in writing to comply with relevant portions of this MSA, together with pertinent PSAs and QAGs. For the avoidance of doubt, * shall not directly or indirectly use on its own behalf or through any subcontractor, other vendor or any third party in the performance of this MSA or any PSA, any invention, technology, data or information that would require Client to obtain a license from * not otherwise granted pursuant to this MSA or an applicable PSA, or obtain a license from any such subcontractor, vendor or third party a license in order to make, have, made, use, offer for sell, sell, import or otherwise exploit any Product, unless Client has agreed in advance in writing.</w:t>
      </w:r>
    </w:p>
    <w:p>
      <w:pPr>
        <w:spacing w:after="0" w:line="225" w:lineRule="exact"/>
        <w:rPr>
          <w:sz w:val="20"/>
          <w:szCs w:val="20"/>
          <w:color w:val="auto"/>
        </w:rPr>
      </w:pPr>
    </w:p>
    <w:p>
      <w:pPr>
        <w:ind w:left="340" w:hanging="323"/>
        <w:spacing w:after="0" w:line="277" w:lineRule="auto"/>
        <w:rPr>
          <w:sz w:val="20"/>
          <w:szCs w:val="20"/>
          <w:color w:val="auto"/>
        </w:rPr>
      </w:pP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Development and Manufacturing Site.</w:t>
      </w:r>
      <w:r>
        <w:rPr>
          <w:rFonts w:ascii="Times New Roman" w:cs="Times New Roman" w:eastAsia="Times New Roman" w:hAnsi="Times New Roman"/>
          <w:sz w:val="18"/>
          <w:szCs w:val="18"/>
          <w:color w:val="auto"/>
        </w:rPr>
        <w:t xml:space="preserve"> Except as is provided in Section 4.4 or otherwise agreed by Client, all Services shall be performed by * at the Facility.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4.6 </w:t>
      </w:r>
      <w:r>
        <w:rPr>
          <w:rFonts w:ascii="Times New Roman" w:cs="Times New Roman" w:eastAsia="Times New Roman" w:hAnsi="Times New Roman"/>
          <w:sz w:val="18"/>
          <w:szCs w:val="18"/>
          <w:b w:val="1"/>
          <w:bCs w:val="1"/>
          <w:u w:val="single" w:color="auto"/>
          <w:color w:val="auto"/>
        </w:rPr>
        <w:t>Access to the Facility.</w:t>
      </w:r>
    </w:p>
    <w:p>
      <w:pPr>
        <w:spacing w:after="0" w:line="22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u w:val="single" w:color="auto"/>
          <w:color w:val="auto"/>
        </w:rPr>
        <w:t>4.6.1</w:t>
      </w:r>
      <w:r>
        <w:rPr>
          <w:rFonts w:ascii="Times New Roman" w:cs="Times New Roman" w:eastAsia="Times New Roman" w:hAnsi="Times New Roman"/>
          <w:sz w:val="18"/>
          <w:szCs w:val="18"/>
          <w:color w:val="auto"/>
        </w:rPr>
        <w:t xml:space="preserve"> * shall accommodate visits by Client personnel in the Facility during operational hours during the Term, upon Client’s request, to coordinate, expedite and guide the Service. Client will provide * with written notice at least one (1) month prior to any visit, and the Parties shall decide on a mutually agreeable date, duration, visitor list, and agenda prior to the visit. Additionally, Client may, at no cost to *, request up to two (2) of its personnel to be on-site at the Facility to observe and consult with * during the performance of Services under this MSA and such additional personnel in such numbers as deemed necessary by Client shall be accommodated upon mutual agreement. * shall make reasonable efforts to provide such Client personnel working space and access to guest wireless connections. All applicable out- of-pocket expenses associated with such on-site Client personnel shall be passed through to Client by *.</w:t>
      </w:r>
    </w:p>
    <w:p>
      <w:pPr>
        <w:spacing w:after="0" w:line="195" w:lineRule="exact"/>
        <w:rPr>
          <w:sz w:val="20"/>
          <w:szCs w:val="20"/>
          <w:color w:val="auto"/>
        </w:rPr>
      </w:pPr>
    </w:p>
    <w:p>
      <w:pPr>
        <w:jc w:val="both"/>
        <w:ind w:left="340"/>
        <w:spacing w:after="0" w:line="234" w:lineRule="auto"/>
        <w:rPr>
          <w:sz w:val="20"/>
          <w:szCs w:val="20"/>
          <w:color w:val="auto"/>
        </w:rPr>
      </w:pPr>
      <w:r>
        <w:rPr>
          <w:rFonts w:ascii="Times New Roman" w:cs="Times New Roman" w:eastAsia="Times New Roman" w:hAnsi="Times New Roman"/>
          <w:sz w:val="18"/>
          <w:szCs w:val="18"/>
          <w:u w:val="single" w:color="auto"/>
          <w:color w:val="auto"/>
        </w:rPr>
        <w:t>4.6.2</w:t>
      </w:r>
      <w:r>
        <w:rPr>
          <w:rFonts w:ascii="Times New Roman" w:cs="Times New Roman" w:eastAsia="Times New Roman" w:hAnsi="Times New Roman"/>
          <w:sz w:val="18"/>
          <w:szCs w:val="18"/>
          <w:color w:val="auto"/>
        </w:rPr>
        <w:t xml:space="preserve"> While at the Facility, all such Client personnel shall have reasonable access to all areas as are relevant to *’s performance of the Service hereunder, provided that * may reasonably restrict Client personnel’s access to those portions of the Facility as it deems reasonably necessary for safety, confidentiality and cGMP, and visitors admitted pursuant to this Section, upon request of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shall comply with * policies and procedures as they apply to * personnel generally while at the Facility.</w:t>
      </w:r>
    </w:p>
    <w:p>
      <w:pPr>
        <w:spacing w:after="0" w:line="147" w:lineRule="exact"/>
        <w:rPr>
          <w:sz w:val="20"/>
          <w:szCs w:val="20"/>
          <w:color w:val="auto"/>
        </w:rPr>
      </w:pPr>
    </w:p>
    <w:p>
      <w:pPr>
        <w:ind w:left="120" w:hanging="112"/>
        <w:spacing w:after="0"/>
        <w:tabs>
          <w:tab w:leader="none" w:pos="120"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6" w:name="page127"/>
    <w:bookmarkEnd w:id="126"/>
    <w:p>
      <w:pPr>
        <w:jc w:val="both"/>
        <w:ind w:left="340" w:hanging="323"/>
        <w:spacing w:after="0" w:line="252" w:lineRule="auto"/>
        <w:rPr>
          <w:sz w:val="20"/>
          <w:szCs w:val="20"/>
          <w:color w:val="auto"/>
        </w:rPr>
      </w:pP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Manufacturing Documentation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 shall maintain in the English language, complete, true and accurate Manufacturing Documentation, and shall keep them in strict confidence and shall not use them for purposes other than providing or performing the Service or other obligations hereunder. * shall maintain all such Manufacturing Documentation for at least that period specified in the applicable QAG or such longer period as may be required by Applicable Law. Upon written request of Client and at mutually agreeable times, Client shall have the right to review Manufacturing Documentation, including the Batch Records, at the Facility as further defined in the applicable QAG; provided, however, * shall not delay any such request of Client for more than fifteen (15) Business Days. Client may also request scanned or printed copies of such Manufacturing Documentation, but shall be responsible for reasonable costs associated therewith. * shall record and maintain such records, data, documentation and other information in the language as so required in the applicable QAG or as so required by a Regulatory Authority and in compliance with Applicable Law, or as otherwise may be set forth in an applicable PSA. The form and style of Batch documents, including, but not limited to, Batch production records, lot packaging records, equipment set up control, operating parameters, and data printouts, raw material data, and laboratory notebooks are the exclusive property of *. Notwithstanding anything to the contrary, * SOPs not specific to the Client’s Products may be provided to Client for on-site review if deemed necessary by both * and Client. Such SOPs cannot be removed from the * premises, copied, photographed or otherwise replicated, but to the extent required for filing in connection with any Regulatory Approval related to a Product including, but not limited to, an IND, BLA or MAA, * will file, maintain and update such SOPs with appropriate Regulatory Authorities by means of a Drug Master File, Common Technical Document or other means by which such SOPs may remain confidential, but available by reference to Client to effect Regulatory Approvals, and * shall formally authorize such reference.</w:t>
      </w:r>
    </w:p>
    <w:p>
      <w:pPr>
        <w:spacing w:after="0" w:line="15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b w:val="1"/>
          <w:bCs w:val="1"/>
          <w:u w:val="single" w:color="auto"/>
          <w:color w:val="auto"/>
        </w:rPr>
        <w:t>SECTION 5</w:t>
      </w:r>
      <w:r>
        <w:rPr>
          <w:sz w:val="20"/>
          <w:szCs w:val="20"/>
          <w:color w:val="auto"/>
        </w:rPr>
        <w:tab/>
      </w:r>
      <w:r>
        <w:rPr>
          <w:rFonts w:ascii="Times New Roman" w:cs="Times New Roman" w:eastAsia="Times New Roman" w:hAnsi="Times New Roman"/>
          <w:sz w:val="16"/>
          <w:szCs w:val="16"/>
          <w:b w:val="1"/>
          <w:bCs w:val="1"/>
          <w:u w:val="single" w:color="auto"/>
          <w:color w:val="auto"/>
        </w:rPr>
        <w:t>SERVICE DESCRIPTIONS</w:t>
      </w:r>
    </w:p>
    <w:p>
      <w:pPr>
        <w:spacing w:after="0" w:line="225" w:lineRule="exact"/>
        <w:rPr>
          <w:sz w:val="20"/>
          <w:szCs w:val="20"/>
          <w:color w:val="auto"/>
        </w:rPr>
      </w:pPr>
    </w:p>
    <w:p>
      <w:pPr>
        <w:jc w:val="both"/>
        <w:ind w:left="340" w:hanging="323"/>
        <w:spacing w:after="0" w:line="255" w:lineRule="auto"/>
        <w:rPr>
          <w:sz w:val="20"/>
          <w:szCs w:val="20"/>
          <w:color w:val="auto"/>
        </w:rPr>
      </w:pP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Technology Transfer Requirements.</w:t>
      </w:r>
      <w:r>
        <w:rPr>
          <w:rFonts w:ascii="Times New Roman" w:cs="Times New Roman" w:eastAsia="Times New Roman" w:hAnsi="Times New Roman"/>
          <w:sz w:val="18"/>
          <w:szCs w:val="18"/>
          <w:color w:val="auto"/>
        </w:rPr>
        <w:t xml:space="preserve"> The Parties shall make their personnel available at the Facility to enable the transfer and implementation in accordance with the Project Plan. Client shall transfer to and grant * the limited license set forth below in Section 11.2 in respect of the Reference Standards, Client Technology, Client Materials, and Cell Line In the event that Client agrees to utilize *, Client agrees that (a) in the event of any relevant change that affects a Client user’s authorization to use such portal, Client shall promptly notify * so that * may disable their usernames and remove / change passwords in order to secure the * Portal and (b) Client shall ensure that all of Client’s users have up-to-date antivirus software installed on the computer devices used to access such portal.</w:t>
      </w:r>
    </w:p>
    <w:p>
      <w:pPr>
        <w:spacing w:after="0" w:line="193" w:lineRule="exact"/>
        <w:rPr>
          <w:sz w:val="20"/>
          <w:szCs w:val="20"/>
          <w:color w:val="auto"/>
        </w:rPr>
      </w:pPr>
    </w:p>
    <w:p>
      <w:pPr>
        <w:jc w:val="both"/>
        <w:ind w:left="340" w:hanging="323"/>
        <w:spacing w:after="0" w:line="263" w:lineRule="auto"/>
        <w:rPr>
          <w:sz w:val="20"/>
          <w:szCs w:val="20"/>
          <w:color w:val="auto"/>
        </w:rPr>
      </w:pPr>
      <w:r>
        <w:rPr>
          <w:rFonts w:ascii="Times New Roman" w:cs="Times New Roman" w:eastAsia="Times New Roman" w:hAnsi="Times New Roman"/>
          <w:sz w:val="17"/>
          <w:szCs w:val="17"/>
          <w:u w:val="single" w:color="auto"/>
          <w:color w:val="auto"/>
        </w:rPr>
        <w:t>5.2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Facility Modification and Equipment.</w:t>
      </w:r>
      <w:r>
        <w:rPr>
          <w:rFonts w:ascii="Times New Roman" w:cs="Times New Roman" w:eastAsia="Times New Roman" w:hAnsi="Times New Roman"/>
          <w:sz w:val="17"/>
          <w:szCs w:val="17"/>
          <w:color w:val="auto"/>
        </w:rPr>
        <w:t xml:space="preserve"> Except as otherwise specifically provided herein to the contrary, and upon mutual agreement of the Parties, Client and * will agree on what equipment in the Facility is necessary to perform the Services, and if it is necessary or Client deems it necessary to procure additional equipment beyond that which is in the Facility as of the applicable PSA Effective Date, the Core Team shall determine equitable allocation of costs including, as applicable, procurement, validation, installation, maintenance, commissioning, and decommissioning/validation (which determination shall be escalated to the JSC if in dispute). Thereafter, if any additional equipment is necessary at the request of Client, such costs shall be dealt with by the Change provisions of this MSA.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shall modify the Facility and engineer, procure, install, commission, test, qualify, troubleshoot and validate necessary equipment and instruments in order to accommodate Manufacture of the Product at the Facility, as further described in the Project Plan and applicable QAG. Except as provided in this Section 5.2 or any applicable PSA, the Facility, Warehouse and all the equipment shall be maintained, tested, validated, calibrated and qualified for their intended uses by * at *’s expense. For the avoidance of doubt, it shall be the responsibility of * to effect such changes at the Facility including, but not limited to changes in equipment, as are required by changes in laws, rules or regulations related to the manufacture, handling, storage, packaging and disposal of biologics generally, compliance therewith being necessary in order for * to hold itself out as a qualified manufacturer of biologics for human use. It shall be the responsibility of * to obtain, maintain and pay all costs associated with establishment licenses required for the Facility, the Warehouse and any other facilities used by * in the performance of its obligations under this MSA and any applicable PSA.</w:t>
      </w:r>
    </w:p>
    <w:p>
      <w:pPr>
        <w:spacing w:after="0" w:line="162" w:lineRule="exact"/>
        <w:rPr>
          <w:sz w:val="20"/>
          <w:szCs w:val="20"/>
          <w:color w:val="auto"/>
        </w:rPr>
      </w:pPr>
    </w:p>
    <w:p>
      <w:pPr>
        <w:ind w:left="120" w:hanging="112"/>
        <w:spacing w:after="0"/>
        <w:tabs>
          <w:tab w:leader="none" w:pos="120" w:val="left"/>
        </w:tabs>
        <w:numPr>
          <w:ilvl w:val="0"/>
          <w:numId w:val="8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auto"/>
        </w:rPr>
        <w:t>5.3 Raw Materials.</w:t>
      </w:r>
    </w:p>
    <w:p>
      <w:pPr>
        <w:spacing w:after="0" w:line="252"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6"/>
          <w:szCs w:val="16"/>
          <w:u w:val="single" w:color="auto"/>
          <w:color w:val="auto"/>
        </w:rPr>
        <w:t>5.3.1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Management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 shall procure and maintain a reasonable quantity of the Raw Materials, required for the Services in accordance with the MSA and any applicable PSA, as further described in the applicable QAG. On a per-Product basis, the Core Team shall finalize the categorization of the Raw Materials into Raw Materials which shall be used for that specific Product only (“</w:t>
      </w:r>
      <w:r>
        <w:rPr>
          <w:rFonts w:ascii="Times New Roman" w:cs="Times New Roman" w:eastAsia="Times New Roman" w:hAnsi="Times New Roman"/>
          <w:sz w:val="16"/>
          <w:szCs w:val="16"/>
          <w:b w:val="1"/>
          <w:bCs w:val="1"/>
          <w:color w:val="auto"/>
        </w:rPr>
        <w:t>Specialized Raw Materials</w:t>
      </w:r>
      <w:r>
        <w:rPr>
          <w:rFonts w:ascii="Times New Roman" w:cs="Times New Roman" w:eastAsia="Times New Roman" w:hAnsi="Times New Roman"/>
          <w:sz w:val="16"/>
          <w:szCs w:val="16"/>
          <w:color w:val="auto"/>
        </w:rPr>
        <w:t>”), Raw Materials which can be used across multiple products and/or customers (“</w:t>
      </w:r>
      <w:r>
        <w:rPr>
          <w:rFonts w:ascii="Times New Roman" w:cs="Times New Roman" w:eastAsia="Times New Roman" w:hAnsi="Times New Roman"/>
          <w:sz w:val="16"/>
          <w:szCs w:val="16"/>
          <w:b w:val="1"/>
          <w:bCs w:val="1"/>
          <w:color w:val="auto"/>
        </w:rPr>
        <w:t>Common Raw Materials</w:t>
      </w:r>
      <w:r>
        <w:rPr>
          <w:rFonts w:ascii="Times New Roman" w:cs="Times New Roman" w:eastAsia="Times New Roman" w:hAnsi="Times New Roman"/>
          <w:sz w:val="16"/>
          <w:szCs w:val="16"/>
          <w:color w:val="auto"/>
        </w:rPr>
        <w:t>”), and Raw Materials which will not be charged on a cost-plus basis to the Client, and shall attach such list to the applicable PSA. Such list of Common Raw Materials and Specialized Raw Materials may be amended from time to time, subject to the Parties’ approval. Prior to the commencement of Manufacture, the Core Team shall agree on estimates for quantities of Raw Materials anticipated to be consumed in the Manufacture of each Batch. Although * will make Commercially Reasonable Efforts to use no more than those amounts,</w:t>
      </w:r>
    </w:p>
    <w:p>
      <w:pPr>
        <w:spacing w:after="0" w:line="3" w:lineRule="exact"/>
        <w:rPr>
          <w:sz w:val="20"/>
          <w:szCs w:val="20"/>
          <w:color w:val="auto"/>
        </w:rPr>
      </w:pPr>
    </w:p>
    <w:p>
      <w:pPr>
        <w:ind w:left="500" w:right="60" w:hanging="6"/>
        <w:spacing w:after="0" w:line="253" w:lineRule="auto"/>
        <w:tabs>
          <w:tab w:leader="none" w:pos="63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responsible for Raw Materials used in excess of the agreed-upon estimate; provided, however, that * shall be responsible for any such excessive use, loss, spoilage, or waste of such Raw Materials caused by an * Assignable Error. In order to become effective, *’s reasonable strategies regarding Raw Material safety stock and sourcing from qualified vendors shall be agreed upon by Client. In the event * is not able to utilize any capacity reserved to Manufacture Product according to an agreed-upon forecast or manufacturing plan due to Client’s failure to agree to such reasonable strategies, then Client shall be responsible for the costs of such reserved capacity regardless of whether it is utilized or not.</w:t>
      </w:r>
    </w:p>
    <w:p>
      <w:pPr>
        <w:spacing w:after="0" w:line="124" w:lineRule="exact"/>
        <w:rPr>
          <w:sz w:val="20"/>
          <w:szCs w:val="20"/>
          <w:color w:val="auto"/>
        </w:rPr>
      </w:pPr>
    </w:p>
    <w:p>
      <w:pPr>
        <w:ind w:left="500" w:right="180"/>
        <w:spacing w:after="0" w:line="264" w:lineRule="auto"/>
        <w:rPr>
          <w:sz w:val="20"/>
          <w:szCs w:val="20"/>
          <w:color w:val="auto"/>
        </w:rPr>
      </w:pPr>
      <w:r>
        <w:rPr>
          <w:rFonts w:ascii="Times New Roman" w:cs="Times New Roman" w:eastAsia="Times New Roman" w:hAnsi="Times New Roman"/>
          <w:sz w:val="18"/>
          <w:szCs w:val="18"/>
          <w:u w:val="single" w:color="auto"/>
          <w:color w:val="auto"/>
        </w:rPr>
        <w:t>5.3.2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Data Transfer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Client and * shall agree on the Specifications for the Raw Materials, including without limitation analytical methods, supplier information including supplier site information, and other information concerning the stability, storage, and safety thereof that are available and required for the Manufacturing hereunder, as further described in the applicable QAG.</w:t>
      </w:r>
    </w:p>
    <w:p>
      <w:pPr>
        <w:spacing w:after="0" w:line="124" w:lineRule="exact"/>
        <w:rPr>
          <w:sz w:val="20"/>
          <w:szCs w:val="20"/>
          <w:color w:val="auto"/>
        </w:rPr>
      </w:pPr>
    </w:p>
    <w:p>
      <w:pPr>
        <w:ind w:left="120" w:hanging="112"/>
        <w:spacing w:after="0"/>
        <w:tabs>
          <w:tab w:leader="none" w:pos="120" w:val="left"/>
        </w:tabs>
        <w:numPr>
          <w:ilvl w:val="0"/>
          <w:numId w:val="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128" w:name="page129"/>
    <w:bookmarkEnd w:id="128"/>
    <w:p>
      <w:pPr>
        <w:ind w:left="500"/>
        <w:spacing w:after="0" w:line="230" w:lineRule="auto"/>
        <w:rPr>
          <w:sz w:val="20"/>
          <w:szCs w:val="20"/>
          <w:color w:val="auto"/>
        </w:rPr>
      </w:pPr>
      <w:r>
        <w:rPr>
          <w:rFonts w:ascii="Times New Roman" w:cs="Times New Roman" w:eastAsia="Times New Roman" w:hAnsi="Times New Roman"/>
          <w:sz w:val="18"/>
          <w:szCs w:val="18"/>
          <w:u w:val="single" w:color="auto"/>
          <w:color w:val="auto"/>
        </w:rPr>
        <w:t>5.3.3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Testing and Evaluation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vendors qualified by * shall perform all testing and evaluation of the Raw Materials as required by the Specifications for the Raw Materials and the cGMPs, as further described in the applicable QAG, if applicable. * shall not release any Raw Materials from quarantine that do not meet their Specifications or are not otherwise suitable for cGMP use.</w:t>
      </w:r>
    </w:p>
    <w:p>
      <w:pPr>
        <w:spacing w:after="0" w:line="203" w:lineRule="exact"/>
        <w:rPr>
          <w:sz w:val="20"/>
          <w:szCs w:val="20"/>
          <w:color w:val="auto"/>
        </w:rPr>
      </w:pPr>
    </w:p>
    <w:p>
      <w:pPr>
        <w:ind w:left="50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5.3.4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Storage.</w:t>
      </w:r>
      <w:r>
        <w:rPr>
          <w:rFonts w:ascii="Times New Roman" w:cs="Times New Roman" w:eastAsia="Times New Roman" w:hAnsi="Times New Roman"/>
          <w:sz w:val="18"/>
          <w:szCs w:val="18"/>
          <w:color w:val="auto"/>
        </w:rPr>
        <w:t xml:space="preserve"> * shall secure sufficient and suitable cGMP storage facilities and/or equipment at the Facility that meet the Specifications for storage of the Raw Materials. * shall preserve and protect the Raw Materials from loss and damage while in *’s possession, consistent with reasonable technical and business judgment, the Specifications and any relevant SOPs or other instructions provided by Client; provided however, * shall be responsible for loss of Raw Materials after receipt by * and prior to Manufacture only in cases of * Assignable Error or breach of this Section 5.3.4. In all other cases, Client shall be responsible for the risk of loss of the Raw Materials. Upon obsolescence, or upon expiration or earlier termination of a PSA, Client shall be responsible for the loss of Raw Material purchased in reliance on a Purchase Order, Firm Period, or Binding Year which Client fails to honor and * cannot reasonably otherwise utilize such Raw Material.</w:t>
      </w:r>
    </w:p>
    <w:p>
      <w:pPr>
        <w:spacing w:after="0" w:line="189" w:lineRule="exact"/>
        <w:rPr>
          <w:sz w:val="20"/>
          <w:szCs w:val="20"/>
          <w:color w:val="auto"/>
        </w:rPr>
      </w:pPr>
    </w:p>
    <w:p>
      <w:pPr>
        <w:ind w:left="500" w:right="340"/>
        <w:spacing w:after="0" w:line="277" w:lineRule="auto"/>
        <w:rPr>
          <w:sz w:val="20"/>
          <w:szCs w:val="20"/>
          <w:color w:val="auto"/>
        </w:rPr>
      </w:pPr>
      <w:r>
        <w:rPr>
          <w:rFonts w:ascii="Times New Roman" w:cs="Times New Roman" w:eastAsia="Times New Roman" w:hAnsi="Times New Roman"/>
          <w:sz w:val="18"/>
          <w:szCs w:val="18"/>
          <w:u w:val="single" w:color="auto"/>
          <w:color w:val="auto"/>
        </w:rPr>
        <w:t>5.3.5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Service Fee Related to Raw Material.</w:t>
      </w:r>
      <w:r>
        <w:rPr>
          <w:rFonts w:ascii="Times New Roman" w:cs="Times New Roman" w:eastAsia="Times New Roman" w:hAnsi="Times New Roman"/>
          <w:sz w:val="18"/>
          <w:szCs w:val="18"/>
          <w:color w:val="auto"/>
        </w:rPr>
        <w:t xml:space="preserve"> Common Raw Materials and Specialized Raw Materials will be charged on a cost-plus basis to Client in accordance with Sections 9.1(ii) and 9.2.2, subject to any changes in the scope of work.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5.4 Client Materials.</w:t>
      </w:r>
    </w:p>
    <w:p>
      <w:pPr>
        <w:spacing w:after="0" w:line="225"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8"/>
          <w:szCs w:val="18"/>
          <w:u w:val="single" w:color="auto"/>
          <w:color w:val="auto"/>
        </w:rPr>
        <w:t>5.4.1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 xml:space="preserve"> Client shall provide to * free of charge, either by itself or through its third party supplier, Client Materials in amounts reasonably necessary to carry out the Services as agreed by the Parties. The applicable PSA shall set forth the exact timing of such provision of Client Materials to *. * shall make Commercially Reasonable Efforts to import the Client Materials to the Republic of Korea in a timely manner, provided that Client provides reasonable assistance. The title to such Client Materials shall remain at all times with the Client. Prior to the commencement of Manufacture, the Core Team shall agree on estimates of quantities for Client Material anticipated to be consumed in the Manufacture of each Batch. Although * will make Commercially Reasonable Efforts to use no more than those amounts, * will not be responsible for Client Materials used in excess of the agreed-upon estimate; provided, however, that * shall be responsible for any such excessive use, loss, spoilage, or waste of such Client Materials caused by an * Assignable Error, and further provided that * shall not be liable for the monetary value of Cell Line loss if it complied with risk mitigation measures to protect the Cell Line, as reasonably agreed to by the Parties and set forth in the Quality Agreement. In order to become effective, *’s reasonable strategies regarding Client Material safety stock and sourcing from qualified vendors shall be agreed to by Client. In the event * is not able to utilize any capacity reserved to Manufacture Product according to an agreed-upon forecast or manufacturing plan due to Client’s failure to agree to such reasonable strategies, then Client shall be responsible for the costs of such reserved capacity regardless of whether it is utilized or not.</w:t>
      </w:r>
    </w:p>
    <w:p>
      <w:pPr>
        <w:spacing w:after="0" w:line="134" w:lineRule="exact"/>
        <w:rPr>
          <w:sz w:val="20"/>
          <w:szCs w:val="20"/>
          <w:color w:val="auto"/>
        </w:rPr>
      </w:pPr>
    </w:p>
    <w:p>
      <w:pPr>
        <w:ind w:left="120" w:hanging="112"/>
        <w:spacing w:after="0"/>
        <w:tabs>
          <w:tab w:leader="none" w:pos="120" w:val="left"/>
        </w:tabs>
        <w:numPr>
          <w:ilvl w:val="0"/>
          <w:numId w:val="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9" w:name="page130"/>
    <w:bookmarkEnd w:id="129"/>
    <w:p>
      <w:pPr>
        <w:ind w:left="492"/>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Data Transfer.</w:t>
      </w:r>
      <w:r>
        <w:rPr>
          <w:rFonts w:ascii="Times New Roman" w:cs="Times New Roman" w:eastAsia="Times New Roman" w:hAnsi="Times New Roman"/>
          <w:sz w:val="18"/>
          <w:szCs w:val="18"/>
          <w:color w:val="auto"/>
        </w:rPr>
        <w:t xml:space="preserve"> Client shall provide </w:t>
      </w:r>
      <w:hyperlink w:anchor="page130">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the Specifications of the Client Materials, including without limitation analytical methods, supplier information, and other information concerning the stability, storage, and safety thereof that are available and required for the Manufacturing hereunder, as further described in the applicable QAG.</w:t>
      </w:r>
    </w:p>
    <w:p>
      <w:pPr>
        <w:spacing w:after="0" w:line="181" w:lineRule="exact"/>
        <w:rPr>
          <w:sz w:val="20"/>
          <w:szCs w:val="20"/>
          <w:color w:val="auto"/>
        </w:rPr>
      </w:pPr>
    </w:p>
    <w:p>
      <w:pPr>
        <w:ind w:left="492"/>
        <w:spacing w:after="0" w:line="289" w:lineRule="auto"/>
        <w:rPr>
          <w:sz w:val="20"/>
          <w:szCs w:val="20"/>
          <w:color w:val="auto"/>
        </w:rPr>
      </w:pPr>
      <w:r>
        <w:rPr>
          <w:rFonts w:ascii="Times New Roman" w:cs="Times New Roman" w:eastAsia="Times New Roman" w:hAnsi="Times New Roman"/>
          <w:sz w:val="16"/>
          <w:szCs w:val="16"/>
          <w:u w:val="single" w:color="auto"/>
          <w:color w:val="auto"/>
        </w:rPr>
        <w:t>5.4.3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Testing and Evaluation.</w:t>
      </w:r>
      <w:r>
        <w:rPr>
          <w:rFonts w:ascii="Times New Roman" w:cs="Times New Roman" w:eastAsia="Times New Roman" w:hAnsi="Times New Roman"/>
          <w:sz w:val="16"/>
          <w:szCs w:val="16"/>
          <w:color w:val="auto"/>
        </w:rPr>
        <w:t xml:space="preserve"> * shall perform testing of the Client Materials in accordance with the applicable QAG and/or Client’s instruction prior to the performance of the Manufacturing hereunder, in order to determine whether such Client Materials meet the Specification described in the applicable QAG (if applicable). * shall inform Client of (a) any damage to the Client Materials received that is visually obvious (e.g., damaged or punctured containers and temperature monitoring results outside of predetermined Specifications) within five (5) Business Days after *’s receipt of the Client Materials and (b) any non-conformance of the Client Materials to Specification either: (i) within sixty (60) calendar days after *’s receipt of the Client Materials or (ii) if release testing of Client Materials is not to be performed until it is needed for Manufacture, within sixty (60) calendar days after such release testing is performed; or (iii) as is otherwise agreed between the Parties. If, prior to performing any Service on the Client Materials, * determines that such Client Materials are defective or damaged, * shall not perform the Service on such Client Materials and shall follow Client’s written instructions regarding disposal or return of such Client materials to Client, such disposal or return to be at Client’s discretion and cost.</w:t>
      </w:r>
    </w:p>
    <w:p>
      <w:pPr>
        <w:spacing w:after="0" w:line="167" w:lineRule="exact"/>
        <w:rPr>
          <w:sz w:val="20"/>
          <w:szCs w:val="20"/>
          <w:color w:val="auto"/>
        </w:rPr>
      </w:pPr>
    </w:p>
    <w:p>
      <w:pPr>
        <w:ind w:left="492" w:right="20"/>
        <w:spacing w:after="0" w:line="297" w:lineRule="auto"/>
        <w:rPr>
          <w:sz w:val="20"/>
          <w:szCs w:val="20"/>
          <w:color w:val="auto"/>
        </w:rPr>
      </w:pPr>
      <w:r>
        <w:rPr>
          <w:rFonts w:ascii="Times New Roman" w:cs="Times New Roman" w:eastAsia="Times New Roman" w:hAnsi="Times New Roman"/>
          <w:sz w:val="16"/>
          <w:szCs w:val="16"/>
          <w:u w:val="single" w:color="auto"/>
          <w:color w:val="auto"/>
        </w:rPr>
        <w:t>5.4.4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Storage.</w:t>
      </w:r>
      <w:r>
        <w:rPr>
          <w:rFonts w:ascii="Times New Roman" w:cs="Times New Roman" w:eastAsia="Times New Roman" w:hAnsi="Times New Roman"/>
          <w:sz w:val="16"/>
          <w:szCs w:val="16"/>
          <w:color w:val="auto"/>
        </w:rPr>
        <w:t xml:space="preserve"> * shall secure sufficient and suitable cGMP storage facilities and/or equipment at the Facility that meet the Specifications for storage of reasonable quantities of Client Materials in light of quantities of Product anticipated to be Manufactured. * shall preserve and protect the Client Materials from loss and damage while in *’s possession, consistent with reasonable technical and business judgment, the Specifications and any relevant SOPs or other instructions provided by Client; provided that * shall only be liable for loss and damage after receipt/acceptance by * and prior to Manufacture in cases of * Assignable Error or breach of this Section 5.4.4. In all other cases, Client shall be responsible for the risk of loss of the Client Materials.</w:t>
      </w:r>
    </w:p>
    <w:p>
      <w:pPr>
        <w:spacing w:after="0" w:line="185" w:lineRule="exact"/>
        <w:rPr>
          <w:sz w:val="20"/>
          <w:szCs w:val="20"/>
          <w:color w:val="auto"/>
        </w:rPr>
      </w:pPr>
    </w:p>
    <w:p>
      <w:pPr>
        <w:ind w:left="492"/>
        <w:spacing w:after="0" w:line="277" w:lineRule="auto"/>
        <w:rPr>
          <w:sz w:val="20"/>
          <w:szCs w:val="20"/>
          <w:color w:val="auto"/>
        </w:rPr>
      </w:pPr>
      <w:r>
        <w:rPr>
          <w:rFonts w:ascii="Times New Roman" w:cs="Times New Roman" w:eastAsia="Times New Roman" w:hAnsi="Times New Roman"/>
          <w:sz w:val="18"/>
          <w:szCs w:val="18"/>
          <w:u w:val="single" w:color="auto"/>
          <w:color w:val="auto"/>
        </w:rPr>
        <w:t>5.4.5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Service Fee Related to Client Material.</w:t>
      </w:r>
      <w:r>
        <w:rPr>
          <w:rFonts w:ascii="Times New Roman" w:cs="Times New Roman" w:eastAsia="Times New Roman" w:hAnsi="Times New Roman"/>
          <w:sz w:val="18"/>
          <w:szCs w:val="18"/>
          <w:color w:val="auto"/>
        </w:rPr>
        <w:t xml:space="preserve"> Handling fees relating to the Client Material will be charged to Client in accordance with Sections 9.1(iii) and 9.2.3.</w:t>
      </w:r>
    </w:p>
    <w:p>
      <w:pPr>
        <w:spacing w:after="0" w:line="197" w:lineRule="exact"/>
        <w:rPr>
          <w:sz w:val="20"/>
          <w:szCs w:val="20"/>
          <w:color w:val="auto"/>
        </w:rPr>
      </w:pPr>
    </w:p>
    <w:p>
      <w:pPr>
        <w:ind w:left="332" w:right="420" w:hanging="323"/>
        <w:spacing w:after="0" w:line="264" w:lineRule="auto"/>
        <w:rPr>
          <w:sz w:val="20"/>
          <w:szCs w:val="20"/>
          <w:color w:val="auto"/>
        </w:rPr>
      </w:pP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Forecasts.</w:t>
      </w:r>
      <w:r>
        <w:rPr>
          <w:rFonts w:ascii="Times New Roman" w:cs="Times New Roman" w:eastAsia="Times New Roman" w:hAnsi="Times New Roman"/>
          <w:sz w:val="18"/>
          <w:szCs w:val="18"/>
          <w:color w:val="auto"/>
        </w:rPr>
        <w:t xml:space="preserve"> For each Commercial Product, the Parties shall determine a mutually agreeable mechanism for forecasting of each Product, which shall be detailed in writing and attached to each relevant PSA. For Clinical Product, the Parties shall agree upon the number and schedule of Batches to be Manufactured by * in the applicable PSA.</w:t>
      </w:r>
    </w:p>
    <w:p>
      <w:pPr>
        <w:spacing w:after="0" w:line="208" w:lineRule="exact"/>
        <w:rPr>
          <w:sz w:val="20"/>
          <w:szCs w:val="20"/>
          <w:color w:val="auto"/>
        </w:rPr>
      </w:pPr>
    </w:p>
    <w:p>
      <w:pPr>
        <w:ind w:left="332" w:right="600" w:hanging="323"/>
        <w:spacing w:after="0" w:line="277" w:lineRule="auto"/>
        <w:rPr>
          <w:sz w:val="20"/>
          <w:szCs w:val="20"/>
          <w:color w:val="auto"/>
        </w:rPr>
      </w:pP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Purchase Orders.</w:t>
      </w:r>
      <w:r>
        <w:rPr>
          <w:rFonts w:ascii="Times New Roman" w:cs="Times New Roman" w:eastAsia="Times New Roman" w:hAnsi="Times New Roman"/>
          <w:sz w:val="18"/>
          <w:szCs w:val="18"/>
          <w:color w:val="auto"/>
        </w:rPr>
        <w:t xml:space="preserve"> For each Clinical Product or Commercial Product, Client shall notify * in a binding form and procedure to be agreed upon in the applicable PSA requesting a specific amount of Product to be Manufactured (a “</w:t>
      </w:r>
      <w:r>
        <w:rPr>
          <w:rFonts w:ascii="Times New Roman" w:cs="Times New Roman" w:eastAsia="Times New Roman" w:hAnsi="Times New Roman"/>
          <w:sz w:val="18"/>
          <w:szCs w:val="18"/>
          <w:b w:val="1"/>
          <w:bCs w:val="1"/>
          <w:color w:val="auto"/>
        </w:rPr>
        <w:t>Purchase Order</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32" w:right="320" w:hanging="323"/>
        <w:spacing w:after="0" w:line="277" w:lineRule="auto"/>
        <w:rPr>
          <w:sz w:val="20"/>
          <w:szCs w:val="20"/>
          <w:color w:val="auto"/>
        </w:rPr>
      </w:pP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Product Purchase Commitment.</w:t>
      </w:r>
      <w:r>
        <w:rPr>
          <w:rFonts w:ascii="Times New Roman" w:cs="Times New Roman" w:eastAsia="Times New Roman" w:hAnsi="Times New Roman"/>
          <w:sz w:val="18"/>
          <w:szCs w:val="18"/>
          <w:color w:val="auto"/>
        </w:rPr>
        <w:t xml:space="preserve"> As further set forth in a PSA, during the Term the Parties may agree that Client will purchase a minimum quantity of batches of a certain Product in a given year (a “</w:t>
      </w:r>
      <w:r>
        <w:rPr>
          <w:rFonts w:ascii="Times New Roman" w:cs="Times New Roman" w:eastAsia="Times New Roman" w:hAnsi="Times New Roman"/>
          <w:sz w:val="18"/>
          <w:szCs w:val="18"/>
          <w:b w:val="1"/>
          <w:bCs w:val="1"/>
          <w:color w:val="auto"/>
        </w:rPr>
        <w:t>Product Purchase Commitment</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12" w:hanging="112"/>
        <w:spacing w:after="0"/>
        <w:tabs>
          <w:tab w:leader="none" w:pos="112" w:val="left"/>
        </w:tabs>
        <w:numPr>
          <w:ilvl w:val="0"/>
          <w:numId w:val="8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582" w:right="359" w:bottom="1440" w:gutter="0" w:footer="0" w:header="0"/>
        </w:sectPr>
      </w:pPr>
    </w:p>
    <w:bookmarkStart w:id="130" w:name="page131"/>
    <w:bookmarkEnd w:id="130"/>
    <w:p>
      <w:pPr>
        <w:spacing w:after="0"/>
        <w:tabs>
          <w:tab w:leader="none" w:pos="420" w:val="left"/>
        </w:tabs>
        <w:rPr>
          <w:sz w:val="20"/>
          <w:szCs w:val="20"/>
          <w:color w:val="auto"/>
        </w:rPr>
      </w:pPr>
      <w:r>
        <w:rPr>
          <w:rFonts w:ascii="Times New Roman" w:cs="Times New Roman" w:eastAsia="Times New Roman" w:hAnsi="Times New Roman"/>
          <w:sz w:val="18"/>
          <w:szCs w:val="18"/>
          <w:u w:val="single" w:color="auto"/>
          <w:color w:val="auto"/>
        </w:rPr>
        <w:t>5.8</w:t>
      </w:r>
      <w:r>
        <w:rPr>
          <w:sz w:val="20"/>
          <w:szCs w:val="20"/>
          <w:color w:val="auto"/>
        </w:rPr>
        <w:tab/>
      </w:r>
      <w:r>
        <w:rPr>
          <w:rFonts w:ascii="Times New Roman" w:cs="Times New Roman" w:eastAsia="Times New Roman" w:hAnsi="Times New Roman"/>
          <w:sz w:val="16"/>
          <w:szCs w:val="16"/>
          <w:b w:val="1"/>
          <w:bCs w:val="1"/>
          <w:u w:val="single" w:color="auto"/>
          <w:color w:val="auto"/>
        </w:rPr>
        <w:t>Batch Failure during Manufacture.</w:t>
      </w:r>
    </w:p>
    <w:p>
      <w:pPr>
        <w:spacing w:after="0" w:line="225" w:lineRule="exact"/>
        <w:rPr>
          <w:sz w:val="20"/>
          <w:szCs w:val="20"/>
          <w:color w:val="auto"/>
        </w:rPr>
      </w:pPr>
    </w:p>
    <w:p>
      <w:pPr>
        <w:ind w:left="500" w:right="240"/>
        <w:spacing w:after="0" w:line="2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5.8.1</w:t>
      </w:r>
      <w:r>
        <w:rPr>
          <w:rFonts w:ascii="Times New Roman" w:cs="Times New Roman" w:eastAsia="Times New Roman" w:hAnsi="Times New Roman"/>
          <w:sz w:val="16"/>
          <w:szCs w:val="16"/>
          <w:color w:val="auto"/>
        </w:rPr>
        <w:t xml:space="preserve"> If, during Manufacture of a Batch and prior to </w:t>
      </w:r>
      <w:hyperlink w:anchor="page131">
        <w:r>
          <w:rPr>
            <w:rFonts w:ascii="Times New Roman" w:cs="Times New Roman" w:eastAsia="Times New Roman" w:hAnsi="Times New Roman"/>
            <w:sz w:val="11"/>
            <w:szCs w:val="11"/>
            <w:u w:val="single" w:color="auto"/>
            <w:color w:val="0000EE"/>
          </w:rPr>
          <w:t>*</w:t>
        </w:r>
      </w:hyperlink>
      <w:r>
        <w:rPr>
          <w:rFonts w:ascii="Times New Roman" w:cs="Times New Roman" w:eastAsia="Times New Roman" w:hAnsi="Times New Roman"/>
          <w:sz w:val="16"/>
          <w:szCs w:val="16"/>
          <w:color w:val="auto"/>
        </w:rPr>
        <w:t>’s Batch release, the Core Team determines that a Batch is Non-Conforming Product (a “</w:t>
      </w:r>
      <w:r>
        <w:rPr>
          <w:rFonts w:ascii="Times New Roman" w:cs="Times New Roman" w:eastAsia="Times New Roman" w:hAnsi="Times New Roman"/>
          <w:sz w:val="16"/>
          <w:szCs w:val="16"/>
          <w:b w:val="1"/>
          <w:bCs w:val="1"/>
          <w:color w:val="auto"/>
        </w:rPr>
        <w:t>Batch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Failure</w:t>
      </w:r>
      <w:r>
        <w:rPr>
          <w:rFonts w:ascii="Times New Roman" w:cs="Times New Roman" w:eastAsia="Times New Roman" w:hAnsi="Times New Roman"/>
          <w:sz w:val="16"/>
          <w:szCs w:val="16"/>
          <w:color w:val="auto"/>
        </w:rPr>
        <w:t>”), * shall take Commercially Reasonable Efforts to promptly Manufacture (except to the extent prohibited by cGMP or applicable QAG)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 to Client a replacement Batch on a date to be mutually agreed by the Parties, which Batch shall be invoiced and paid for as if it were the failed Batch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Client shall only be invoiced for the Batch conforming to the Specifications and Manufactured in compliance with cGMP, and actually delivered). Client shall be responsible for the costs and fees of the Raw Materials and Client Materials for the replacement Batch as if it were the failed Batch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Client shall only be invoiced the applicable cost of the Raw Materials and Client Materials actually used to Manufacture the conforming, cGMP compliant replacement Batch). Client shall use Commercially Reasonable Efforts to ensure that * has adequate Client Materials to Manufacture such Batches and Client’s failure to provide such Client Materials shall relieve * of its obligations to provide a remedy pursuant to this Section 5.8. The remedies contained in Section 5.8 of this MSA shall be the sole and exclusive remedies of Client regarding a Batch Failure and a Batch Failure shall not constitute a material breach of this MSA or a PSA unless * fails to provide the remedies contained in this Section 5.8.</w:t>
      </w:r>
    </w:p>
    <w:p>
      <w:pPr>
        <w:spacing w:after="0" w:line="384" w:lineRule="exact"/>
        <w:rPr>
          <w:sz w:val="20"/>
          <w:szCs w:val="20"/>
          <w:color w:val="auto"/>
        </w:rPr>
      </w:pPr>
    </w:p>
    <w:p>
      <w:pPr>
        <w:ind w:left="500"/>
        <w:spacing w:after="0" w:line="254" w:lineRule="auto"/>
        <w:rPr>
          <w:sz w:val="20"/>
          <w:szCs w:val="20"/>
          <w:color w:val="auto"/>
        </w:rPr>
      </w:pPr>
      <w:r>
        <w:rPr>
          <w:rFonts w:ascii="Times New Roman" w:cs="Times New Roman" w:eastAsia="Times New Roman" w:hAnsi="Times New Roman"/>
          <w:sz w:val="18"/>
          <w:szCs w:val="18"/>
          <w:u w:val="single" w:color="auto"/>
          <w:color w:val="auto"/>
        </w:rPr>
        <w:t>5.8.2</w:t>
      </w:r>
      <w:r>
        <w:rPr>
          <w:rFonts w:ascii="Times New Roman" w:cs="Times New Roman" w:eastAsia="Times New Roman" w:hAnsi="Times New Roman"/>
          <w:sz w:val="18"/>
          <w:szCs w:val="18"/>
          <w:color w:val="auto"/>
        </w:rPr>
        <w:t xml:space="preserve"> The Parties shall conduct a root cause analysis (including an analysis of whether the Batch Failure was the fault of *, Client, neither or both) of the Batch Failure, which shall be done through *’s deviation process and which result will be reviewed and confirmed by the JSC. If either the Core Team does not agree on the Batch Failure root cause, and the JSC does not agree on the results of the Core Team’s Batch Failure root cause analysis, the Parties shall refer review of such root cause analysis to an independent mutually agreed-on laboratory or firm with international repute, acting as a neutral arbiter, to conduct a root cause analysis of the Batch Failure. The costs of the independent laboratory will be borne by the Party responsible for the Batch Failure, as determined by the independent laboratory, whose written decision shall be binding on the Parties. If the independent laboratory is paid in advance of a final written determination, the Parties shall share equally such expense, and the Party at fault shall reimburse the other Party for its share of any such expenses paid after there has been a final written determination made by the independent laboratory.</w:t>
      </w:r>
    </w:p>
    <w:p>
      <w:pPr>
        <w:spacing w:after="0" w:line="219" w:lineRule="exact"/>
        <w:rPr>
          <w:sz w:val="20"/>
          <w:szCs w:val="20"/>
          <w:color w:val="auto"/>
        </w:rPr>
      </w:pPr>
    </w:p>
    <w:p>
      <w:pPr>
        <w:ind w:left="500" w:right="380"/>
        <w:spacing w:after="0" w:line="296" w:lineRule="auto"/>
        <w:rPr>
          <w:sz w:val="20"/>
          <w:szCs w:val="20"/>
          <w:color w:val="auto"/>
        </w:rPr>
      </w:pPr>
      <w:r>
        <w:rPr>
          <w:rFonts w:ascii="Times New Roman" w:cs="Times New Roman" w:eastAsia="Times New Roman" w:hAnsi="Times New Roman"/>
          <w:sz w:val="16"/>
          <w:szCs w:val="16"/>
          <w:u w:val="single" w:color="auto"/>
          <w:color w:val="auto"/>
        </w:rPr>
        <w:t>5.8.3</w:t>
      </w:r>
      <w:r>
        <w:rPr>
          <w:rFonts w:ascii="Times New Roman" w:cs="Times New Roman" w:eastAsia="Times New Roman" w:hAnsi="Times New Roman"/>
          <w:sz w:val="16"/>
          <w:szCs w:val="16"/>
          <w:color w:val="auto"/>
        </w:rPr>
        <w:t xml:space="preserve"> The PSA applicable to such Product Batch Failure shall set forth responsibility among the Parties for the following costs in the event of a Batch Failure: (1) the * Service Fee to Manufacture the failed Batch; (2) *’s costs to procure the Raw Materials used in the failed Batch plus applicable * handling fees associated with such Raw Materials; (3) * handling fees associated with the applicable Client Materials used in the failed Batch; and (4) Client’s cost to procure the Client Materials (which shall not include Cell Line) used in the failed Batch which amount is to be calculated based on the actual replacement value (as opposed to the market value) of such materials as supported by reasonable documentary evidence by Client.</w:t>
      </w:r>
    </w:p>
    <w:p>
      <w:pPr>
        <w:spacing w:after="0" w:line="189" w:lineRule="exact"/>
        <w:rPr>
          <w:sz w:val="20"/>
          <w:szCs w:val="20"/>
          <w:color w:val="auto"/>
        </w:rPr>
      </w:pPr>
    </w:p>
    <w:p>
      <w:pPr>
        <w:ind w:left="500" w:right="160"/>
        <w:spacing w:after="0" w:line="275" w:lineRule="auto"/>
        <w:rPr>
          <w:sz w:val="20"/>
          <w:szCs w:val="20"/>
          <w:color w:val="auto"/>
        </w:rPr>
      </w:pPr>
      <w:r>
        <w:rPr>
          <w:rFonts w:ascii="Times New Roman" w:cs="Times New Roman" w:eastAsia="Times New Roman" w:hAnsi="Times New Roman"/>
          <w:sz w:val="18"/>
          <w:szCs w:val="18"/>
          <w:u w:val="single" w:color="auto"/>
          <w:color w:val="auto"/>
        </w:rPr>
        <w:t>5.8.4</w:t>
      </w:r>
      <w:r>
        <w:rPr>
          <w:rFonts w:ascii="Times New Roman" w:cs="Times New Roman" w:eastAsia="Times New Roman" w:hAnsi="Times New Roman"/>
          <w:sz w:val="18"/>
          <w:szCs w:val="18"/>
          <w:color w:val="auto"/>
        </w:rPr>
        <w:t xml:space="preserve"> In the event that any of the foregoing procedures results in a Batch being delivered in a different year than the year in which the original Batch was ordered for delivery by Client, the Service Fee for such re-Manufactured Batch shall be the Service Fee in effect in the Year in</w:t>
      </w:r>
    </w:p>
    <w:p>
      <w:pPr>
        <w:spacing w:after="0" w:line="34" w:lineRule="exact"/>
        <w:rPr>
          <w:sz w:val="20"/>
          <w:szCs w:val="20"/>
          <w:color w:val="auto"/>
        </w:rPr>
      </w:pPr>
    </w:p>
    <w:p>
      <w:pPr>
        <w:ind w:left="120" w:hanging="112"/>
        <w:spacing w:after="0"/>
        <w:tabs>
          <w:tab w:leader="none" w:pos="120" w:val="left"/>
        </w:tabs>
        <w:numPr>
          <w:ilvl w:val="0"/>
          <w:numId w:val="8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5" w:right="239" w:bottom="1440" w:gutter="0" w:footer="0" w:header="0"/>
        </w:sectPr>
      </w:pPr>
    </w:p>
    <w:bookmarkStart w:id="131" w:name="page132"/>
    <w:bookmarkEnd w:id="131"/>
    <w:p>
      <w:pPr>
        <w:ind w:right="3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such re-Manufactured Batch is actually delivered by </w:t>
      </w:r>
      <w:hyperlink w:anchor="page132">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unless the root cause analysis determined the Batch Failure resulted from * Assignable Error, in which case, the Service Fee in effect at the time of the Purchase Order for the failed Batch shall apply.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Storage, Packaging and Delivery</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340" w:right="100"/>
        <w:spacing w:after="0" w:line="277" w:lineRule="auto"/>
        <w:rPr>
          <w:sz w:val="20"/>
          <w:szCs w:val="20"/>
          <w:color w:val="auto"/>
        </w:rPr>
      </w:pPr>
      <w:r>
        <w:rPr>
          <w:rFonts w:ascii="Times New Roman" w:cs="Times New Roman" w:eastAsia="Times New Roman" w:hAnsi="Times New Roman"/>
          <w:sz w:val="18"/>
          <w:szCs w:val="18"/>
          <w:u w:val="single" w:color="auto"/>
          <w:color w:val="auto"/>
        </w:rPr>
        <w:t>5.9.1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Service Deliverables other than Products.</w:t>
      </w:r>
      <w:r>
        <w:rPr>
          <w:rFonts w:ascii="Times New Roman" w:cs="Times New Roman" w:eastAsia="Times New Roman" w:hAnsi="Times New Roman"/>
          <w:sz w:val="18"/>
          <w:szCs w:val="18"/>
          <w:color w:val="auto"/>
        </w:rPr>
        <w:t xml:space="preserve"> Storage, packaging and delivery of the Service deliverables other than Products Manufactured hereunder shall be made in accordance with the terms of this MSA, applicable PSA, Project Plan, applicable QAG and the Applicable Laws.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 xml:space="preserve">5.9.2 </w:t>
      </w:r>
      <w:r>
        <w:rPr>
          <w:rFonts w:ascii="Times New Roman" w:cs="Times New Roman" w:eastAsia="Times New Roman" w:hAnsi="Times New Roman"/>
          <w:sz w:val="18"/>
          <w:szCs w:val="18"/>
          <w:b w:val="1"/>
          <w:bCs w:val="1"/>
          <w:u w:val="single" w:color="auto"/>
          <w:color w:val="auto"/>
        </w:rPr>
        <w:t>Products.</w:t>
      </w:r>
    </w:p>
    <w:p>
      <w:pPr>
        <w:spacing w:after="0" w:line="252" w:lineRule="exact"/>
        <w:rPr>
          <w:sz w:val="20"/>
          <w:szCs w:val="20"/>
          <w:color w:val="auto"/>
        </w:rPr>
      </w:pPr>
    </w:p>
    <w:p>
      <w:pPr>
        <w:ind w:left="1000" w:hanging="256"/>
        <w:spacing w:after="0"/>
        <w:tabs>
          <w:tab w:leader="none" w:pos="100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by * and Acceptance by Client.</w:t>
      </w:r>
    </w:p>
    <w:p>
      <w:pPr>
        <w:spacing w:after="0" w:line="227" w:lineRule="exact"/>
        <w:rPr>
          <w:rFonts w:ascii="Times New Roman" w:cs="Times New Roman" w:eastAsia="Times New Roman" w:hAnsi="Times New Roman"/>
          <w:sz w:val="18"/>
          <w:szCs w:val="18"/>
          <w:b w:val="1"/>
          <w:bCs w:val="1"/>
          <w:color w:val="auto"/>
        </w:rPr>
      </w:pPr>
    </w:p>
    <w:p>
      <w:pPr>
        <w:jc w:val="both"/>
        <w:ind w:left="660" w:right="100" w:firstLine="962"/>
        <w:spacing w:after="0" w:line="258" w:lineRule="auto"/>
        <w:tabs>
          <w:tab w:leader="none" w:pos="1835"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shall perform all testing in accordance with the Specifications of the Product and release the Product in accordance with the terms of the applicable QAG. Upon such release * shall deliver to Client a copy of the Manufacturing Documentation in support of the *’s release of the Product for each Batch (“</w:t>
      </w:r>
      <w:r>
        <w:rPr>
          <w:rFonts w:ascii="Times New Roman" w:cs="Times New Roman" w:eastAsia="Times New Roman" w:hAnsi="Times New Roman"/>
          <w:sz w:val="18"/>
          <w:szCs w:val="18"/>
          <w:b w:val="1"/>
          <w:bCs w:val="1"/>
          <w:color w:val="auto"/>
        </w:rPr>
        <w:t>Batch Related Documents</w:t>
      </w:r>
      <w:r>
        <w:rPr>
          <w:rFonts w:ascii="Times New Roman" w:cs="Times New Roman" w:eastAsia="Times New Roman" w:hAnsi="Times New Roman"/>
          <w:sz w:val="18"/>
          <w:szCs w:val="18"/>
          <w:color w:val="auto"/>
        </w:rPr>
        <w:t>”), including a Certificate of Analysis and Certificate of Compliance, in accordance with the applicable QAG;</w:t>
      </w:r>
    </w:p>
    <w:p>
      <w:pPr>
        <w:spacing w:after="0" w:line="215" w:lineRule="exact"/>
        <w:rPr>
          <w:rFonts w:ascii="Times New Roman" w:cs="Times New Roman" w:eastAsia="Times New Roman" w:hAnsi="Times New Roman"/>
          <w:sz w:val="18"/>
          <w:szCs w:val="18"/>
          <w:color w:val="auto"/>
        </w:rPr>
      </w:pPr>
    </w:p>
    <w:p>
      <w:pPr>
        <w:ind w:left="660" w:firstLine="962"/>
        <w:spacing w:after="0" w:line="290" w:lineRule="auto"/>
        <w:tabs>
          <w:tab w:leader="none" w:pos="1884"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Acceptance of Product. </w:t>
      </w:r>
      <w:r>
        <w:rPr>
          <w:rFonts w:ascii="Times New Roman" w:cs="Times New Roman" w:eastAsia="Times New Roman" w:hAnsi="Times New Roman"/>
          <w:sz w:val="16"/>
          <w:szCs w:val="16"/>
          <w:color w:val="auto"/>
        </w:rPr>
        <w:t>Client will complete the Acceptance Procedure and determine the acceptability of such Product in accordance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the applicable QAG and notify * of the result within the latter of thirty (30) Business Days of *’s release of Product or Client’s receipt of the Batch Related Documents. Upon Client’s acceptance, * will have no liability for such Product once entrusted to the carrier (the Parties shall use good-faith efforts to minimize the time-period between Client’s acceptance and *’s delivery to the carrier), except as set forth in Section 5.9.2(a)(iv) regarding Latent Defects. If Client does not reject such Product within the thirty (30) Business Day period, the Product will be deemed to have been accepted by Client and * will have no liability for such Product once entrusted to the carrier (the Parties shall use good-faith efforts to minimize the time-period between Client’s acceptance and *’s delivery to the carrier), except (A) as set forth in Section 5.9.2(a)(iv) regarding Latent Defects or (B) due to a breach of *’s obligations with regard to (I) handling or storage or (II) the Specifications insofar as they relate to packaging and shipping.</w:t>
      </w:r>
    </w:p>
    <w:p>
      <w:pPr>
        <w:spacing w:after="0" w:line="166" w:lineRule="exact"/>
        <w:rPr>
          <w:rFonts w:ascii="Times New Roman" w:cs="Times New Roman" w:eastAsia="Times New Roman" w:hAnsi="Times New Roman"/>
          <w:sz w:val="16"/>
          <w:szCs w:val="16"/>
          <w:color w:val="auto"/>
        </w:rPr>
      </w:pPr>
    </w:p>
    <w:p>
      <w:pPr>
        <w:jc w:val="both"/>
        <w:ind w:left="660" w:right="80" w:firstLine="969"/>
        <w:spacing w:after="0" w:line="312" w:lineRule="auto"/>
        <w:tabs>
          <w:tab w:leader="none" w:pos="1940"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Non-Conforming. </w:t>
      </w:r>
      <w:r>
        <w:rPr>
          <w:rFonts w:ascii="Times New Roman" w:cs="Times New Roman" w:eastAsia="Times New Roman" w:hAnsi="Times New Roman"/>
          <w:sz w:val="16"/>
          <w:szCs w:val="16"/>
          <w:color w:val="auto"/>
        </w:rPr>
        <w:t>If, during the Acceptance Procedure, any Product is determined by Client or * as Non-Conforming Product,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 of Client, * shall take Commercially Reasonable Efforts to promptly Manufacture replacement Product (except to the extent prohibited by cGMP or applicable QAG) and deliver to Client the quantity of the Product equivalent to the quantity of Non-Conforming Product on a date to be</w:t>
      </w:r>
    </w:p>
    <w:p>
      <w:pPr>
        <w:spacing w:after="0" w:line="6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Confidential material redacted and filed separately with the Commission.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ind w:left="820"/>
        <w:spacing w:after="0" w:line="243" w:lineRule="auto"/>
        <w:rPr>
          <w:sz w:val="20"/>
          <w:szCs w:val="20"/>
          <w:color w:val="auto"/>
        </w:rPr>
      </w:pPr>
      <w:r>
        <w:rPr>
          <w:rFonts w:ascii="Times New Roman" w:cs="Times New Roman" w:eastAsia="Times New Roman" w:hAnsi="Times New Roman"/>
          <w:sz w:val="18"/>
          <w:szCs w:val="18"/>
          <w:color w:val="auto"/>
        </w:rPr>
        <w:t xml:space="preserve">mutually agreed by the Parties and such replacement Batch shall be invoiced and paid for as if it were the original Non-Conforming Product. If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does not confirm the non-conformity, the Parties shall refer to an independent and mutually agreed-on laboratory or firm with international repute to test the disputed Product. The costs of the independent laboratory will be borne by the Party responsible for the Batch Failure, as determined by the independent laboratory, whose written decision shall be binding on the Parties. If the independent laboratory is paid in advance of a final written determination, the Parties shall share equally such expense, and the Party at fault shall reimburse the other Party for its share of any such expenses paid after there has been a final written determination made by the independent laboratory. Section 5.9.2(a) (i) and (ii) shall apply to such replaced Product </w:t>
      </w:r>
      <w:r>
        <w:rPr>
          <w:rFonts w:ascii="Times New Roman" w:cs="Times New Roman" w:eastAsia="Times New Roman" w:hAnsi="Times New Roman"/>
          <w:sz w:val="18"/>
          <w:szCs w:val="18"/>
          <w:i w:val="1"/>
          <w:iCs w:val="1"/>
          <w:u w:val="single" w:color="auto"/>
          <w:color w:val="auto"/>
        </w:rPr>
        <w:t>mutatis mutandis</w:t>
      </w:r>
      <w:r>
        <w:rPr>
          <w:rFonts w:ascii="Times New Roman" w:cs="Times New Roman" w:eastAsia="Times New Roman" w:hAnsi="Times New Roman"/>
          <w:sz w:val="18"/>
          <w:szCs w:val="18"/>
          <w:color w:val="auto"/>
        </w:rPr>
        <w:t xml:space="preserve">. Responsibility for the costs of such Non-Conforming Product shall be as if such Non-Conforming Product is a Batch Failure and Section 5.8.2 – 5.8.4 shall apply to such Non-Conforming Product </w:t>
      </w:r>
      <w:r>
        <w:rPr>
          <w:rFonts w:ascii="Times New Roman" w:cs="Times New Roman" w:eastAsia="Times New Roman" w:hAnsi="Times New Roman"/>
          <w:sz w:val="18"/>
          <w:szCs w:val="18"/>
          <w:i w:val="1"/>
          <w:iCs w:val="1"/>
          <w:u w:val="single" w:color="auto"/>
          <w:color w:val="auto"/>
        </w:rPr>
        <w:t>mutatis mutandis</w:t>
      </w:r>
      <w:r>
        <w:rPr>
          <w:rFonts w:ascii="Times New Roman" w:cs="Times New Roman" w:eastAsia="Times New Roman" w:hAnsi="Times New Roman"/>
          <w:sz w:val="18"/>
          <w:szCs w:val="18"/>
          <w:color w:val="auto"/>
        </w:rPr>
        <w:t>. The remedies contained in this Section 5.9.2 shall be the sole and exclusive remedy of client for Non-Conforming Product.</w:t>
      </w:r>
    </w:p>
    <w:p>
      <w:pPr>
        <w:spacing w:after="0" w:line="204" w:lineRule="exact"/>
        <w:rPr>
          <w:sz w:val="20"/>
          <w:szCs w:val="20"/>
          <w:color w:val="auto"/>
        </w:rPr>
      </w:pPr>
    </w:p>
    <w:p>
      <w:pPr>
        <w:ind w:left="820" w:right="40" w:firstLine="809"/>
        <w:spacing w:after="0" w:line="255" w:lineRule="auto"/>
        <w:tabs>
          <w:tab w:leader="none" w:pos="1928"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Latent Defect. </w:t>
      </w:r>
      <w:r>
        <w:rPr>
          <w:rFonts w:ascii="Times New Roman" w:cs="Times New Roman" w:eastAsia="Times New Roman" w:hAnsi="Times New Roman"/>
          <w:sz w:val="18"/>
          <w:szCs w:val="18"/>
          <w:color w:val="auto"/>
        </w:rPr>
        <w:t>At any time after completion of review of the Batch Related Documents, if Client finds any hidden defects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which could not have been reasonably discovered through the review of the Batch Related Documents (</w:t>
      </w:r>
      <w:r>
        <w:rPr>
          <w:rFonts w:ascii="Times New Roman" w:cs="Times New Roman" w:eastAsia="Times New Roman" w:hAnsi="Times New Roman"/>
          <w:sz w:val="18"/>
          <w:szCs w:val="18"/>
          <w:b w:val="1"/>
          <w:bCs w:val="1"/>
          <w:color w:val="auto"/>
        </w:rPr>
        <w:t>“Latent Defect”</w:t>
      </w:r>
      <w:r>
        <w:rPr>
          <w:rFonts w:ascii="Times New Roman" w:cs="Times New Roman" w:eastAsia="Times New Roman" w:hAnsi="Times New Roman"/>
          <w:sz w:val="18"/>
          <w:szCs w:val="18"/>
          <w:color w:val="auto"/>
        </w:rPr>
        <w:t>), Client shall promptly give notice of such claim in writing to *. In such case, if Client proves the Latent Defect is solely due to * Assignable Error, the above Section 5.9.2(a)(iii) and Section 13.1 shall apply. If no written claim for Latent Defect of the Product is received by * within one (1) month from Client’s discovery of the Latent Defect, the Product shall be deemed as irrevocably accepted. Notwithstanding anything to the contrary; such claim for Latent Defect must be made within a time period to be set forth in the applicable PSA, but in no event after the expiration date of the Product. For the avoidance of doubt, a Latent Defect is a defect in existence at the time of completion of the Acceptance Procedure.</w:t>
      </w:r>
    </w:p>
    <w:p>
      <w:pPr>
        <w:spacing w:after="0" w:line="216" w:lineRule="exact"/>
        <w:rPr>
          <w:rFonts w:ascii="Times New Roman" w:cs="Times New Roman" w:eastAsia="Times New Roman" w:hAnsi="Times New Roman"/>
          <w:sz w:val="18"/>
          <w:szCs w:val="18"/>
          <w:color w:val="auto"/>
        </w:rPr>
      </w:pPr>
    </w:p>
    <w:p>
      <w:pPr>
        <w:ind w:left="500" w:right="180" w:hanging="6"/>
        <w:spacing w:after="0" w:line="277" w:lineRule="auto"/>
        <w:tabs>
          <w:tab w:leader="none" w:pos="802"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Delivery. </w:t>
      </w:r>
      <w:r>
        <w:rPr>
          <w:rFonts w:ascii="Times New Roman" w:cs="Times New Roman" w:eastAsia="Times New Roman" w:hAnsi="Times New Roman"/>
          <w:sz w:val="18"/>
          <w:szCs w:val="18"/>
          <w:color w:val="auto"/>
        </w:rPr>
        <w:t>Shipping conditions, title transfer to Client and risk of loss for the Product Manufactured hereunder shall be *. The Parties further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99" w:lineRule="exact"/>
        <w:rPr>
          <w:rFonts w:ascii="Times New Roman" w:cs="Times New Roman" w:eastAsia="Times New Roman" w:hAnsi="Times New Roman"/>
          <w:sz w:val="18"/>
          <w:szCs w:val="18"/>
          <w:b w:val="1"/>
          <w:bCs w:val="1"/>
          <w:color w:val="auto"/>
        </w:rPr>
      </w:pPr>
    </w:p>
    <w:p>
      <w:pPr>
        <w:ind w:left="820" w:right="60" w:firstLine="809"/>
        <w:spacing w:after="0" w:line="242" w:lineRule="auto"/>
        <w:tabs>
          <w:tab w:leader="none" w:pos="184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*’s release of the Product and prior to each pick-up by Client or Client’s designated carrier, * shall propose to Client a delivery schedule of the Product, in order for the Parties to agree on it in advance for each pick- up. * shall schedule Delivery with the carrier selected and paid for by Client; Client shall compensate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storage costs for the Manufactured Product stored with * for more than sixty (60) calendar days following release, as set forth in the applicable PSA;</w:t>
      </w:r>
    </w:p>
    <w:p>
      <w:pPr>
        <w:spacing w:after="0" w:line="203" w:lineRule="exact"/>
        <w:rPr>
          <w:rFonts w:ascii="Times New Roman" w:cs="Times New Roman" w:eastAsia="Times New Roman" w:hAnsi="Times New Roman"/>
          <w:sz w:val="18"/>
          <w:szCs w:val="18"/>
          <w:color w:val="auto"/>
        </w:rPr>
      </w:pPr>
    </w:p>
    <w:p>
      <w:pPr>
        <w:jc w:val="both"/>
        <w:ind w:left="820" w:right="300" w:firstLine="809"/>
        <w:spacing w:after="0" w:line="289" w:lineRule="auto"/>
        <w:tabs>
          <w:tab w:leader="none" w:pos="1932"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shall not deliver the Product until it has been instructed to by Client in accordance with the applicable QAG. Client shall confirm specific delivery instructions with * prior to * release. Upon *’s release of Product, * shall store the Manufactured Product as described in Section</w:t>
      </w:r>
    </w:p>
    <w:p>
      <w:pPr>
        <w:spacing w:after="0" w:line="1" w:lineRule="exact"/>
        <w:rPr>
          <w:rFonts w:ascii="Times New Roman" w:cs="Times New Roman" w:eastAsia="Times New Roman" w:hAnsi="Times New Roman"/>
          <w:sz w:val="16"/>
          <w:szCs w:val="16"/>
          <w:color w:val="auto"/>
        </w:rPr>
      </w:pPr>
    </w:p>
    <w:p>
      <w:pPr>
        <w:ind w:left="820" w:right="18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5.9.2(c) and Client shall compensate * for storage costs for the Manufactured Product stored with * for more than sixty (60) calendar days following release, as set forth in the applicable PSA;</w:t>
      </w:r>
    </w:p>
    <w:p>
      <w:pPr>
        <w:spacing w:after="0" w:line="10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Confidential material redacted and filed separately with the Commission.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33" w:name="page134"/>
    <w:bookmarkEnd w:id="133"/>
    <w:p>
      <w:pPr>
        <w:ind w:left="812" w:right="580" w:firstLine="809"/>
        <w:spacing w:after="0" w:line="275" w:lineRule="auto"/>
        <w:tabs>
          <w:tab w:leader="none" w:pos="193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shall provide Client with invoice, packing lists, supporting export documents as specified by Client by separate delivery and shipment documentation instructions, together with each shipment of the Product (or such other deliverables); and</w:t>
      </w:r>
    </w:p>
    <w:p>
      <w:pPr>
        <w:spacing w:after="0" w:line="200" w:lineRule="exact"/>
        <w:rPr>
          <w:rFonts w:ascii="Times New Roman" w:cs="Times New Roman" w:eastAsia="Times New Roman" w:hAnsi="Times New Roman"/>
          <w:sz w:val="18"/>
          <w:szCs w:val="18"/>
          <w:color w:val="auto"/>
        </w:rPr>
      </w:pPr>
    </w:p>
    <w:p>
      <w:pPr>
        <w:ind w:left="812" w:firstLine="809"/>
        <w:spacing w:after="0" w:line="275" w:lineRule="auto"/>
        <w:tabs>
          <w:tab w:leader="none" w:pos="19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cooperation with Client and subject to the delivery schedule agreed by the Parties, * shall adhere to the first-expire-first-out (FEFO) principle in shipping all released Product.</w:t>
      </w:r>
    </w:p>
    <w:p>
      <w:pPr>
        <w:spacing w:after="0" w:line="198" w:lineRule="exact"/>
        <w:rPr>
          <w:rFonts w:ascii="Times New Roman" w:cs="Times New Roman" w:eastAsia="Times New Roman" w:hAnsi="Times New Roman"/>
          <w:sz w:val="18"/>
          <w:szCs w:val="18"/>
          <w:color w:val="auto"/>
        </w:rPr>
      </w:pPr>
    </w:p>
    <w:p>
      <w:pPr>
        <w:ind w:left="812" w:hanging="326"/>
        <w:spacing w:after="0"/>
        <w:tabs>
          <w:tab w:leader="none" w:pos="81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Storage, Packaging and Shipping Container.</w:t>
      </w:r>
    </w:p>
    <w:p>
      <w:pPr>
        <w:spacing w:after="0" w:line="254" w:lineRule="exact"/>
        <w:rPr>
          <w:rFonts w:ascii="Times New Roman" w:cs="Times New Roman" w:eastAsia="Times New Roman" w:hAnsi="Times New Roman"/>
          <w:sz w:val="18"/>
          <w:szCs w:val="18"/>
          <w:b w:val="1"/>
          <w:bCs w:val="1"/>
          <w:color w:val="auto"/>
        </w:rPr>
      </w:pPr>
    </w:p>
    <w:p>
      <w:pPr>
        <w:ind w:left="1832" w:hanging="211"/>
        <w:spacing w:after="0"/>
        <w:tabs>
          <w:tab w:leader="none" w:pos="183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this MSA and any applicable PSA, * shall store the Products Manufactured hereunder.</w:t>
      </w:r>
    </w:p>
    <w:p>
      <w:pPr>
        <w:spacing w:after="0" w:line="225" w:lineRule="exact"/>
        <w:rPr>
          <w:rFonts w:ascii="Times New Roman" w:cs="Times New Roman" w:eastAsia="Times New Roman" w:hAnsi="Times New Roman"/>
          <w:sz w:val="18"/>
          <w:szCs w:val="18"/>
          <w:color w:val="auto"/>
        </w:rPr>
      </w:pPr>
    </w:p>
    <w:p>
      <w:pPr>
        <w:ind w:left="812" w:right="620" w:firstLine="809"/>
        <w:spacing w:after="0" w:line="275" w:lineRule="auto"/>
        <w:tabs>
          <w:tab w:leader="none" w:pos="188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shall store, package, label and prepare shipment according to the Specifications for the Product Manufactured hereunder, the applicable QAG and the SOPs, and using storage and/or shipping containers determined in the applicable PSA.</w:t>
      </w:r>
    </w:p>
    <w:p>
      <w:pPr>
        <w:spacing w:after="0" w:line="173" w:lineRule="exact"/>
        <w:rPr>
          <w:rFonts w:ascii="Times New Roman" w:cs="Times New Roman" w:eastAsia="Times New Roman" w:hAnsi="Times New Roman"/>
          <w:sz w:val="18"/>
          <w:szCs w:val="18"/>
          <w:color w:val="auto"/>
        </w:rPr>
      </w:pPr>
    </w:p>
    <w:p>
      <w:pPr>
        <w:ind w:left="812" w:firstLine="809"/>
        <w:spacing w:after="0" w:line="258" w:lineRule="auto"/>
        <w:tabs>
          <w:tab w:leader="none" w:pos="193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 does not direct * to prepare Manufactured Product to be picked up by Client or Client’s designated carrier with a pick-up date within sixty calendar (60) days of Client’s receipt of the Batch Related Documents, * shall store the Product at the Warehouse and Client shall pay storage fees to * as set forth in Section 9.1 for the period of storage at the Warehouse in excess of sixty (60) calendar days from release until the actual delivery date, in accordance with the applicable PSA.</w:t>
      </w:r>
    </w:p>
    <w:p>
      <w:pPr>
        <w:spacing w:after="0" w:line="217" w:lineRule="exact"/>
        <w:rPr>
          <w:rFonts w:ascii="Times New Roman" w:cs="Times New Roman" w:eastAsia="Times New Roman" w:hAnsi="Times New Roman"/>
          <w:sz w:val="18"/>
          <w:szCs w:val="18"/>
          <w:color w:val="auto"/>
        </w:rPr>
      </w:pPr>
    </w:p>
    <w:p>
      <w:pPr>
        <w:ind w:left="812" w:right="60" w:firstLine="809"/>
        <w:spacing w:after="0" w:line="262" w:lineRule="auto"/>
        <w:tabs>
          <w:tab w:leader="none" w:pos="19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shall store and handle all Manufactured Product in accordance with applicable storage and handling Specifications, including all times when * and Client agree that * shall store Manufactured Product per Section 5.9.2(c)(iii), but shall have no obligation regarding risk of loss and damage of Manufactured Product in its possession unless such loss or damage resulted from *’s negligence or willful misconduct.</w:t>
      </w:r>
    </w:p>
    <w:p>
      <w:pPr>
        <w:spacing w:after="0" w:line="211" w:lineRule="exact"/>
        <w:rPr>
          <w:sz w:val="20"/>
          <w:szCs w:val="20"/>
          <w:color w:val="auto"/>
        </w:rPr>
      </w:pPr>
    </w:p>
    <w:p>
      <w:pPr>
        <w:jc w:val="both"/>
        <w:ind w:left="492" w:right="240" w:hanging="485"/>
        <w:spacing w:after="0" w:line="264" w:lineRule="auto"/>
        <w:tabs>
          <w:tab w:leader="none" w:pos="472" w:val="left"/>
        </w:tabs>
        <w:rPr>
          <w:sz w:val="20"/>
          <w:szCs w:val="20"/>
          <w:color w:val="auto"/>
        </w:rPr>
      </w:pPr>
      <w:r>
        <w:rPr>
          <w:rFonts w:ascii="Times New Roman" w:cs="Times New Roman" w:eastAsia="Times New Roman" w:hAnsi="Times New Roman"/>
          <w:sz w:val="18"/>
          <w:szCs w:val="18"/>
          <w:u w:val="single" w:color="auto"/>
          <w:color w:val="auto"/>
        </w:rPr>
        <w:t>5.10</w:t>
      </w:r>
      <w:r>
        <w:rPr>
          <w:sz w:val="20"/>
          <w:szCs w:val="20"/>
          <w:color w:val="auto"/>
        </w:rPr>
        <w:tab/>
      </w:r>
      <w:r>
        <w:rPr>
          <w:rFonts w:ascii="Times New Roman" w:cs="Times New Roman" w:eastAsia="Times New Roman" w:hAnsi="Times New Roman"/>
          <w:sz w:val="18"/>
          <w:szCs w:val="18"/>
          <w:b w:val="1"/>
          <w:bCs w:val="1"/>
          <w:u w:val="single" w:color="auto"/>
          <w:color w:val="auto"/>
        </w:rPr>
        <w:t>Supply Interruptions</w:t>
      </w:r>
      <w:r>
        <w:rPr>
          <w:rFonts w:ascii="Times New Roman" w:cs="Times New Roman" w:eastAsia="Times New Roman" w:hAnsi="Times New Roman"/>
          <w:sz w:val="18"/>
          <w:szCs w:val="18"/>
          <w:color w:val="auto"/>
        </w:rPr>
        <w:t>. On a PSA by PSA basis, the Parties will discuss appropriate steps to alleviate any expected or actual shortfall in Manufactured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Product. The Parties may agree on a PSA by PSA basis, in what events, if any, such a supply failure could constitute a material breach of this MSA or a PSA.</w:t>
      </w:r>
    </w:p>
    <w:p>
      <w:pPr>
        <w:spacing w:after="0" w:line="124" w:lineRule="exact"/>
        <w:rPr>
          <w:sz w:val="20"/>
          <w:szCs w:val="20"/>
          <w:color w:val="auto"/>
        </w:rPr>
      </w:pPr>
    </w:p>
    <w:p>
      <w:pPr>
        <w:ind w:left="112" w:hanging="112"/>
        <w:spacing w:after="0"/>
        <w:tabs>
          <w:tab w:leader="none" w:pos="112" w:val="left"/>
        </w:tabs>
        <w:numPr>
          <w:ilvl w:val="0"/>
          <w:numId w:val="9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557" w:right="2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u w:val="single" w:color="auto"/>
          <w:color w:val="auto"/>
        </w:rPr>
        <w:t>SECTION 6 CHANGES TO THE SPECIFICATIONS, ANALYTICAL METHODS, MANUFACTURING PROCESS, FACILITY OR EQUIPMENT</w:t>
      </w:r>
    </w:p>
    <w:p>
      <w:pPr>
        <w:spacing w:after="0" w:line="275" w:lineRule="exact"/>
        <w:rPr>
          <w:sz w:val="20"/>
          <w:szCs w:val="20"/>
          <w:color w:val="auto"/>
        </w:rPr>
      </w:pPr>
    </w:p>
    <w:p>
      <w:pPr>
        <w:ind w:left="340" w:hanging="323"/>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Approval for Change.</w:t>
      </w:r>
      <w:r>
        <w:rPr>
          <w:rFonts w:ascii="Times New Roman" w:cs="Times New Roman" w:eastAsia="Times New Roman" w:hAnsi="Times New Roman"/>
          <w:sz w:val="18"/>
          <w:szCs w:val="18"/>
          <w:color w:val="auto"/>
        </w:rPr>
        <w:t xml:space="preserve"> </w:t>
      </w:r>
      <w:hyperlink w:anchor="page135">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shall not make any change to the Manufacturing Process, the Services, or the Specifications (a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without the prior written consent of Client in accordance with the applicable QAG.</w:t>
      </w:r>
    </w:p>
    <w:p>
      <w:pPr>
        <w:spacing w:after="0" w:line="170" w:lineRule="exact"/>
        <w:rPr>
          <w:sz w:val="20"/>
          <w:szCs w:val="20"/>
          <w:color w:val="auto"/>
        </w:rPr>
      </w:pPr>
    </w:p>
    <w:p>
      <w:pPr>
        <w:jc w:val="both"/>
        <w:ind w:left="340" w:right="300" w:hanging="323"/>
        <w:spacing w:after="0" w:line="264" w:lineRule="auto"/>
        <w:rPr>
          <w:sz w:val="20"/>
          <w:szCs w:val="20"/>
          <w:color w:val="auto"/>
        </w:rPr>
      </w:pP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Changes Required by cGMP, Regulatory Authorities or Requested by Client.</w:t>
      </w:r>
      <w:r>
        <w:rPr>
          <w:rFonts w:ascii="Times New Roman" w:cs="Times New Roman" w:eastAsia="Times New Roman" w:hAnsi="Times New Roman"/>
          <w:sz w:val="18"/>
          <w:szCs w:val="18"/>
          <w:color w:val="auto"/>
        </w:rPr>
        <w:t xml:space="preserve"> Except as otherwise expressly set forth to the contrary in the applicable QAG, in the event that cGMP, a Regulatory Authority, Applicable Law, or any other regulatory or legal authority requires, or Client requests, a Change, * shall accommodate such requirements or requests, subject to the following:</w:t>
      </w:r>
    </w:p>
    <w:p>
      <w:pPr>
        <w:spacing w:after="0" w:line="183" w:lineRule="exact"/>
        <w:rPr>
          <w:sz w:val="20"/>
          <w:szCs w:val="20"/>
          <w:color w:val="auto"/>
        </w:rPr>
      </w:pPr>
    </w:p>
    <w:p>
      <w:pPr>
        <w:ind w:left="660" w:right="40" w:firstLine="645"/>
        <w:spacing w:after="0" w:line="294" w:lineRule="auto"/>
        <w:tabs>
          <w:tab w:leader="none" w:pos="1547"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Client shall promptly notify * in writing of the required and/or requested Change(s), and provide information necessary for * to evaluate the effect of such Change(s); provided, however, in the event * first learns of a required Change it shall notify Client thereof in writing, and * shall promptly advise Client as to any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additional equipment required, modifications to the Facility or equipment, and/or additional equipment and the Facility qualification and validation requirements; (ii) Manufacturing Process development, transfer, scale-up, testing, qualification, or validation requirements;</w:t>
      </w:r>
    </w:p>
    <w:p>
      <w:pPr>
        <w:spacing w:after="0" w:line="2" w:lineRule="exact"/>
        <w:rPr>
          <w:rFonts w:ascii="Times New Roman" w:cs="Times New Roman" w:eastAsia="Times New Roman" w:hAnsi="Times New Roman"/>
          <w:sz w:val="16"/>
          <w:szCs w:val="16"/>
          <w:color w:val="auto"/>
        </w:rPr>
      </w:pPr>
    </w:p>
    <w:p>
      <w:pPr>
        <w:ind w:left="660" w:right="80" w:hanging="4"/>
        <w:spacing w:after="0" w:line="254" w:lineRule="auto"/>
        <w:tabs>
          <w:tab w:leader="none" w:pos="96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pursuant to such Changes; (iv) changes to the Manufacturing scheduling and/or Product delivery schedule; and (v) other impacts on the Facility or *’s ability to manufacture products (including the Products) in the Facility, if any, which may result from such Change(s). The notification and formal approval procedure of such Changes shall be in accordance with the applicable QAG (i.e., change control procedures) (if applicable). The Parties shall meet in a timely manner to identify and discuss such Changes as appropriate;</w:t>
      </w:r>
    </w:p>
    <w:p>
      <w:pPr>
        <w:spacing w:after="0" w:line="218" w:lineRule="exact"/>
        <w:rPr>
          <w:rFonts w:ascii="Times New Roman" w:cs="Times New Roman" w:eastAsia="Times New Roman" w:hAnsi="Times New Roman"/>
          <w:sz w:val="18"/>
          <w:szCs w:val="18"/>
          <w:color w:val="auto"/>
        </w:rPr>
      </w:pPr>
    </w:p>
    <w:p>
      <w:pPr>
        <w:ind w:left="500" w:right="20" w:firstLine="805"/>
        <w:spacing w:after="0" w:line="265" w:lineRule="auto"/>
        <w:tabs>
          <w:tab w:leader="none" w:pos="1559"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implementation of any such Change(s), *, subject to Section 5.2, shall provide Client with an estimated plan and budget of the reasonable and necessary costs that would be incurred by * as a result of the implementation of any such Change(s), including, but not limited to for (i) process and analytical development; (ii) equipment and/or the Facility modifications, qualification, validation, maintenance, and decommissioning/disposal; (iii) process and analytical validation; (iv) document revisions or changes, the Facility, equipment, and system modifications or changes; (v) additional stability testing; and (vi) preparing submissions to Regulatory Authorities (collectively, the “</w:t>
      </w:r>
      <w:r>
        <w:rPr>
          <w:rFonts w:ascii="Times New Roman" w:cs="Times New Roman" w:eastAsia="Times New Roman" w:hAnsi="Times New Roman"/>
          <w:sz w:val="18"/>
          <w:szCs w:val="18"/>
          <w:b w:val="1"/>
          <w:bCs w:val="1"/>
          <w:color w:val="auto"/>
        </w:rPr>
        <w:t>Implementation Plan and Budget</w:t>
      </w:r>
      <w:r>
        <w:rPr>
          <w:rFonts w:ascii="Times New Roman" w:cs="Times New Roman" w:eastAsia="Times New Roman" w:hAnsi="Times New Roman"/>
          <w:sz w:val="18"/>
          <w:szCs w:val="18"/>
          <w:color w:val="auto"/>
        </w:rPr>
        <w:t>”). Following review and approval by Client of such Implementation Plan and Budget, subject to the Core Team’s approval and agreement followed by the Parties’ written agreement pursuant to Section 17.9 (if applicable), * shall commence implementation of such Change(s);</w:t>
      </w:r>
    </w:p>
    <w:p>
      <w:pPr>
        <w:spacing w:after="0" w:line="182" w:lineRule="exact"/>
        <w:rPr>
          <w:rFonts w:ascii="Times New Roman" w:cs="Times New Roman" w:eastAsia="Times New Roman" w:hAnsi="Times New Roman"/>
          <w:sz w:val="18"/>
          <w:szCs w:val="18"/>
          <w:color w:val="auto"/>
        </w:rPr>
      </w:pPr>
    </w:p>
    <w:p>
      <w:pPr>
        <w:ind w:left="660" w:right="180" w:firstLine="645"/>
        <w:spacing w:after="0" w:line="250" w:lineRule="auto"/>
        <w:tabs>
          <w:tab w:leader="none" w:pos="1547" w:val="left"/>
        </w:tabs>
        <w:numPr>
          <w:ilvl w:val="2"/>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any such implementation, * shall provide Client with regular updates on the progress of implementation. Subject to any timeframe imposed by Applicable Law, * shall exercise Commercially Reasonable Efforts to implement the Change according to the Implementation Plan and Budget’s target completion date. * shall provide written notice to Client if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becomes aware of any cause which may create delay with the implementation of Changes. Following any such notice, both Parties shall discuss an amendment of Implementation Plan and Budget; and</w:t>
      </w:r>
    </w:p>
    <w:p>
      <w:pPr>
        <w:spacing w:after="0" w:line="11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Confidential material redacted and filed separately with the Commission.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35" w:name="page136"/>
    <w:bookmarkEnd w:id="135"/>
    <w:p>
      <w:pPr>
        <w:ind w:left="660" w:right="360" w:firstLine="645"/>
        <w:spacing w:after="0" w:line="339" w:lineRule="auto"/>
        <w:tabs>
          <w:tab w:leader="none" w:pos="155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approval of the Implementation Plan and Budget for Change(s), both Parties shall negotiate in good faith to determine the allocation of the costs incurred by * for the implementation of any such Change(s) between the Parties, in accordance with the following principles:</w:t>
      </w:r>
    </w:p>
    <w:p>
      <w:pPr>
        <w:spacing w:after="0" w:line="128" w:lineRule="exact"/>
        <w:rPr>
          <w:rFonts w:ascii="Times New Roman" w:cs="Times New Roman" w:eastAsia="Times New Roman" w:hAnsi="Times New Roman"/>
          <w:sz w:val="16"/>
          <w:szCs w:val="16"/>
          <w:color w:val="auto"/>
        </w:rPr>
      </w:pPr>
    </w:p>
    <w:p>
      <w:pPr>
        <w:ind w:left="980" w:right="180" w:firstLine="811"/>
        <w:spacing w:after="0" w:line="262" w:lineRule="auto"/>
        <w:tabs>
          <w:tab w:leader="none" w:pos="20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the general Facility Changes required by cGMP, any Regulatory Authority, or any Applicable Laws related to the maintaining the Manufacturing Facility by * as set forth in Section 7.2, shall be borne by *, provided that where the Change relates exclusively or partially to the Manufacture of Product in which case the costs shall be borne by Client fully or proportionally, respectively;</w:t>
      </w:r>
    </w:p>
    <w:p>
      <w:pPr>
        <w:spacing w:after="0" w:line="186" w:lineRule="exact"/>
        <w:rPr>
          <w:rFonts w:ascii="Times New Roman" w:cs="Times New Roman" w:eastAsia="Times New Roman" w:hAnsi="Times New Roman"/>
          <w:sz w:val="18"/>
          <w:szCs w:val="18"/>
          <w:color w:val="auto"/>
        </w:rPr>
      </w:pPr>
    </w:p>
    <w:p>
      <w:pPr>
        <w:ind w:left="980" w:right="120" w:firstLine="811"/>
        <w:spacing w:after="0" w:line="275" w:lineRule="auto"/>
        <w:tabs>
          <w:tab w:leader="none" w:pos="204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the Changes other than (i) above, and requested by Client and required uniquely to the Manufacture of the Product and beneficial solely to Client shall be borne by Client; and</w:t>
      </w:r>
    </w:p>
    <w:p>
      <w:pPr>
        <w:spacing w:after="0" w:line="173" w:lineRule="exact"/>
        <w:rPr>
          <w:rFonts w:ascii="Times New Roman" w:cs="Times New Roman" w:eastAsia="Times New Roman" w:hAnsi="Times New Roman"/>
          <w:sz w:val="18"/>
          <w:szCs w:val="18"/>
          <w:color w:val="auto"/>
        </w:rPr>
      </w:pPr>
    </w:p>
    <w:p>
      <w:pPr>
        <w:ind w:left="2100" w:hanging="309"/>
        <w:spacing w:after="0"/>
        <w:tabs>
          <w:tab w:leader="none" w:pos="210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for the Changes other than (i) and (ii) above shall be discussed in good faith by the Parties to achieve equitable allocation</w:t>
      </w:r>
    </w:p>
    <w:p>
      <w:pPr>
        <w:spacing w:after="0" w:line="44"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of costs.</w:t>
      </w:r>
    </w:p>
    <w:p>
      <w:pPr>
        <w:spacing w:after="0" w:line="21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SECTION 7</w:t>
      </w:r>
      <w:r>
        <w:rPr>
          <w:sz w:val="20"/>
          <w:szCs w:val="20"/>
          <w:color w:val="auto"/>
        </w:rPr>
        <w:tab/>
      </w:r>
      <w:r>
        <w:rPr>
          <w:rFonts w:ascii="Times New Roman" w:cs="Times New Roman" w:eastAsia="Times New Roman" w:hAnsi="Times New Roman"/>
          <w:sz w:val="16"/>
          <w:szCs w:val="16"/>
          <w:b w:val="1"/>
          <w:bCs w:val="1"/>
          <w:u w:val="single" w:color="auto"/>
          <w:color w:val="auto"/>
        </w:rPr>
        <w:t>REGULATORY APPROVALS AND INSPECTIONS</w:t>
      </w:r>
      <w:r>
        <w:rPr>
          <w:rFonts w:ascii="Times New Roman" w:cs="Times New Roman" w:eastAsia="Times New Roman" w:hAnsi="Times New Roman"/>
          <w:sz w:val="16"/>
          <w:szCs w:val="16"/>
          <w:b w:val="1"/>
          <w:bCs w:val="1"/>
          <w:color w:val="auto"/>
        </w:rPr>
        <w:t>.</w:t>
      </w:r>
    </w:p>
    <w:p>
      <w:pPr>
        <w:spacing w:after="0" w:line="225" w:lineRule="exact"/>
        <w:rPr>
          <w:sz w:val="20"/>
          <w:szCs w:val="20"/>
          <w:color w:val="auto"/>
        </w:rPr>
      </w:pPr>
    </w:p>
    <w:p>
      <w:pPr>
        <w:ind w:left="340" w:hanging="323"/>
        <w:spacing w:after="0" w:line="312" w:lineRule="auto"/>
        <w:rPr>
          <w:sz w:val="20"/>
          <w:szCs w:val="20"/>
          <w:color w:val="auto"/>
        </w:rPr>
      </w:pPr>
      <w:r>
        <w:rPr>
          <w:rFonts w:ascii="Times New Roman" w:cs="Times New Roman" w:eastAsia="Times New Roman" w:hAnsi="Times New Roman"/>
          <w:sz w:val="16"/>
          <w:szCs w:val="16"/>
          <w:u w:val="single" w:color="auto"/>
          <w:color w:val="auto"/>
        </w:rPr>
        <w:t>7.1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Regulatory Approvals.</w:t>
      </w:r>
      <w:r>
        <w:rPr>
          <w:rFonts w:ascii="Times New Roman" w:cs="Times New Roman" w:eastAsia="Times New Roman" w:hAnsi="Times New Roman"/>
          <w:sz w:val="16"/>
          <w:szCs w:val="16"/>
          <w:color w:val="auto"/>
        </w:rPr>
        <w:t xml:space="preserve"> * shall provide reasonable assistance and cooperation in order for Client to obtain and maintain the Regulatory Approvals. The direct costs and fees associated with such assistance and cooperation, to the extent not detailed in the MSA or PSA shall be borne by Client, or as otherwise mutually agreed between the Parties. As specified in the applicable PSA, the Parties shall agree on which Regulatory Approvals are to be obtained.</w:t>
      </w:r>
    </w:p>
    <w:p>
      <w:pPr>
        <w:spacing w:after="0" w:line="147" w:lineRule="exact"/>
        <w:rPr>
          <w:sz w:val="20"/>
          <w:szCs w:val="20"/>
          <w:color w:val="auto"/>
        </w:rPr>
      </w:pPr>
    </w:p>
    <w:p>
      <w:pPr>
        <w:jc w:val="both"/>
        <w:ind w:left="340" w:right="140" w:hanging="323"/>
        <w:spacing w:after="0" w:line="312" w:lineRule="auto"/>
        <w:rPr>
          <w:sz w:val="20"/>
          <w:szCs w:val="20"/>
          <w:color w:val="auto"/>
        </w:rPr>
      </w:pPr>
      <w:r>
        <w:rPr>
          <w:rFonts w:ascii="Times New Roman" w:cs="Times New Roman" w:eastAsia="Times New Roman" w:hAnsi="Times New Roman"/>
          <w:sz w:val="16"/>
          <w:szCs w:val="16"/>
          <w:u w:val="single" w:color="auto"/>
          <w:color w:val="auto"/>
        </w:rPr>
        <w:t>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Regulatory Approvals for the Facility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shall obtain and continuously maintain all approvals, licenses, registrations or authorizations of any federal, state or local regulatory agency, department, bureau or other governmental entity (other than the Regulatory Approvals, which will be obtained or maintained by Client) that are required to Manufacture and ship the Product at the Facility and perform the Services including, but not limited to, cGMP Manufacture.</w:t>
      </w:r>
    </w:p>
    <w:p>
      <w:pPr>
        <w:spacing w:after="0" w:line="174" w:lineRule="exact"/>
        <w:rPr>
          <w:sz w:val="20"/>
          <w:szCs w:val="20"/>
          <w:color w:val="auto"/>
        </w:rPr>
      </w:pPr>
    </w:p>
    <w:p>
      <w:pPr>
        <w:ind w:left="340" w:hanging="323"/>
        <w:spacing w:after="0" w:line="247" w:lineRule="auto"/>
        <w:rPr>
          <w:sz w:val="20"/>
          <w:szCs w:val="20"/>
          <w:color w:val="auto"/>
        </w:rPr>
      </w:pP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Regulatory Inspections.</w:t>
      </w:r>
      <w:r>
        <w:rPr>
          <w:rFonts w:ascii="Times New Roman" w:cs="Times New Roman" w:eastAsia="Times New Roman" w:hAnsi="Times New Roman"/>
          <w:sz w:val="18"/>
          <w:szCs w:val="18"/>
          <w:color w:val="auto"/>
        </w:rPr>
        <w:t xml:space="preserve"> * shall facilitate on-site inspections of the Facility conducted by Regulatory Authorities. * shall notify Client according to the applicable QAG provisions of any contacts or inquiries by the Regulatory Authorities, including inspections, Pre-Approval Inspections, sample requests, and written correspondence and its result, related to the Manufacture of Product by * at the Facility, as further defined in the applicable QAG. Any direct expenses or costs incurred by * for such inspections including Pre-Approval Inspections at the Facility shall be borne by Client. Unless prohibited by the pertinent Regulatory Authority, Client shall be entitled to witness any inspection or audit by a Regulatory Authority of the Facility or Warehouse related to the Manufacture of Product by * at the Facility. Further, Client shall be entitled to attend, as an observer, any wrap-up meeting between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 Regulatory Authority related to such an inspection related to the Services or the Manufacture of Product by * at the Facility. * shall timely provide Client with a copy of any Form 483, inspection report or regulatory letter issued by a Regulatory Authority, and shall provide Client a meaningful opportunity to review and comment upon any response of * thereto. Client’s comments in such regard shall be considered in good faith and be given due regard by * in formulating any proposed response to a Regulatory Authority.</w:t>
      </w:r>
    </w:p>
    <w:p>
      <w:pPr>
        <w:spacing w:after="0" w:line="173" w:lineRule="exact"/>
        <w:rPr>
          <w:sz w:val="20"/>
          <w:szCs w:val="20"/>
          <w:color w:val="auto"/>
        </w:rPr>
      </w:pPr>
    </w:p>
    <w:p>
      <w:pPr>
        <w:ind w:left="120" w:hanging="112"/>
        <w:spacing w:after="0"/>
        <w:tabs>
          <w:tab w:leader="none" w:pos="120" w:val="left"/>
        </w:tabs>
        <w:numPr>
          <w:ilvl w:val="0"/>
          <w:numId w:val="9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6" w:name="page137"/>
    <w:bookmarkEnd w:id="136"/>
    <w:p>
      <w:pPr>
        <w:ind w:left="340" w:right="40" w:hanging="269"/>
        <w:spacing w:after="0" w:line="255" w:lineRule="auto"/>
        <w:rPr>
          <w:sz w:val="20"/>
          <w:szCs w:val="20"/>
          <w:color w:val="auto"/>
        </w:rPr>
      </w:pP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Regulatory 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the Term, * will assist Client with all regulatory matters relating to Services and Manufacture and review the Common Technical Document pertaining to the Products, as it relates to Chemistry, Manufacturing and Controls, and make such corrections as are necessary to accurately reflect the Products, in each case at Client’s request and reasonable expense; provided, however, * shall review and correct such documents as they relate to * activities at no charge to Client (updates will be made with respect to regulatory filings for which Client has engaged * and paid the associated flat rate fees for support). In addition, * will maintain at *’s expense, the relevant Drug Master File, including any updates thereto, and shall provide a letter authorizing Client to reference *’s Drug Master Files on file with the FDA and other Regulatory Authorities in connection with the pursuit of Regulatory Approval for the Products.</w:t>
      </w:r>
    </w:p>
    <w:p>
      <w:pPr>
        <w:spacing w:after="0" w:line="216"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b w:val="1"/>
          <w:bCs w:val="1"/>
          <w:u w:val="single" w:color="auto"/>
          <w:color w:val="auto"/>
        </w:rPr>
        <w:t>SECTION 8</w:t>
      </w:r>
      <w:r>
        <w:rPr>
          <w:sz w:val="20"/>
          <w:szCs w:val="20"/>
          <w:color w:val="auto"/>
        </w:rPr>
        <w:tab/>
      </w:r>
      <w:r>
        <w:rPr>
          <w:rFonts w:ascii="Times New Roman" w:cs="Times New Roman" w:eastAsia="Times New Roman" w:hAnsi="Times New Roman"/>
          <w:sz w:val="16"/>
          <w:szCs w:val="16"/>
          <w:b w:val="1"/>
          <w:bCs w:val="1"/>
          <w:u w:val="single" w:color="auto"/>
          <w:color w:val="auto"/>
        </w:rPr>
        <w:t>QUALITY COMPLIANCE</w:t>
      </w:r>
    </w:p>
    <w:p>
      <w:pPr>
        <w:spacing w:after="0" w:line="252" w:lineRule="exact"/>
        <w:rPr>
          <w:sz w:val="20"/>
          <w:szCs w:val="20"/>
          <w:color w:val="auto"/>
        </w:rPr>
      </w:pPr>
    </w:p>
    <w:p>
      <w:pPr>
        <w:ind w:left="340" w:right="200" w:hanging="323"/>
        <w:spacing w:after="0" w:line="259" w:lineRule="auto"/>
        <w:rPr>
          <w:sz w:val="20"/>
          <w:szCs w:val="20"/>
          <w:color w:val="auto"/>
        </w:rPr>
      </w:pP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Quality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Both Parties shall adhere to the provisions of the applicable QAG and the Parties agree that all elements of quality assurance, quality control and the like shall be governed by the terms and conditions of the applicable QAG. In the event of a conflict between the MSA and the applicable QAG, the MSA shall prevail over those of the applicable QAG with the exception of Product quality-related matters, cGMP and related regulatory requirements in which case, the terms of the applicable QAG shall prevail.</w:t>
      </w:r>
    </w:p>
    <w:p>
      <w:pPr>
        <w:spacing w:after="0" w:line="214" w:lineRule="exact"/>
        <w:rPr>
          <w:sz w:val="20"/>
          <w:szCs w:val="20"/>
          <w:color w:val="auto"/>
        </w:rPr>
      </w:pPr>
    </w:p>
    <w:p>
      <w:pPr>
        <w:ind w:left="340" w:hanging="323"/>
        <w:spacing w:after="0" w:line="255" w:lineRule="auto"/>
        <w:rPr>
          <w:sz w:val="20"/>
          <w:szCs w:val="20"/>
          <w:color w:val="auto"/>
        </w:rPr>
      </w:pP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Responsibility for Recalled Product</w:t>
      </w:r>
      <w:r>
        <w:rPr>
          <w:rFonts w:ascii="Times New Roman" w:cs="Times New Roman" w:eastAsia="Times New Roman" w:hAnsi="Times New Roman"/>
          <w:sz w:val="18"/>
          <w:szCs w:val="18"/>
          <w:color w:val="auto"/>
        </w:rPr>
        <w:t>. For a Commercial Product, either Party shall notify the other Party as soon as practicably possible if any Commercial Product is the subject of a threatened or actual recall by a Regulatory Authority, (a “</w:t>
      </w:r>
      <w:r>
        <w:rPr>
          <w:rFonts w:ascii="Times New Roman" w:cs="Times New Roman" w:eastAsia="Times New Roman" w:hAnsi="Times New Roman"/>
          <w:sz w:val="18"/>
          <w:szCs w:val="18"/>
          <w:b w:val="1"/>
          <w:bCs w:val="1"/>
          <w:color w:val="auto"/>
        </w:rPr>
        <w:t>Recall</w:t>
      </w:r>
      <w:r>
        <w:rPr>
          <w:rFonts w:ascii="Times New Roman" w:cs="Times New Roman" w:eastAsia="Times New Roman" w:hAnsi="Times New Roman"/>
          <w:sz w:val="18"/>
          <w:szCs w:val="18"/>
          <w:color w:val="auto"/>
        </w:rPr>
        <w:t>”) which may be attributable to any Service or Manufacture by or on behalf of * hereunder. Client shall be responsible for conducting all Recalls and shall make all decisions regarding, and in all events shall have sole authority for, conducting any recalls, market withdrawals or corrections with respect to the Product and * shall at all times exercise Commercially Reasonable Efforts to provide its assistance and cooperation to Client in conducting such Recalls to the extent the Recall arises out of *’s Manufacture of Product. Details regarding the roles and responsibilities of the Parties in regard to Recalls are set forth in the applicable QAG. If such Recall results solely from * Assignable Error, * shall be responsible for direct and documented out-of-pocket costs associated with such Recall subject to the limitation of liability sections of the PSA applicable to such Recalled Product and, subject to written instructions of Client to the contrary, will use its Commercially Reasonable Efforts to replace the Recalled Products with new Products, contingent upon the receipt from Client free-of-charge of all Client Materials required for the Manufacture of the replacement Product. If * is unable to replace the Recalled or returned Products (except where this inability results from a failure to receive the Client Materials), then * shall credit to Client the price that Client paid to * for Manufacturing and Services for the affected Products. In all other circumstances, Recalls will be made at Client’s cost and expense. The provisions of this Section 8.2 shall not apply to any Clinical Product and shall be Client’s sole and exclusive remedy with respect to a Recall due to the delivery of Non-Conforming Product.</w:t>
      </w:r>
    </w:p>
    <w:p>
      <w:pPr>
        <w:spacing w:after="0" w:line="136" w:lineRule="exact"/>
        <w:rPr>
          <w:sz w:val="20"/>
          <w:szCs w:val="20"/>
          <w:color w:val="auto"/>
        </w:rPr>
      </w:pPr>
    </w:p>
    <w:p>
      <w:pPr>
        <w:ind w:left="120" w:hanging="112"/>
        <w:spacing w:after="0"/>
        <w:tabs>
          <w:tab w:leader="none" w:pos="120" w:val="left"/>
        </w:tabs>
        <w:numPr>
          <w:ilvl w:val="0"/>
          <w:numId w:val="9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37" w:name="page138"/>
    <w:bookmarkEnd w:id="137"/>
    <w:p>
      <w:pPr>
        <w:ind w:left="50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this Section, Recall expenses shall not include the value of the Product that is the subject of such Recall or any loss of reputation or good will, or lost profits or any other costs or expenses not associated with the Product that is the subject of the Recall. If </w:t>
      </w:r>
      <w:hyperlink w:anchor="page138">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Client cannot agree which Party is at fault or whether a Recall was reasonably beyond the control of the Parties, then an independent third party technical expert of international repute, acceptable to both Parties, shall be designated to make such determination. The designated technical expert shall not be an employee, consultant, officer, director or shareholder of, or otherwise associated with, or have been retained during the prior five (5) years by, or be retained during the ensuing five (5) years, by *, Client or their respective Affiliates. The technical expert’s determination will be, in the absence of fraud or manifest error, binding and conclusive upon the Parties. The cost of designating such technical expert shall be borne by the Party determined at fault, and if neither Party is determined to be at fault, then the cost of such technical expert shall be borne by both Parties in equal proportion.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8.3 Records &amp; Audit.</w:t>
      </w:r>
    </w:p>
    <w:p>
      <w:pPr>
        <w:spacing w:after="0" w:line="252"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6"/>
          <w:szCs w:val="16"/>
          <w:u w:val="single" w:color="auto"/>
          <w:color w:val="auto"/>
        </w:rPr>
        <w:t>8.3.1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Audit by Client.</w:t>
      </w:r>
      <w:r>
        <w:rPr>
          <w:rFonts w:ascii="Times New Roman" w:cs="Times New Roman" w:eastAsia="Times New Roman" w:hAnsi="Times New Roman"/>
          <w:sz w:val="16"/>
          <w:szCs w:val="16"/>
          <w:color w:val="auto"/>
        </w:rPr>
        <w:t xml:space="preserve"> Upon Client’s request, but no more than once per year, * shall accept an audit of the Facility and, if necessary in the judgment of Client, the Warehouse, by Client and allow Client to inspect and audit the Facility and, if necessary in the judgment of Client, the Warehouse, and Manufacture of the Product solely to ascertain compliance by * with the terms of this MSA or any applicable PSA; provided, however that in the event Client uses a designee, * must provide prior written consent, which shall not be unreasonably withheld, conditioned or delayed. * shall be reimbursed for its reasonable costs for audits beyond the audit described in the first sentence of this Section 8.3.1, except for audits conducted to measure corrective action or remediation following a finding of deficiency either by Client in a previous audit or by a Regulatory Authority or as is contemplated by Section</w:t>
      </w:r>
    </w:p>
    <w:p>
      <w:pPr>
        <w:spacing w:after="0" w:line="5" w:lineRule="exact"/>
        <w:rPr>
          <w:sz w:val="20"/>
          <w:szCs w:val="20"/>
          <w:color w:val="auto"/>
        </w:rPr>
      </w:pPr>
    </w:p>
    <w:p>
      <w:pPr>
        <w:ind w:left="500" w:right="80"/>
        <w:spacing w:after="0" w:line="255" w:lineRule="auto"/>
        <w:rPr>
          <w:sz w:val="20"/>
          <w:szCs w:val="20"/>
          <w:color w:val="auto"/>
        </w:rPr>
      </w:pPr>
      <w:r>
        <w:rPr>
          <w:rFonts w:ascii="Times New Roman" w:cs="Times New Roman" w:eastAsia="Times New Roman" w:hAnsi="Times New Roman"/>
          <w:sz w:val="18"/>
          <w:szCs w:val="18"/>
          <w:color w:val="auto"/>
        </w:rPr>
        <w:t>8.3.2(ii). Client shall not be limited in the number of its audits conducted to measure corrective action or remediation, and such audits shall not count against the limit expressed in the first sentence of this Section 8.3.1. * will make Commercially Reasonable Efforts to require vendors or subcontractors to accept an audit or visit to their facilities by Client upon similar notice as described in Section 8.3.2 below.</w:t>
      </w:r>
    </w:p>
    <w:p>
      <w:pPr>
        <w:spacing w:after="0" w:line="217" w:lineRule="exact"/>
        <w:rPr>
          <w:sz w:val="20"/>
          <w:szCs w:val="20"/>
          <w:color w:val="auto"/>
        </w:rPr>
      </w:pPr>
    </w:p>
    <w:p>
      <w:pPr>
        <w:jc w:val="both"/>
        <w:ind w:left="500" w:right="10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8.3.2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Audit Notice.</w:t>
      </w:r>
      <w:r>
        <w:rPr>
          <w:rFonts w:ascii="Times New Roman" w:cs="Times New Roman" w:eastAsia="Times New Roman" w:hAnsi="Times New Roman"/>
          <w:sz w:val="16"/>
          <w:szCs w:val="16"/>
          <w:color w:val="auto"/>
        </w:rPr>
        <w:t xml:space="preserve"> Client shall provide * with a written notice at least three (3) months prior to the initiation of the audit of the Facility and, if necessary in the judgment of Client, the Warehouse, set forth in Section </w:t>
      </w:r>
      <w:hyperlink w:anchor="page138">
        <w:r>
          <w:rPr>
            <w:rFonts w:ascii="Times New Roman" w:cs="Times New Roman" w:eastAsia="Times New Roman" w:hAnsi="Times New Roman"/>
            <w:sz w:val="16"/>
            <w:szCs w:val="16"/>
            <w:u w:val="single" w:color="auto"/>
            <w:color w:val="0000EE"/>
          </w:rPr>
          <w:t>8.3.1,</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which shall be conducted on a mutually agreeable date and time, and with a mutually agreed duration, agenda, and number of attendees, which in the case of Client shall not be limited to less than three (3) without the consent of Client.</w:t>
      </w:r>
    </w:p>
    <w:p>
      <w:pPr>
        <w:ind w:left="500" w:right="40"/>
        <w:spacing w:after="0" w:line="244" w:lineRule="auto"/>
        <w:rPr>
          <w:sz w:val="20"/>
          <w:szCs w:val="20"/>
          <w:color w:val="auto"/>
        </w:rPr>
      </w:pPr>
      <w:r>
        <w:rPr>
          <w:rFonts w:ascii="Times New Roman" w:cs="Times New Roman" w:eastAsia="Times New Roman" w:hAnsi="Times New Roman"/>
          <w:sz w:val="18"/>
          <w:szCs w:val="18"/>
          <w:color w:val="auto"/>
        </w:rPr>
        <w:t xml:space="preserve">Notwithstanding the foregoing, if the audit is required for cause (i) due to safety reasons or other reasons that necessitates immediate audit of or visit to the Facility or (ii) due to the * Assignable Error, the foregoing sentence shall not apply and Client may conduct such audit or visit by providing * with a prior notice by email. Access to *’s facilities shall be coordinated with * so as to minimize disruption to *’s ability to perform services for its other clients. Client representatives must comply with all of *’s generally applicable cGMP, confidentiality and security procedures and protocols during such observations, consultations, and inspections.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shall at all times cooperate and provide all the necessary documents reasonably required by Client during such audit; provided that, to the extent necessary, * may redact or withhold documents to protect the confidential information of its other clients. Client shall be solely responsible for any costs and liability caused by Client’s or its representatives’ failure to comply with *’s security, safety or confidentiality procedures.</w:t>
      </w:r>
    </w:p>
    <w:p>
      <w:pPr>
        <w:spacing w:after="0" w:line="66" w:lineRule="exact"/>
        <w:rPr>
          <w:sz w:val="20"/>
          <w:szCs w:val="20"/>
          <w:color w:val="auto"/>
        </w:rPr>
      </w:pPr>
    </w:p>
    <w:p>
      <w:pPr>
        <w:ind w:left="120" w:hanging="112"/>
        <w:spacing w:after="0"/>
        <w:tabs>
          <w:tab w:leader="none" w:pos="120" w:val="left"/>
        </w:tabs>
        <w:numPr>
          <w:ilvl w:val="0"/>
          <w:numId w:val="9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138" w:name="page139"/>
    <w:bookmarkEnd w:id="138"/>
    <w:p>
      <w:pPr>
        <w:spacing w:after="0"/>
        <w:tabs>
          <w:tab w:leader="none" w:pos="1580" w:val="left"/>
        </w:tabs>
        <w:rPr>
          <w:sz w:val="20"/>
          <w:szCs w:val="20"/>
          <w:color w:val="auto"/>
        </w:rPr>
      </w:pPr>
      <w:r>
        <w:rPr>
          <w:rFonts w:ascii="Times New Roman" w:cs="Times New Roman" w:eastAsia="Times New Roman" w:hAnsi="Times New Roman"/>
          <w:sz w:val="18"/>
          <w:szCs w:val="18"/>
          <w:b w:val="1"/>
          <w:bCs w:val="1"/>
          <w:u w:val="single" w:color="auto"/>
          <w:color w:val="auto"/>
        </w:rPr>
        <w:t>SECTION 9</w:t>
      </w:r>
      <w:r>
        <w:rPr>
          <w:sz w:val="20"/>
          <w:szCs w:val="20"/>
          <w:color w:val="auto"/>
        </w:rPr>
        <w:tab/>
      </w:r>
      <w:r>
        <w:rPr>
          <w:rFonts w:ascii="Times New Roman" w:cs="Times New Roman" w:eastAsia="Times New Roman" w:hAnsi="Times New Roman"/>
          <w:sz w:val="16"/>
          <w:szCs w:val="16"/>
          <w:b w:val="1"/>
          <w:bCs w:val="1"/>
          <w:u w:val="single" w:color="auto"/>
          <w:color w:val="auto"/>
        </w:rPr>
        <w:t>CONSIDERATION AND PAYMENT TERMS</w:t>
      </w:r>
    </w:p>
    <w:p>
      <w:pPr>
        <w:spacing w:after="0" w:line="252" w:lineRule="exact"/>
        <w:rPr>
          <w:sz w:val="20"/>
          <w:szCs w:val="20"/>
          <w:color w:val="auto"/>
        </w:rPr>
      </w:pPr>
    </w:p>
    <w:p>
      <w:pPr>
        <w:ind w:left="500" w:right="40" w:hanging="485"/>
        <w:spacing w:after="0" w:line="297"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9.1</w:t>
      </w:r>
      <w:r>
        <w:rPr>
          <w:sz w:val="20"/>
          <w:szCs w:val="20"/>
          <w:color w:val="auto"/>
        </w:rPr>
        <w:tab/>
      </w:r>
      <w:r>
        <w:rPr>
          <w:rFonts w:ascii="Times New Roman" w:cs="Times New Roman" w:eastAsia="Times New Roman" w:hAnsi="Times New Roman"/>
          <w:sz w:val="16"/>
          <w:szCs w:val="16"/>
          <w:b w:val="1"/>
          <w:bCs w:val="1"/>
          <w:u w:val="single" w:color="auto"/>
          <w:color w:val="auto"/>
        </w:rPr>
        <w:t>Consideration</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In consideration for *’s performing the Service and other obligations undertaken by * pursuant to a PSA, Client shall pay * amounts as</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set forth in the applicable PSA (the “</w:t>
      </w:r>
      <w:r>
        <w:rPr>
          <w:rFonts w:ascii="Times New Roman" w:cs="Times New Roman" w:eastAsia="Times New Roman" w:hAnsi="Times New Roman"/>
          <w:sz w:val="16"/>
          <w:szCs w:val="16"/>
          <w:b w:val="1"/>
          <w:bCs w:val="1"/>
          <w:color w:val="auto"/>
        </w:rPr>
        <w:t>Service Fee</w:t>
      </w:r>
      <w:r>
        <w:rPr>
          <w:rFonts w:ascii="Times New Roman" w:cs="Times New Roman" w:eastAsia="Times New Roman" w:hAnsi="Times New Roman"/>
          <w:sz w:val="16"/>
          <w:szCs w:val="16"/>
          <w:color w:val="auto"/>
        </w:rPr>
        <w:t>”); (ii) a handling surcharge of a certain percentage or certain amount to be set forth in the applicable PSA of the costs of Raw Materials paid by * (including but not limited to taxes and customs duties/fees); (iii) a handling surcharge of a certain percentage or certain amount to be set forth in the applicable PSA related to the Client Materials (which shall be based on the actual costs of such materials as supported by reasonable documentary evidence as opposed to the market value thereof); and (iv) storage fees as set forth in the relevant PSA.</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u w:val="single" w:color="auto"/>
          <w:color w:val="auto"/>
        </w:rPr>
        <w:t>9.2</w:t>
      </w:r>
      <w:r>
        <w:rPr>
          <w:sz w:val="20"/>
          <w:szCs w:val="20"/>
          <w:color w:val="auto"/>
        </w:rPr>
        <w:tab/>
      </w:r>
      <w:r>
        <w:rPr>
          <w:rFonts w:ascii="Times New Roman" w:cs="Times New Roman" w:eastAsia="Times New Roman" w:hAnsi="Times New Roman"/>
          <w:sz w:val="16"/>
          <w:szCs w:val="16"/>
          <w:b w:val="1"/>
          <w:bCs w:val="1"/>
          <w:u w:val="single" w:color="auto"/>
          <w:color w:val="auto"/>
        </w:rPr>
        <w:t>Invoices</w:t>
      </w:r>
      <w:r>
        <w:rPr>
          <w:rFonts w:ascii="Times New Roman" w:cs="Times New Roman" w:eastAsia="Times New Roman" w:hAnsi="Times New Roman"/>
          <w:sz w:val="16"/>
          <w:szCs w:val="16"/>
          <w:b w:val="1"/>
          <w:bCs w:val="1"/>
          <w:color w:val="auto"/>
        </w:rPr>
        <w:t>.</w:t>
      </w:r>
    </w:p>
    <w:p>
      <w:pPr>
        <w:spacing w:after="0" w:line="225" w:lineRule="exact"/>
        <w:rPr>
          <w:sz w:val="20"/>
          <w:szCs w:val="20"/>
          <w:color w:val="auto"/>
        </w:rPr>
      </w:pPr>
    </w:p>
    <w:p>
      <w:pPr>
        <w:ind w:left="660" w:right="340"/>
        <w:spacing w:after="0" w:line="277" w:lineRule="auto"/>
        <w:rPr>
          <w:sz w:val="20"/>
          <w:szCs w:val="20"/>
          <w:color w:val="auto"/>
        </w:rPr>
      </w:pPr>
      <w:r>
        <w:rPr>
          <w:rFonts w:ascii="Times New Roman" w:cs="Times New Roman" w:eastAsia="Times New Roman" w:hAnsi="Times New Roman"/>
          <w:sz w:val="18"/>
          <w:szCs w:val="18"/>
          <w:u w:val="single" w:color="auto"/>
          <w:color w:val="auto"/>
        </w:rPr>
        <w:t>9.2.1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Service Fee of the Project Stages and Batches</w:t>
      </w:r>
      <w:r>
        <w:rPr>
          <w:rFonts w:ascii="Times New Roman" w:cs="Times New Roman" w:eastAsia="Times New Roman" w:hAnsi="Times New Roman"/>
          <w:sz w:val="18"/>
          <w:szCs w:val="18"/>
          <w:color w:val="auto"/>
        </w:rPr>
        <w:t>. According to the invoicing plan set forth in the applicable Project Plan or applicable PSA, or upon *’s release of a Batch of Product, as applicable, * shall invoice Client for the Service Fee set forth in the applicable PSA.</w:t>
      </w:r>
    </w:p>
    <w:p>
      <w:pPr>
        <w:spacing w:after="0" w:line="103" w:lineRule="exact"/>
        <w:rPr>
          <w:sz w:val="20"/>
          <w:szCs w:val="20"/>
          <w:color w:val="auto"/>
        </w:rPr>
      </w:pPr>
    </w:p>
    <w:p>
      <w:pPr>
        <w:ind w:left="660" w:right="80"/>
        <w:spacing w:after="0" w:line="264" w:lineRule="auto"/>
        <w:rPr>
          <w:sz w:val="20"/>
          <w:szCs w:val="20"/>
          <w:color w:val="auto"/>
        </w:rPr>
      </w:pPr>
      <w:r>
        <w:rPr>
          <w:rFonts w:ascii="Times New Roman" w:cs="Times New Roman" w:eastAsia="Times New Roman" w:hAnsi="Times New Roman"/>
          <w:sz w:val="18"/>
          <w:szCs w:val="18"/>
          <w:u w:val="single" w:color="auto"/>
          <w:color w:val="auto"/>
        </w:rPr>
        <w:t>9.2.2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Raw Materials.</w:t>
      </w:r>
      <w:r>
        <w:rPr>
          <w:rFonts w:ascii="Times New Roman" w:cs="Times New Roman" w:eastAsia="Times New Roman" w:hAnsi="Times New Roman"/>
          <w:sz w:val="18"/>
          <w:szCs w:val="18"/>
          <w:color w:val="auto"/>
        </w:rPr>
        <w:t xml:space="preserve"> With respect to the Raw Materials, * shall submit invoices to Client for the applicable Raw Materials cost (including any agreed upon safety stock) as set forth according to Section 9.1 as follows. * shall submit an invoice to Client (i) for the cost of Specialized Raw Materials procured upon receipt of the invoice from vendors/suppliers; and</w:t>
      </w:r>
    </w:p>
    <w:p>
      <w:pPr>
        <w:spacing w:after="0" w:line="183" w:lineRule="exact"/>
        <w:rPr>
          <w:sz w:val="20"/>
          <w:szCs w:val="20"/>
          <w:color w:val="auto"/>
        </w:rPr>
      </w:pPr>
    </w:p>
    <w:p>
      <w:pPr>
        <w:ind w:left="820" w:right="180" w:hanging="2"/>
        <w:spacing w:after="0" w:line="262" w:lineRule="auto"/>
        <w:tabs>
          <w:tab w:leader="none" w:pos="10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cost of Common Raw Materials used by *’s completion of such project stage or upon *’s release of a Batch of Product as applicable. Notwithstanding the foregoing, the Parties shall collaborate in the selection of the vendors of the Raw Materials. All such vendors shall be approved by Client before supplying * with Raw Materials for Product.</w:t>
      </w:r>
    </w:p>
    <w:p>
      <w:pPr>
        <w:spacing w:after="0" w:line="211" w:lineRule="exact"/>
        <w:rPr>
          <w:sz w:val="20"/>
          <w:szCs w:val="20"/>
          <w:color w:val="auto"/>
        </w:rPr>
      </w:pPr>
    </w:p>
    <w:p>
      <w:pPr>
        <w:ind w:left="500" w:right="20" w:hanging="485"/>
        <w:spacing w:after="0" w:line="264" w:lineRule="auto"/>
        <w:rPr>
          <w:sz w:val="20"/>
          <w:szCs w:val="20"/>
          <w:color w:val="auto"/>
        </w:rPr>
      </w:pPr>
      <w:r>
        <w:rPr>
          <w:rFonts w:ascii="Times New Roman" w:cs="Times New Roman" w:eastAsia="Times New Roman" w:hAnsi="Times New Roman"/>
          <w:sz w:val="18"/>
          <w:szCs w:val="18"/>
          <w:u w:val="single" w:color="auto"/>
          <w:color w:val="auto"/>
        </w:rPr>
        <w:t>9.2.3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Client Materials.</w:t>
      </w:r>
      <w:r>
        <w:rPr>
          <w:rFonts w:ascii="Times New Roman" w:cs="Times New Roman" w:eastAsia="Times New Roman" w:hAnsi="Times New Roman"/>
          <w:sz w:val="18"/>
          <w:szCs w:val="18"/>
          <w:color w:val="auto"/>
        </w:rPr>
        <w:t xml:space="preserve"> With respect to the Client Materials, which shall be supplied by Client to * at no cost during *’s performance the Service, * shall submit an invoice to Client in an amount as set forth in Section 9.1 upon *’s completion of such project stage of the Service *’s release of a Batch of Product, as applicable.</w:t>
      </w:r>
    </w:p>
    <w:p>
      <w:pPr>
        <w:spacing w:after="0" w:line="20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u w:val="single" w:color="auto"/>
          <w:color w:val="auto"/>
        </w:rPr>
        <w:t>9.3</w:t>
      </w:r>
      <w:r>
        <w:rPr>
          <w:sz w:val="20"/>
          <w:szCs w:val="20"/>
          <w:color w:val="auto"/>
        </w:rPr>
        <w:tab/>
      </w:r>
      <w:r>
        <w:rPr>
          <w:rFonts w:ascii="Times New Roman" w:cs="Times New Roman" w:eastAsia="Times New Roman" w:hAnsi="Times New Roman"/>
          <w:sz w:val="16"/>
          <w:szCs w:val="16"/>
          <w:b w:val="1"/>
          <w:bCs w:val="1"/>
          <w:u w:val="single" w:color="auto"/>
          <w:color w:val="auto"/>
        </w:rPr>
        <w:t>Payment</w:t>
      </w:r>
      <w:r>
        <w:rPr>
          <w:rFonts w:ascii="Times New Roman" w:cs="Times New Roman" w:eastAsia="Times New Roman" w:hAnsi="Times New Roman"/>
          <w:sz w:val="16"/>
          <w:szCs w:val="16"/>
          <w:u w:val="single" w:color="auto"/>
          <w:color w:val="auto"/>
        </w:rPr>
        <w:t>.</w:t>
      </w:r>
    </w:p>
    <w:p>
      <w:pPr>
        <w:spacing w:after="0" w:line="279" w:lineRule="exact"/>
        <w:rPr>
          <w:sz w:val="20"/>
          <w:szCs w:val="20"/>
          <w:color w:val="auto"/>
        </w:rPr>
      </w:pPr>
    </w:p>
    <w:p>
      <w:pPr>
        <w:ind w:left="500" w:hanging="485"/>
        <w:spacing w:after="0" w:line="305"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9.3.1</w:t>
      </w:r>
      <w:r>
        <w:rPr>
          <w:sz w:val="20"/>
          <w:szCs w:val="20"/>
          <w:color w:val="auto"/>
        </w:rPr>
        <w:tab/>
      </w:r>
      <w:r>
        <w:rPr>
          <w:rFonts w:ascii="Times New Roman" w:cs="Times New Roman" w:eastAsia="Times New Roman" w:hAnsi="Times New Roman"/>
          <w:sz w:val="16"/>
          <w:szCs w:val="16"/>
          <w:b w:val="1"/>
          <w:bCs w:val="1"/>
          <w:u w:val="single" w:color="auto"/>
          <w:color w:val="auto"/>
        </w:rPr>
        <w:t>Mode of Payment; Foreign Exchange</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All payments to * due under the MSA or any applicable PSA shall be made within thirty (30) Business Days from</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the receipt of the *’s invoice in USD $ by means of telegraphic transfer to the account with the bank designated by * in the foregoing invoice. For the purpose of computing payment amounts incurred in a currency other than USD$, such currency shall be converted into USD$ using the basic exchange rate published by Bloomberg (or its successor institution) on its website “</w:t>
      </w:r>
      <w:r>
        <w:rPr>
          <w:rFonts w:ascii="Times New Roman" w:cs="Times New Roman" w:eastAsia="Times New Roman" w:hAnsi="Times New Roman"/>
          <w:sz w:val="16"/>
          <w:szCs w:val="16"/>
          <w:u w:val="single" w:color="auto"/>
          <w:color w:val="auto"/>
        </w:rPr>
        <w:t>http://www.bloomberg.com/markets/currencies</w:t>
      </w:r>
      <w:r>
        <w:rPr>
          <w:rFonts w:ascii="Times New Roman" w:cs="Times New Roman" w:eastAsia="Times New Roman" w:hAnsi="Times New Roman"/>
          <w:sz w:val="16"/>
          <w:szCs w:val="16"/>
          <w:color w:val="auto"/>
        </w:rPr>
        <w:t>” (or any other website that may be used by Bloomberg or its successor institution for publication of currency exchange rates) at the opening of business on such invoice date.</w:t>
      </w:r>
    </w:p>
    <w:p>
      <w:pPr>
        <w:spacing w:after="0" w:line="16" w:lineRule="exact"/>
        <w:rPr>
          <w:sz w:val="20"/>
          <w:szCs w:val="20"/>
          <w:color w:val="auto"/>
        </w:rPr>
      </w:pPr>
    </w:p>
    <w:p>
      <w:pPr>
        <w:ind w:left="120" w:hanging="112"/>
        <w:spacing w:after="0"/>
        <w:tabs>
          <w:tab w:leader="none" w:pos="120" w:val="left"/>
        </w:tabs>
        <w:numPr>
          <w:ilvl w:val="0"/>
          <w:numId w:val="9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39" w:name="page140"/>
    <w:bookmarkEnd w:id="139"/>
    <w:p>
      <w:pPr>
        <w:ind w:left="500" w:right="80" w:hanging="485"/>
        <w:spacing w:after="0" w:line="29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9.3.2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Taxes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All prices and charges are exclusive of any applicable taxes, levies, imposts, duties and fees of whatever nature imposed by any law or regulations in any country in respect of the Services, importation or exportation of Raw Materials, Client Materials, Batches, and Product, which shall be paid by Client. For the avoidance of doubt, the foregoing shall not include any taxes imposed on the income or profit of </w:t>
      </w:r>
      <w:hyperlink w:anchor="page140">
        <w:r>
          <w:rPr>
            <w:rFonts w:ascii="Times New Roman" w:cs="Times New Roman" w:eastAsia="Times New Roman" w:hAnsi="Times New Roman"/>
            <w:sz w:val="11"/>
            <w:szCs w:val="11"/>
            <w:u w:val="single" w:color="auto"/>
            <w:color w:val="0000EE"/>
          </w:rPr>
          <w:t>*</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and any withholding tax lawfully levied on any payment to be made by Client to *, each of which shall be solely borne by *. Client shall pay or reimburse * for all customs duties and taxes in connection with the purchase, sale, importation or exportation of any Raw Materials, Client Materials, Batches, or Product or the provision of Services, except to the extent such duties and taxes are recoverable by or refundable to *. * agrees to assist Client in claiming exemption under double taxation or similar agreement or treaty from time to time in force to obtain a refund of any customs duties, value added taxes, and other taxes payable by *.</w:t>
      </w:r>
    </w:p>
    <w:p>
      <w:pPr>
        <w:spacing w:after="0" w:line="167" w:lineRule="exact"/>
        <w:rPr>
          <w:sz w:val="20"/>
          <w:szCs w:val="20"/>
          <w:color w:val="auto"/>
        </w:rPr>
      </w:pPr>
    </w:p>
    <w:p>
      <w:pPr>
        <w:jc w:val="both"/>
        <w:ind w:left="500" w:right="40" w:hanging="485"/>
        <w:spacing w:after="0" w:line="264" w:lineRule="auto"/>
        <w:rPr>
          <w:sz w:val="20"/>
          <w:szCs w:val="20"/>
          <w:color w:val="auto"/>
        </w:rPr>
      </w:pPr>
      <w:r>
        <w:rPr>
          <w:rFonts w:ascii="Times New Roman" w:cs="Times New Roman" w:eastAsia="Times New Roman" w:hAnsi="Times New Roman"/>
          <w:sz w:val="18"/>
          <w:szCs w:val="18"/>
          <w:u w:val="single" w:color="auto"/>
          <w:color w:val="auto"/>
        </w:rPr>
        <w:t>9.3.3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Price Adjustments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Service Fees as set forth in the applicable PSA, shall be adjusted annually, on the last day of January, effective January 1 of each year during the Term, by the percentage change in the consumer price index as published by the Bank of Korea for the immediately preceding twelve (12) months. The relevant date for price adjustment under this Section shall be the issue date of *’s invoice.</w:t>
      </w:r>
    </w:p>
    <w:p>
      <w:pPr>
        <w:spacing w:after="0" w:line="181" w:lineRule="exact"/>
        <w:rPr>
          <w:sz w:val="20"/>
          <w:szCs w:val="20"/>
          <w:color w:val="auto"/>
        </w:rPr>
      </w:pPr>
    </w:p>
    <w:p>
      <w:pPr>
        <w:ind w:left="500" w:right="80" w:hanging="485"/>
        <w:spacing w:after="0" w:line="259" w:lineRule="auto"/>
        <w:rPr>
          <w:sz w:val="20"/>
          <w:szCs w:val="20"/>
          <w:color w:val="auto"/>
        </w:rPr>
      </w:pPr>
      <w:r>
        <w:rPr>
          <w:rFonts w:ascii="Times New Roman" w:cs="Times New Roman" w:eastAsia="Times New Roman" w:hAnsi="Times New Roman"/>
          <w:sz w:val="18"/>
          <w:szCs w:val="18"/>
          <w:u w:val="single" w:color="auto"/>
          <w:color w:val="auto"/>
        </w:rPr>
        <w:t>9.3.4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Default Interest.</w:t>
      </w:r>
      <w:r>
        <w:rPr>
          <w:rFonts w:ascii="Times New Roman" w:cs="Times New Roman" w:eastAsia="Times New Roman" w:hAnsi="Times New Roman"/>
          <w:sz w:val="18"/>
          <w:szCs w:val="18"/>
          <w:color w:val="auto"/>
        </w:rPr>
        <w:t xml:space="preserve"> Any amount that is not paid by a Party to the other when due under the MSA or any PSA shall bear default interest at the rate of ten percent (10%) per annum, or such lesser maximum rate allowed by Applicable Law, from the day following the due date until paid in full. In the event there is an amount which is invoiced by * but not paid by Client for more than six (6) months after the due date, such event shall be considered a material breach of the relevant PSA.</w:t>
      </w:r>
    </w:p>
    <w:p>
      <w:pPr>
        <w:spacing w:after="0" w:line="18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u w:val="single" w:color="auto"/>
          <w:color w:val="auto"/>
        </w:rPr>
        <w:t>SECTION 10</w:t>
      </w:r>
      <w:r>
        <w:rPr>
          <w:sz w:val="20"/>
          <w:szCs w:val="20"/>
          <w:color w:val="auto"/>
        </w:rPr>
        <w:tab/>
      </w:r>
      <w:r>
        <w:rPr>
          <w:rFonts w:ascii="Times New Roman" w:cs="Times New Roman" w:eastAsia="Times New Roman" w:hAnsi="Times New Roman"/>
          <w:sz w:val="16"/>
          <w:szCs w:val="16"/>
          <w:b w:val="1"/>
          <w:bCs w:val="1"/>
          <w:u w:val="single" w:color="auto"/>
          <w:color w:val="auto"/>
        </w:rPr>
        <w:t>CONFIDENTIALITY</w:t>
      </w:r>
    </w:p>
    <w:p>
      <w:pPr>
        <w:spacing w:after="0" w:line="252" w:lineRule="exact"/>
        <w:rPr>
          <w:sz w:val="20"/>
          <w:szCs w:val="20"/>
          <w:color w:val="auto"/>
        </w:rPr>
      </w:pPr>
    </w:p>
    <w:p>
      <w:pPr>
        <w:ind w:left="50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10.1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Confidential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mean any data, know-how and other information, whether technical or non-technical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disclosed by one Party (hereinafter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or otherwise became known to the other Party (hereinafter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hereunder relating to the subject matter of the MSA, regardless of form or manner of disclosure, i.e., whether disclosed in writing, in electronic file or format or in other tangible manner, or orally, visually or in other intangible manner. If a Party intends to disclose such information in writing, in electronic file or format or in other tangible manner, such Party will make reasonable efforts to indicate it is confidential; and if to disclose orally, visually or in other intangible manner, such Party will make reasonable efforts to reduce it in summary form in writing or in electronic file or format, identified as confidential and delivered to the other Party within thirty (30) days after such oral or visual disclosure; provided, however, in each case, a failure to do so shall not constitute a breach of this term nor shall deny, negate or destroy the confidential nature thereof, and no such failure shall serve as conclusive evidence that the disclosed information shall not be considered Confidential Information by and between the Parties. Furthermore, the existence and terms of the MSA shall be deemed to be the Confidential Information of both Parties and any information, data</w:t>
      </w:r>
    </w:p>
    <w:p>
      <w:pPr>
        <w:spacing w:after="0" w:line="57" w:lineRule="exact"/>
        <w:rPr>
          <w:sz w:val="20"/>
          <w:szCs w:val="20"/>
          <w:color w:val="auto"/>
        </w:rPr>
      </w:pPr>
    </w:p>
    <w:p>
      <w:pPr>
        <w:ind w:left="120" w:hanging="112"/>
        <w:spacing w:after="0"/>
        <w:tabs>
          <w:tab w:leader="none" w:pos="120" w:val="left"/>
        </w:tabs>
        <w:numPr>
          <w:ilvl w:val="0"/>
          <w:numId w:val="10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140" w:name="page141"/>
    <w:bookmarkEnd w:id="140"/>
    <w:p>
      <w:pPr>
        <w:ind w:left="500"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results disclosed by </w:t>
      </w:r>
      <w:hyperlink w:anchor="page141">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Client relating to the Product, the Services or Manufacture under this MSA or any PSA, as well as the Manufacturing Process, the Project Plan and the Specifications shall be the Confidential Information of Client, unless otherwise specifically identified as * Confidential Information by the terms of this Agreement. The Parties acknowledge and agree that the Manufacturing Process and the Project Plan may contain a mixture of both Party’s Background IP, ownership of which shall not be affected by this MSA.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Confidential Information shall not include the information, which as evidenced by written records:</w:t>
      </w:r>
    </w:p>
    <w:p>
      <w:pPr>
        <w:spacing w:after="0" w:line="158" w:lineRule="exact"/>
        <w:rPr>
          <w:sz w:val="20"/>
          <w:szCs w:val="20"/>
          <w:color w:val="auto"/>
        </w:rPr>
      </w:pPr>
    </w:p>
    <w:p>
      <w:pPr>
        <w:ind w:left="940" w:hanging="284"/>
        <w:spacing w:after="0"/>
        <w:tabs>
          <w:tab w:leader="none" w:pos="940" w:val="left"/>
        </w:tabs>
        <w:numPr>
          <w:ilvl w:val="0"/>
          <w:numId w:val="1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was at the time of disclosure by the Disclosing Party hereunder publicly known or available;</w:t>
      </w:r>
    </w:p>
    <w:p>
      <w:pPr>
        <w:spacing w:after="0" w:line="157" w:lineRule="exact"/>
        <w:rPr>
          <w:rFonts w:ascii="Times New Roman" w:cs="Times New Roman" w:eastAsia="Times New Roman" w:hAnsi="Times New Roman"/>
          <w:sz w:val="18"/>
          <w:szCs w:val="18"/>
          <w:u w:val="single" w:color="auto"/>
          <w:color w:val="auto"/>
        </w:rPr>
      </w:pPr>
    </w:p>
    <w:p>
      <w:pPr>
        <w:ind w:left="660" w:right="80" w:hanging="4"/>
        <w:spacing w:after="0" w:line="275" w:lineRule="auto"/>
        <w:tabs>
          <w:tab w:leader="none" w:pos="953" w:val="left"/>
        </w:tabs>
        <w:numPr>
          <w:ilvl w:val="0"/>
          <w:numId w:val="1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after disclosure by the Disclosing Party hereunder, became publicly known or available by publication or otherwise, other than by an authorized act or omission by the Receiving Party;</w:t>
      </w:r>
    </w:p>
    <w:p>
      <w:pPr>
        <w:spacing w:after="0" w:line="106" w:lineRule="exact"/>
        <w:rPr>
          <w:rFonts w:ascii="Times New Roman" w:cs="Times New Roman" w:eastAsia="Times New Roman" w:hAnsi="Times New Roman"/>
          <w:sz w:val="18"/>
          <w:szCs w:val="18"/>
          <w:u w:val="single" w:color="auto"/>
          <w:color w:val="auto"/>
        </w:rPr>
      </w:pPr>
    </w:p>
    <w:p>
      <w:pPr>
        <w:ind w:left="940" w:hanging="284"/>
        <w:spacing w:after="0"/>
        <w:tabs>
          <w:tab w:leader="none" w:pos="940" w:val="left"/>
        </w:tabs>
        <w:numPr>
          <w:ilvl w:val="0"/>
          <w:numId w:val="1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was in the possession of the Receiving Party without confidentiality restriction at the time of the disclosure by the Disclosing Party hereunder;</w:t>
      </w:r>
    </w:p>
    <w:p>
      <w:pPr>
        <w:spacing w:after="0" w:line="157" w:lineRule="exact"/>
        <w:rPr>
          <w:rFonts w:ascii="Times New Roman" w:cs="Times New Roman" w:eastAsia="Times New Roman" w:hAnsi="Times New Roman"/>
          <w:sz w:val="18"/>
          <w:szCs w:val="18"/>
          <w:u w:val="single" w:color="auto"/>
          <w:color w:val="auto"/>
        </w:rPr>
      </w:pPr>
    </w:p>
    <w:p>
      <w:pPr>
        <w:ind w:left="940" w:hanging="284"/>
        <w:spacing w:after="0"/>
        <w:tabs>
          <w:tab w:leader="none" w:pos="940" w:val="left"/>
        </w:tabs>
        <w:numPr>
          <w:ilvl w:val="0"/>
          <w:numId w:val="1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was lawfully received from any third party having the lawful right to make such disclosure, without obligation of confidentiality; or</w:t>
      </w:r>
    </w:p>
    <w:p>
      <w:pPr>
        <w:spacing w:after="0" w:line="157" w:lineRule="exact"/>
        <w:rPr>
          <w:rFonts w:ascii="Times New Roman" w:cs="Times New Roman" w:eastAsia="Times New Roman" w:hAnsi="Times New Roman"/>
          <w:sz w:val="18"/>
          <w:szCs w:val="18"/>
          <w:u w:val="single" w:color="auto"/>
          <w:color w:val="auto"/>
        </w:rPr>
      </w:pPr>
    </w:p>
    <w:p>
      <w:pPr>
        <w:ind w:left="660" w:right="600" w:hanging="4"/>
        <w:spacing w:after="0" w:line="275" w:lineRule="auto"/>
        <w:tabs>
          <w:tab w:leader="none" w:pos="943" w:val="left"/>
        </w:tabs>
        <w:numPr>
          <w:ilvl w:val="0"/>
          <w:numId w:val="1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was independently developed by the Receiving Party’s directors, officers or employees without reference to the Confidential Information, as demonstrated by records created contemporaneously with such development.</w:t>
      </w:r>
    </w:p>
    <w:p>
      <w:pPr>
        <w:spacing w:after="0" w:line="172" w:lineRule="exact"/>
        <w:rPr>
          <w:sz w:val="20"/>
          <w:szCs w:val="20"/>
          <w:color w:val="auto"/>
        </w:rPr>
      </w:pPr>
    </w:p>
    <w:p>
      <w:pPr>
        <w:ind w:left="50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10.2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Confidentiality. </w:t>
      </w:r>
      <w:r>
        <w:rPr>
          <w:rFonts w:ascii="Times New Roman" w:cs="Times New Roman" w:eastAsia="Times New Roman" w:hAnsi="Times New Roman"/>
          <w:sz w:val="18"/>
          <w:szCs w:val="18"/>
          <w:color w:val="auto"/>
        </w:rPr>
        <w:t>The Receiving Party recognizes the proprietary and confidential nature of the Disclosing Party’s Confidential Information and agrees that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no right, title, ownership, license, or interest of any character in the Disclosing Party’s Confidential Information other than as specifically granted herein, is conveyed or transferred to the Receiving Party. Both Parties further agree to maintain the Disclosing Party’s Confidential Information in confidence and not to disclose or divulge the Disclosing Party’s Confidential Information, in whole or in part, to any third party, and not use the Disclosing Party’s Confidential Information for any purpose other than pursuing the MSA. Each Party shall guard such Confidential Information using the same degree of care as it normally uses to guard its own confidential or proprietary information of like importance, but in any event no less than reasonable care. The Receiving Party shall limit disclosure of the Disclosing Party’s Confidential Information to its and those of its Affiliates’ directors, officers, employees, consultants and agents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who have a need to know the Disclosing Party’s Confidential Information for performance of the Service and implementation of the MSA,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Receiving Party shall undertake procedures to ensure that each of its Representatives to whom the Disclosing Party’s Confidential Information is disclosed understands (i) the confidential nature of the Disclosing Party’s Confidential Information and (ii) that he or she is under an obligation similar to those contained herein to hold the Disclosing Party’s Confidential Information disclosed strictly confidential.</w:t>
      </w:r>
    </w:p>
    <w:p>
      <w:pPr>
        <w:spacing w:after="0" w:line="218" w:lineRule="exact"/>
        <w:rPr>
          <w:sz w:val="20"/>
          <w:szCs w:val="20"/>
          <w:color w:val="auto"/>
        </w:rPr>
      </w:pPr>
    </w:p>
    <w:p>
      <w:pPr>
        <w:ind w:left="500" w:right="12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10.3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Authorized Disclosures. </w:t>
      </w:r>
      <w:r>
        <w:rPr>
          <w:rFonts w:ascii="Times New Roman" w:cs="Times New Roman" w:eastAsia="Times New Roman" w:hAnsi="Times New Roman"/>
          <w:sz w:val="18"/>
          <w:szCs w:val="18"/>
          <w:color w:val="auto"/>
        </w:rPr>
        <w:t>Disclosure is permitted in the event that (a) the Disclosing Party’s Confidential Information is reasonably required to obtain 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maintain any Regulatory Approvals for the Products in any or all jurisdictions or (b) the Disclosing Party needs to disclose such Confidential Information to comply with Applicable Law; provided that such Receiving Party shall exercise its Commercially Reasonable Efforts to limit disclosure of the Disclosing Party’s Confidential Information to that which is necessary for compliance and to otherwise maintain the confidentiality of the Confidential Information.</w:t>
      </w:r>
    </w:p>
    <w:p>
      <w:pPr>
        <w:spacing w:after="0" w:line="43" w:lineRule="exact"/>
        <w:rPr>
          <w:sz w:val="20"/>
          <w:szCs w:val="20"/>
          <w:color w:val="auto"/>
        </w:rPr>
      </w:pPr>
    </w:p>
    <w:p>
      <w:pPr>
        <w:ind w:left="120" w:hanging="112"/>
        <w:spacing w:after="0"/>
        <w:tabs>
          <w:tab w:leader="none" w:pos="120" w:val="left"/>
        </w:tabs>
        <w:numPr>
          <w:ilvl w:val="0"/>
          <w:numId w:val="10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1" w:name="page142"/>
    <w:bookmarkEnd w:id="141"/>
    <w:p>
      <w:pPr>
        <w:ind w:left="500" w:right="40" w:hanging="485"/>
        <w:spacing w:after="0" w:line="277"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10.4</w:t>
      </w:r>
      <w:r>
        <w:rPr>
          <w:sz w:val="20"/>
          <w:szCs w:val="20"/>
          <w:color w:val="auto"/>
        </w:rPr>
        <w:tab/>
      </w:r>
      <w:r>
        <w:rPr>
          <w:rFonts w:ascii="Times New Roman" w:cs="Times New Roman" w:eastAsia="Times New Roman" w:hAnsi="Times New Roman"/>
          <w:sz w:val="18"/>
          <w:szCs w:val="18"/>
          <w:b w:val="1"/>
          <w:bCs w:val="1"/>
          <w:u w:val="single" w:color="auto"/>
          <w:color w:val="auto"/>
        </w:rPr>
        <w:t>Survival of confidential obligations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confidential obligations of the Receiving Party shall survive for a period of five (5) years from the expiration 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termination of this MSA.</w:t>
      </w:r>
    </w:p>
    <w:p>
      <w:pPr>
        <w:spacing w:after="0" w:line="197" w:lineRule="exact"/>
        <w:rPr>
          <w:sz w:val="20"/>
          <w:szCs w:val="20"/>
          <w:color w:val="auto"/>
        </w:rPr>
      </w:pPr>
    </w:p>
    <w:p>
      <w:pPr>
        <w:ind w:left="50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10.5</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Return of the Confidential Information. </w:t>
      </w:r>
      <w:r>
        <w:rPr>
          <w:rFonts w:ascii="Times New Roman" w:cs="Times New Roman" w:eastAsia="Times New Roman" w:hAnsi="Times New Roman"/>
          <w:sz w:val="18"/>
          <w:szCs w:val="18"/>
          <w:color w:val="auto"/>
        </w:rPr>
        <w:t>All written, printed or other tangible Confidential Information of the Disclosing Party disclosed under the MSA,</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and all copies thereof shall be returned to the Disclosing Party (or destroyed at the Disclosing Party’s request) by the Receiving Party within thirty (30) business days from the written request by the Disclosing Party. All Confidential Information disclosed electronically shall be completely deleted and destroyed by the Receiving Party within thirty (30) business days from the written request by the Disclosing Party. Notwithstanding the foregoing, (i) digital backup files automatically generated by the Receiving Party’s customary electronic data processing system may be retained and properly stored as confidential files for the sole purpose of backup and will be deleted in accordance with the Receiving Party’s retention policy, and (ii) a single copy of the Confidential Information may be retained in the secured files of the Receiving Party for the sole purpose of determining the scope of obligations incurred by it under the MSA provided that the Receiving Party shall keep such Confidential Information in confidence and will use the Confidential Information solely to comply with the terms of the MSA as well as the applicable law, rule and regulation.</w:t>
      </w:r>
    </w:p>
    <w:p>
      <w:pPr>
        <w:spacing w:after="0" w:line="224"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b w:val="1"/>
          <w:bCs w:val="1"/>
          <w:u w:val="single" w:color="auto"/>
          <w:color w:val="auto"/>
        </w:rPr>
        <w:t>SECTION 11</w:t>
      </w:r>
      <w:r>
        <w:rPr>
          <w:sz w:val="20"/>
          <w:szCs w:val="20"/>
          <w:color w:val="auto"/>
        </w:rPr>
        <w:tab/>
      </w:r>
      <w:r>
        <w:rPr>
          <w:rFonts w:ascii="Times New Roman" w:cs="Times New Roman" w:eastAsia="Times New Roman" w:hAnsi="Times New Roman"/>
          <w:sz w:val="16"/>
          <w:szCs w:val="16"/>
          <w:b w:val="1"/>
          <w:bCs w:val="1"/>
          <w:u w:val="single" w:color="auto"/>
          <w:color w:val="auto"/>
        </w:rPr>
        <w:t>OWNERSHIP OF MATERIALS AND INTELLECTUAL PROPERTY</w:t>
      </w:r>
    </w:p>
    <w:p>
      <w:pPr>
        <w:spacing w:after="0" w:line="158" w:lineRule="exact"/>
        <w:rPr>
          <w:sz w:val="20"/>
          <w:szCs w:val="20"/>
          <w:color w:val="auto"/>
        </w:rPr>
      </w:pPr>
    </w:p>
    <w:p>
      <w:pPr>
        <w:ind w:left="480" w:right="120" w:hanging="485"/>
        <w:spacing w:after="0" w:line="230" w:lineRule="auto"/>
        <w:tabs>
          <w:tab w:leader="none" w:pos="460" w:val="left"/>
        </w:tabs>
        <w:rPr>
          <w:sz w:val="20"/>
          <w:szCs w:val="20"/>
          <w:color w:val="auto"/>
        </w:rPr>
      </w:pPr>
      <w:r>
        <w:rPr>
          <w:rFonts w:ascii="Times New Roman" w:cs="Times New Roman" w:eastAsia="Times New Roman" w:hAnsi="Times New Roman"/>
          <w:sz w:val="18"/>
          <w:szCs w:val="18"/>
          <w:u w:val="single" w:color="auto"/>
          <w:color w:val="auto"/>
        </w:rPr>
        <w:t>11.1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Reference Standard, Client Technology, Client Materials, Cell Line, and Product.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hereby understands and agrees that all rights to, titles of and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interests in the Reference Standards, Client Technology, Client Materials, Cell Line, Product, the Manufacturing Process and any work in process or semi processed goods thereof belong to Client, unless otherwise provided herein.</w:t>
      </w:r>
    </w:p>
    <w:p>
      <w:pPr>
        <w:spacing w:after="0" w:line="203" w:lineRule="exact"/>
        <w:rPr>
          <w:sz w:val="20"/>
          <w:szCs w:val="20"/>
          <w:color w:val="auto"/>
        </w:rPr>
      </w:pPr>
    </w:p>
    <w:p>
      <w:pPr>
        <w:ind w:left="480" w:right="160" w:hanging="485"/>
        <w:spacing w:after="0" w:line="255" w:lineRule="auto"/>
        <w:tabs>
          <w:tab w:leader="none" w:pos="460" w:val="left"/>
        </w:tabs>
        <w:rPr>
          <w:sz w:val="20"/>
          <w:szCs w:val="20"/>
          <w:color w:val="auto"/>
        </w:rPr>
      </w:pPr>
      <w:r>
        <w:rPr>
          <w:rFonts w:ascii="Times New Roman" w:cs="Times New Roman" w:eastAsia="Times New Roman" w:hAnsi="Times New Roman"/>
          <w:sz w:val="18"/>
          <w:szCs w:val="18"/>
          <w:u w:val="single" w:color="auto"/>
          <w:color w:val="auto"/>
        </w:rPr>
        <w:t>11.2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Background Intellectual Property. </w:t>
      </w:r>
      <w:r>
        <w:rPr>
          <w:rFonts w:ascii="Times New Roman" w:cs="Times New Roman" w:eastAsia="Times New Roman" w:hAnsi="Times New Roman"/>
          <w:sz w:val="18"/>
          <w:szCs w:val="18"/>
          <w:color w:val="auto"/>
        </w:rPr>
        <w:t>It is acknowledged that each Party possesses Background IP. Any Intellectual Property relating to the Reference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Standards, Client Technology, Client Materials and Cell Line owned and/or controlled by Client as of the date of provision of such Reference Standards, Client Technology, Client Materials and Cell Line by Client to * pursuant to Section 5.1, shall be deemed to be included in the Background IP of Client. Client hereby grants * a royalty-free, non-transferable, revocable and non-sublicensable and fully-paid-up right and license to use such Intellectual Property relating to such Reference Standards, Client Technology, Client Materials, Cell Line, during the Term for the sole purposes of Manufacturing of the Product or Services in accordance with the MSA.</w:t>
      </w:r>
    </w:p>
    <w:p>
      <w:pPr>
        <w:spacing w:after="0" w:line="193" w:lineRule="exact"/>
        <w:rPr>
          <w:sz w:val="20"/>
          <w:szCs w:val="20"/>
          <w:color w:val="auto"/>
        </w:rPr>
      </w:pPr>
    </w:p>
    <w:p>
      <w:pPr>
        <w:ind w:left="480" w:right="500" w:hanging="485"/>
        <w:spacing w:after="0" w:line="277" w:lineRule="auto"/>
        <w:tabs>
          <w:tab w:leader="none" w:pos="460" w:val="left"/>
        </w:tabs>
        <w:rPr>
          <w:sz w:val="20"/>
          <w:szCs w:val="20"/>
          <w:color w:val="auto"/>
        </w:rPr>
      </w:pPr>
      <w:r>
        <w:rPr>
          <w:rFonts w:ascii="Times New Roman" w:cs="Times New Roman" w:eastAsia="Times New Roman" w:hAnsi="Times New Roman"/>
          <w:sz w:val="18"/>
          <w:szCs w:val="18"/>
          <w:u w:val="single" w:color="auto"/>
          <w:color w:val="auto"/>
        </w:rPr>
        <w:t>11.3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Inventions. </w:t>
      </w:r>
      <w:r>
        <w:rPr>
          <w:rFonts w:ascii="Times New Roman" w:cs="Times New Roman" w:eastAsia="Times New Roman" w:hAnsi="Times New Roman"/>
          <w:sz w:val="18"/>
          <w:szCs w:val="18"/>
          <w:color w:val="auto"/>
        </w:rPr>
        <w:t>Any Intellectual Property arising out of or resulting from the Service under the MSA, including but not limited to those contained in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Manufacturing Documentation, shall be hereinafter collectively called an “</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left="500" w:right="100"/>
        <w:spacing w:after="0" w:line="264" w:lineRule="auto"/>
        <w:rPr>
          <w:sz w:val="20"/>
          <w:szCs w:val="20"/>
          <w:color w:val="auto"/>
        </w:rPr>
      </w:pPr>
      <w:r>
        <w:rPr>
          <w:rFonts w:ascii="Times New Roman" w:cs="Times New Roman" w:eastAsia="Times New Roman" w:hAnsi="Times New Roman"/>
          <w:sz w:val="18"/>
          <w:szCs w:val="18"/>
          <w:u w:val="single" w:color="auto"/>
          <w:color w:val="auto"/>
        </w:rPr>
        <w:t>11.3.1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Client Invention.</w:t>
      </w:r>
      <w:r>
        <w:rPr>
          <w:rFonts w:ascii="Times New Roman" w:cs="Times New Roman" w:eastAsia="Times New Roman" w:hAnsi="Times New Roman"/>
          <w:sz w:val="18"/>
          <w:szCs w:val="18"/>
          <w:color w:val="auto"/>
        </w:rPr>
        <w:t xml:space="preserve"> Any Invention that is conceived and first reduced to practice solely by one or more employees or officers of * (or its third party consultant or subcontractor) and does not constitute an * Invention shall be a “Client Invention”. * shall notify Client of such Client Invention(s) to Client immediately after *, the Project Management Team Leader,</w:t>
      </w:r>
    </w:p>
    <w:p>
      <w:pPr>
        <w:spacing w:after="0" w:line="43" w:lineRule="exact"/>
        <w:rPr>
          <w:sz w:val="20"/>
          <w:szCs w:val="20"/>
          <w:color w:val="auto"/>
        </w:rPr>
      </w:pPr>
    </w:p>
    <w:p>
      <w:pPr>
        <w:ind w:left="120" w:hanging="112"/>
        <w:spacing w:after="0"/>
        <w:tabs>
          <w:tab w:leader="none" w:pos="120" w:val="left"/>
        </w:tabs>
        <w:numPr>
          <w:ilvl w:val="0"/>
          <w:numId w:val="10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42" w:name="page143"/>
    <w:bookmarkEnd w:id="142"/>
    <w:p>
      <w:pPr>
        <w:ind w:left="5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respective project personnel, </w:t>
      </w:r>
      <w:hyperlink w:anchor="page143">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employees or officers or other applicable third parties working for * hereunder makes, conceives or reduces to practice such Client Invention, and shall take all necessary measures so that Client would have the sole and exclusive ownership of any and all Client Invention. Client may use any Client Invention for any purpose, including filing patent application and * shall provide reasonable cooperation to Client at the expense of Client (as to all reasonable out-of-pocket expenses incurred by * that are supported by adequate documentation). In the event that * wishes to use the Client Invention for purposes outside the scope of the MSA, Client hereby grants * a worldwide, irrevocable, royalty-free and fully-paid- up license to use such Client Invention. This Section 11.3 shall survive the expiration or earlier termination and continue in effect as long as the intellectual property right to such Client Invention is legally valid.</w:t>
      </w:r>
    </w:p>
    <w:p>
      <w:pPr>
        <w:spacing w:after="0" w:line="193" w:lineRule="exact"/>
        <w:rPr>
          <w:sz w:val="20"/>
          <w:szCs w:val="20"/>
          <w:color w:val="auto"/>
        </w:rPr>
      </w:pPr>
    </w:p>
    <w:p>
      <w:pPr>
        <w:ind w:left="980" w:right="20" w:hanging="485"/>
        <w:spacing w:after="0" w:line="286" w:lineRule="auto"/>
        <w:rPr>
          <w:sz w:val="20"/>
          <w:szCs w:val="20"/>
          <w:color w:val="auto"/>
        </w:rPr>
      </w:pPr>
      <w:r>
        <w:rPr>
          <w:rFonts w:ascii="Times New Roman" w:cs="Times New Roman" w:eastAsia="Times New Roman" w:hAnsi="Times New Roman"/>
          <w:sz w:val="16"/>
          <w:szCs w:val="16"/>
          <w:u w:val="single" w:color="auto"/>
          <w:color w:val="auto"/>
        </w:rPr>
        <w:t>11.3.2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 Invention.</w:t>
      </w:r>
      <w:r>
        <w:rPr>
          <w:rFonts w:ascii="Times New Roman" w:cs="Times New Roman" w:eastAsia="Times New Roman" w:hAnsi="Times New Roman"/>
          <w:sz w:val="16"/>
          <w:szCs w:val="16"/>
          <w:color w:val="auto"/>
        </w:rPr>
        <w:t xml:space="preserve"> Any Invention that is conceived and first reduced to practice solely by one or more employees or officers of * (or its third party consultant or subcontractor) and which is not derived from, or arises out of Client Background IP or Client’s Confidential Information or any other proprietary right of Client or its third party vendors, contractors, or other partners or clients under or in connection with the MSA, shall be the property of * (“</w:t>
      </w:r>
      <w:r>
        <w:rPr>
          <w:rFonts w:ascii="Times New Roman" w:cs="Times New Roman" w:eastAsia="Times New Roman" w:hAnsi="Times New Roman"/>
          <w:sz w:val="16"/>
          <w:szCs w:val="16"/>
          <w:b w:val="1"/>
          <w:bCs w:val="1"/>
          <w:color w:val="auto"/>
        </w:rPr>
        <w:t>* Invention</w:t>
      </w:r>
      <w:r>
        <w:rPr>
          <w:rFonts w:ascii="Times New Roman" w:cs="Times New Roman" w:eastAsia="Times New Roman" w:hAnsi="Times New Roman"/>
          <w:sz w:val="16"/>
          <w:szCs w:val="16"/>
          <w:color w:val="auto"/>
        </w:rPr>
        <w:t>”), and shall not be deemed to be Client Invention or Joint Invention for the purposes of the MSA. No Background IP of</w:t>
      </w:r>
    </w:p>
    <w:p>
      <w:pPr>
        <w:spacing w:after="0" w:line="2" w:lineRule="exact"/>
        <w:rPr>
          <w:sz w:val="20"/>
          <w:szCs w:val="20"/>
          <w:color w:val="auto"/>
        </w:rPr>
      </w:pPr>
    </w:p>
    <w:p>
      <w:pPr>
        <w:ind w:left="980" w:right="60"/>
        <w:spacing w:after="0" w:line="261" w:lineRule="auto"/>
        <w:tabs>
          <w:tab w:leader="none" w:pos="111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 Invention shall be incorporated into the Product or Manufacturing Process without the joint review and approval of both Parties and the terms of a license to use such Background IP or * Invention shall be agreed upon prior to such incorporation.</w:t>
      </w:r>
    </w:p>
    <w:p>
      <w:pPr>
        <w:spacing w:after="0" w:line="211" w:lineRule="exact"/>
        <w:rPr>
          <w:sz w:val="20"/>
          <w:szCs w:val="20"/>
          <w:color w:val="auto"/>
        </w:rPr>
      </w:pPr>
    </w:p>
    <w:p>
      <w:pPr>
        <w:ind w:left="980" w:right="80" w:hanging="485"/>
        <w:spacing w:after="0" w:line="253" w:lineRule="auto"/>
        <w:rPr>
          <w:sz w:val="20"/>
          <w:szCs w:val="20"/>
          <w:color w:val="auto"/>
        </w:rPr>
      </w:pPr>
      <w:r>
        <w:rPr>
          <w:rFonts w:ascii="Times New Roman" w:cs="Times New Roman" w:eastAsia="Times New Roman" w:hAnsi="Times New Roman"/>
          <w:sz w:val="18"/>
          <w:szCs w:val="18"/>
          <w:u w:val="single" w:color="auto"/>
          <w:color w:val="auto"/>
        </w:rPr>
        <w:t>11.3.3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Client-* Joint Invention.</w:t>
      </w:r>
      <w:r>
        <w:rPr>
          <w:rFonts w:ascii="Times New Roman" w:cs="Times New Roman" w:eastAsia="Times New Roman" w:hAnsi="Times New Roman"/>
          <w:sz w:val="18"/>
          <w:szCs w:val="18"/>
          <w:color w:val="auto"/>
        </w:rPr>
        <w:t xml:space="preserve"> Any Invention that is conceived and first reduced to practice jointly by one or more employees, or officers of * (or its third party consultant or subcontractor) or their respective Affiliates, on the one hand and one or more employees, officers, agents or contractors of Client (or its Affiliates) on the other hand and which is not derived from, or arises out of either Party’s Background IP or Confidential Information or any other proprietary right of a Party or its third party vendors, contractors, or other partners or clients under or in connection with the MSA, shall be jointly owned by Client and * (a “</w:t>
      </w:r>
      <w:r>
        <w:rPr>
          <w:rFonts w:ascii="Times New Roman" w:cs="Times New Roman" w:eastAsia="Times New Roman" w:hAnsi="Times New Roman"/>
          <w:sz w:val="18"/>
          <w:szCs w:val="18"/>
          <w:b w:val="1"/>
          <w:bCs w:val="1"/>
          <w:color w:val="auto"/>
        </w:rPr>
        <w:t>Joint Invention</w:t>
      </w:r>
      <w:r>
        <w:rPr>
          <w:rFonts w:ascii="Times New Roman" w:cs="Times New Roman" w:eastAsia="Times New Roman" w:hAnsi="Times New Roman"/>
          <w:sz w:val="18"/>
          <w:szCs w:val="18"/>
          <w:color w:val="auto"/>
        </w:rPr>
        <w:t>”), and shall not be a Client Invention or * Invention for the purposes of the MSA. Subject to the terms and conditions of the MSA, any such Joint Invention may be exploited by * or Client without compensation and liability of other obligation (including accounting obligations) to the other Party, and each Party has a non-exclusive, royalty-free, worldwide license, with the right to sublicense, under its interest in such Joint Inventions and any Intellectual Property rights (including patents) covering the same, for any purpose; provided that in the event of sublicense, each Party shall make written notice to the other Party of the fact. This license shall continue for the life of the applicable right.</w:t>
      </w:r>
    </w:p>
    <w:p>
      <w:pPr>
        <w:spacing w:after="0" w:line="19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u w:val="single" w:color="auto"/>
          <w:color w:val="auto"/>
        </w:rPr>
        <w:t>SECTION 12</w:t>
      </w:r>
      <w:r>
        <w:rPr>
          <w:sz w:val="20"/>
          <w:szCs w:val="20"/>
          <w:color w:val="auto"/>
        </w:rPr>
        <w:tab/>
      </w:r>
      <w:r>
        <w:rPr>
          <w:rFonts w:ascii="Times New Roman" w:cs="Times New Roman" w:eastAsia="Times New Roman" w:hAnsi="Times New Roman"/>
          <w:sz w:val="16"/>
          <w:szCs w:val="16"/>
          <w:b w:val="1"/>
          <w:bCs w:val="1"/>
          <w:u w:val="single" w:color="auto"/>
          <w:color w:val="auto"/>
        </w:rPr>
        <w:t>WARRANTIES</w:t>
      </w:r>
      <w:r>
        <w:rPr>
          <w:rFonts w:ascii="Times New Roman" w:cs="Times New Roman" w:eastAsia="Times New Roman" w:hAnsi="Times New Roman"/>
          <w:sz w:val="16"/>
          <w:szCs w:val="16"/>
          <w:color w:val="auto"/>
        </w:rPr>
        <w:t>.</w:t>
      </w:r>
    </w:p>
    <w:p>
      <w:pPr>
        <w:spacing w:after="0" w:line="252" w:lineRule="exact"/>
        <w:rPr>
          <w:sz w:val="20"/>
          <w:szCs w:val="20"/>
          <w:color w:val="auto"/>
        </w:rPr>
      </w:pPr>
    </w:p>
    <w:p>
      <w:pPr>
        <w:ind w:left="340" w:right="40" w:hanging="323"/>
        <w:spacing w:after="0" w:line="259" w:lineRule="auto"/>
        <w:rPr>
          <w:sz w:val="20"/>
          <w:szCs w:val="20"/>
          <w:color w:val="auto"/>
        </w:rPr>
      </w:pP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 Parties General Warranties.</w:t>
      </w:r>
      <w:r>
        <w:rPr>
          <w:rFonts w:ascii="Times New Roman" w:cs="Times New Roman" w:eastAsia="Times New Roman" w:hAnsi="Times New Roman"/>
          <w:sz w:val="18"/>
          <w:szCs w:val="18"/>
          <w:color w:val="auto"/>
        </w:rPr>
        <w:t xml:space="preserve"> Each Party warrants and represents that: (i) it has the corporate power and authority to enter into this MSA and has taken all necessary action on its part required to authorize the execution, delivery and performance of this Agreement; (ii) it is aware of no legal, contractual or other restriction, limitation or condition that might adversely affect its ability to enter into this MSA and perform its obligations hereunder; (iii) it is duly organized, validly existing</w:t>
      </w:r>
    </w:p>
    <w:p>
      <w:pPr>
        <w:spacing w:after="0" w:line="49" w:lineRule="exact"/>
        <w:rPr>
          <w:sz w:val="20"/>
          <w:szCs w:val="20"/>
          <w:color w:val="auto"/>
        </w:rPr>
      </w:pPr>
    </w:p>
    <w:p>
      <w:pPr>
        <w:ind w:left="120" w:hanging="112"/>
        <w:spacing w:after="0"/>
        <w:tabs>
          <w:tab w:leader="none" w:pos="120" w:val="left"/>
        </w:tabs>
        <w:numPr>
          <w:ilvl w:val="0"/>
          <w:numId w:val="10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3" w:name="page144"/>
    <w:bookmarkEnd w:id="143"/>
    <w:p>
      <w:pPr>
        <w:ind w:left="340" w:right="20"/>
        <w:spacing w:after="0" w:line="305" w:lineRule="auto"/>
        <w:rPr>
          <w:sz w:val="20"/>
          <w:szCs w:val="20"/>
          <w:color w:val="auto"/>
        </w:rPr>
      </w:pPr>
      <w:r>
        <w:rPr>
          <w:rFonts w:ascii="Times New Roman" w:cs="Times New Roman" w:eastAsia="Times New Roman" w:hAnsi="Times New Roman"/>
          <w:sz w:val="16"/>
          <w:szCs w:val="16"/>
          <w:color w:val="auto"/>
        </w:rPr>
        <w:t>and in good standing under the laws of the jurisdiction in which it is incorporated; (iv) this MSA (a) has been duly executed and delivered by a duly authorized representative of it, and (b) is the legal, valid and binding obligation of it, enforceable against it in accordance with its terms, except as enforceability may be limited by applicable bankruptcy, insolvency, reorganization, moratorium or other similar laws now or hereafter in effect relating to or affecting creditors’ rights generally; and (v) the execution, delivery and performance of this Agreement by it does not and will not (a) violate any Applicable Laws applicable to it, or (b) violate or conflict with any provision of its Articles of Incorporation or By-laws or other organizational documents.</w:t>
      </w:r>
    </w:p>
    <w:p>
      <w:pPr>
        <w:spacing w:after="0" w:line="179" w:lineRule="exact"/>
        <w:rPr>
          <w:sz w:val="20"/>
          <w:szCs w:val="20"/>
          <w:color w:val="auto"/>
        </w:rPr>
      </w:pPr>
    </w:p>
    <w:p>
      <w:pPr>
        <w:ind w:left="340" w:right="20" w:hanging="323"/>
        <w:spacing w:after="0" w:line="29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Client’s Warranties</w:t>
      </w:r>
      <w:r>
        <w:rPr>
          <w:rFonts w:ascii="Times New Roman" w:cs="Times New Roman" w:eastAsia="Times New Roman" w:hAnsi="Times New Roman"/>
          <w:sz w:val="16"/>
          <w:szCs w:val="16"/>
          <w:color w:val="auto"/>
        </w:rPr>
        <w:t xml:space="preserve">. Client represents, warrants and covenants to </w:t>
      </w:r>
      <w:hyperlink w:anchor="page144">
        <w:r>
          <w:rPr>
            <w:rFonts w:ascii="Times New Roman" w:cs="Times New Roman" w:eastAsia="Times New Roman" w:hAnsi="Times New Roman"/>
            <w:sz w:val="11"/>
            <w:szCs w:val="11"/>
            <w:u w:val="single" w:color="auto"/>
            <w:color w:val="0000EE"/>
          </w:rPr>
          <w:t>*</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that as of the Effective Date of the MSA and during the Term: (a) Client will comply with all Applicable Laws, and that it will keep * informed of any information known to Client which would affect *’s provision of the Service hereunder and</w:t>
      </w:r>
    </w:p>
    <w:p>
      <w:pPr>
        <w:ind w:left="340" w:right="420" w:hanging="8"/>
        <w:spacing w:after="0" w:line="261" w:lineRule="auto"/>
        <w:tabs>
          <w:tab w:leader="none" w:pos="57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*’s use of the Client Materials, Manufacturing Process, and Client Technology for the purpose of the Service and to the extent as set forth in the MSA will not infringe any third party’s Intellectual Property rights.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 Warranties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 represents, warrants and covenants that:</w:t>
      </w:r>
    </w:p>
    <w:p>
      <w:pPr>
        <w:spacing w:after="0" w:line="254"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18"/>
          <w:szCs w:val="18"/>
          <w:u w:val="single" w:color="auto"/>
          <w:color w:val="auto"/>
        </w:rPr>
        <w:t>12.3.1</w:t>
      </w:r>
      <w:r>
        <w:rPr>
          <w:rFonts w:ascii="Times New Roman" w:cs="Times New Roman" w:eastAsia="Times New Roman" w:hAnsi="Times New Roman"/>
          <w:sz w:val="18"/>
          <w:szCs w:val="18"/>
          <w:color w:val="auto"/>
        </w:rPr>
        <w:t xml:space="preserve"> As of the Effective Date and during the Term, (i) * is the lawful owner, lessee, operator, or licensee of the Facility, equipment, machinery, as well as permissions required, to enable * to perform its obligations under this MSA, and (ii) to the best of *’s knowledge none of the * Inventions or * Background IP infringes any third party Intellectual Property Right.</w:t>
      </w:r>
    </w:p>
    <w:p>
      <w:pPr>
        <w:spacing w:after="0" w:line="213" w:lineRule="exact"/>
        <w:rPr>
          <w:sz w:val="20"/>
          <w:szCs w:val="20"/>
          <w:color w:val="auto"/>
        </w:rPr>
      </w:pPr>
    </w:p>
    <w:p>
      <w:pPr>
        <w:ind w:left="660"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12.3.2</w:t>
      </w:r>
      <w:r>
        <w:rPr>
          <w:rFonts w:ascii="Times New Roman" w:cs="Times New Roman" w:eastAsia="Times New Roman" w:hAnsi="Times New Roman"/>
          <w:sz w:val="18"/>
          <w:szCs w:val="18"/>
          <w:color w:val="auto"/>
        </w:rPr>
        <w:t xml:space="preserve"> All Product Batches, at the time of delivery to Client’s designated carrier, shall (a) conform to the Specifications (except for Pilot Batches and Engineering Batches unless otherwise agreed); (b) be Manufactured, packaged, handled and stored in compliance with the requirements of cGMPs (except for Pilot Batches and Engineering Batches unless otherwise agreed) and all Applicable Laws; (c) comply with the Standard Operating Procedures; (d) be Manufactured in compliance with the Quality Agreement; and (e) be transferred free and clear of any liens, claims or encumbrances of any kind.</w:t>
      </w:r>
    </w:p>
    <w:p>
      <w:pPr>
        <w:spacing w:after="0" w:line="220" w:lineRule="exact"/>
        <w:rPr>
          <w:sz w:val="20"/>
          <w:szCs w:val="20"/>
          <w:color w:val="auto"/>
        </w:rPr>
      </w:pPr>
    </w:p>
    <w:p>
      <w:pPr>
        <w:ind w:left="660" w:right="120"/>
        <w:spacing w:after="0" w:line="255" w:lineRule="auto"/>
        <w:rPr>
          <w:sz w:val="20"/>
          <w:szCs w:val="20"/>
          <w:color w:val="auto"/>
        </w:rPr>
      </w:pPr>
      <w:r>
        <w:rPr>
          <w:rFonts w:ascii="Times New Roman" w:cs="Times New Roman" w:eastAsia="Times New Roman" w:hAnsi="Times New Roman"/>
          <w:sz w:val="18"/>
          <w:szCs w:val="18"/>
          <w:u w:val="single" w:color="auto"/>
          <w:color w:val="auto"/>
        </w:rPr>
        <w:t>12.3.3</w:t>
      </w:r>
      <w:r>
        <w:rPr>
          <w:rFonts w:ascii="Times New Roman" w:cs="Times New Roman" w:eastAsia="Times New Roman" w:hAnsi="Times New Roman"/>
          <w:sz w:val="18"/>
          <w:szCs w:val="18"/>
          <w:color w:val="auto"/>
        </w:rPr>
        <w:t xml:space="preserve"> (i) * is not nor has it ever been, and (ii) * has not used, and will not use, the services of any person excluded, debarred, suspended (or subject to exclusion, debarment or suspension) under 21 U.S.C. §335(a) or (b) or otherwise disqualified by Applicable Law, including, the FDA Debarment List (</w:t>
      </w:r>
      <w:r>
        <w:rPr>
          <w:rFonts w:ascii="Times New Roman" w:cs="Times New Roman" w:eastAsia="Times New Roman" w:hAnsi="Times New Roman"/>
          <w:sz w:val="18"/>
          <w:szCs w:val="18"/>
          <w:u w:val="single" w:color="auto"/>
          <w:color w:val="auto"/>
        </w:rPr>
        <w:t>http://www.fda.gov/ora/compliance_ref/debar/default.htm</w:t>
      </w:r>
      <w:r>
        <w:rPr>
          <w:rFonts w:ascii="Times New Roman" w:cs="Times New Roman" w:eastAsia="Times New Roman" w:hAnsi="Times New Roman"/>
          <w:sz w:val="18"/>
          <w:szCs w:val="18"/>
          <w:color w:val="auto"/>
        </w:rPr>
        <w:t>), as amended or replaced from time to time, in connection with any of the Services or Manufacturing performed under this MSA or any PSA. * agrees to notify Client promptly in the event of any violation of *’s obligations under this Section. This certification applies to * and its respective officers, agents, and employees as well as subcontractors performing on behalf of * under this Agreement.</w:t>
      </w:r>
    </w:p>
    <w:p>
      <w:pPr>
        <w:spacing w:after="0" w:line="218" w:lineRule="exact"/>
        <w:rPr>
          <w:sz w:val="20"/>
          <w:szCs w:val="20"/>
          <w:color w:val="auto"/>
        </w:rPr>
      </w:pPr>
    </w:p>
    <w:p>
      <w:pPr>
        <w:ind w:left="500" w:hanging="485"/>
        <w:spacing w:after="0" w:line="257"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12.4</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No Other Warranties. </w:t>
      </w:r>
      <w:r>
        <w:rPr>
          <w:rFonts w:ascii="Times New Roman" w:cs="Times New Roman" w:eastAsia="Times New Roman" w:hAnsi="Times New Roman"/>
          <w:sz w:val="18"/>
          <w:szCs w:val="18"/>
          <w:color w:val="auto"/>
        </w:rPr>
        <w:t>THE REPRESENTATIONS AND WARRANTIES CONTAINED IN THIS SECTION ARE EXPRESSLY IN LIEU OF AND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EXCLUDE, AND THE PARTIES HEREBY EXPRESSLY DISCLAIM AND NEGATE, TO THE MAXIMUM EXTENT PERMITTED BY APPLICABLE LAWS, ALL OTHER REPRESENTATIONS AND WARRANTIES OF ANY KIND, EXPRESS OR IMPLIED (ARISING BY OPERATION OF LAW OR OTHERWISE), INCLUDING IMPLIED WARRANTIES OF MERCHANTABILITY AND FITNESS FOR A PARTICULAR PURPOSE, EVEN IF THAT PURPOSE IS KNOWN.</w:t>
      </w:r>
    </w:p>
    <w:p>
      <w:pPr>
        <w:spacing w:after="0" w:line="50" w:lineRule="exact"/>
        <w:rPr>
          <w:sz w:val="20"/>
          <w:szCs w:val="20"/>
          <w:color w:val="auto"/>
        </w:rPr>
      </w:pPr>
    </w:p>
    <w:p>
      <w:pPr>
        <w:ind w:left="120" w:hanging="112"/>
        <w:spacing w:after="0"/>
        <w:tabs>
          <w:tab w:leader="none" w:pos="120" w:val="left"/>
        </w:tabs>
        <w:numPr>
          <w:ilvl w:val="0"/>
          <w:numId w:val="1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4" w:name="page145"/>
    <w:bookmarkEnd w:id="144"/>
    <w:p>
      <w:pPr>
        <w:spacing w:after="0"/>
        <w:tabs>
          <w:tab w:leader="none" w:pos="1740" w:val="left"/>
        </w:tabs>
        <w:rPr>
          <w:sz w:val="20"/>
          <w:szCs w:val="20"/>
          <w:color w:val="auto"/>
        </w:rPr>
      </w:pPr>
      <w:r>
        <w:rPr>
          <w:rFonts w:ascii="Times New Roman" w:cs="Times New Roman" w:eastAsia="Times New Roman" w:hAnsi="Times New Roman"/>
          <w:sz w:val="18"/>
          <w:szCs w:val="18"/>
          <w:b w:val="1"/>
          <w:bCs w:val="1"/>
          <w:u w:val="single" w:color="auto"/>
          <w:color w:val="auto"/>
        </w:rPr>
        <w:t>SECTION 13</w:t>
      </w:r>
      <w:r>
        <w:rPr>
          <w:sz w:val="20"/>
          <w:szCs w:val="20"/>
          <w:color w:val="auto"/>
        </w:rPr>
        <w:tab/>
      </w:r>
      <w:r>
        <w:rPr>
          <w:rFonts w:ascii="Times New Roman" w:cs="Times New Roman" w:eastAsia="Times New Roman" w:hAnsi="Times New Roman"/>
          <w:sz w:val="16"/>
          <w:szCs w:val="16"/>
          <w:b w:val="1"/>
          <w:bCs w:val="1"/>
          <w:u w:val="single" w:color="auto"/>
          <w:color w:val="auto"/>
        </w:rPr>
        <w:t>INDEMNIFICATION</w:t>
      </w:r>
    </w:p>
    <w:p>
      <w:pPr>
        <w:spacing w:after="0" w:line="158" w:lineRule="exact"/>
        <w:rPr>
          <w:sz w:val="20"/>
          <w:szCs w:val="20"/>
          <w:color w:val="auto"/>
        </w:rPr>
      </w:pPr>
    </w:p>
    <w:p>
      <w:pPr>
        <w:ind w:left="500" w:right="240" w:hanging="451"/>
        <w:spacing w:after="0" w:line="260" w:lineRule="auto"/>
        <w:tabs>
          <w:tab w:leader="none" w:pos="480" w:val="left"/>
        </w:tabs>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u w:val="single" w:color="auto"/>
          <w:color w:val="auto"/>
        </w:rPr>
        <w:t>13.1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Indemnification by *. </w:t>
      </w:r>
      <w:hyperlink w:anchor="page145">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color w:val="auto"/>
        </w:rPr>
        <w:t>shall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indemnify and hold harmless Client, its Affiliates, and their respective officers, directors, employees or agents from and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against any Damages arising or resulting from any third party (which shall exclude Client Affiliates) claims to the extent such Damages are relating to, arising out of, in connection with, or resulting from claims, demands, or actions based upon (i) gross negligence or willful misconduct; (ii) breach of the MSA or any PSA; (iii) violation of Applicable Law, in the case of clauses (i) through (iii) of or by * or its officers, directors, employees or agents, including any subcontractor or vendor used in the Manufacture of Product, or (iv) any claim that *’s use of * Background IP infringes any third party’s Intellectual Property rights, except to the extent that such Damages are caused by the causes as set forth in Section 13.2 for which Client is obliged to indemnify.</w:t>
      </w:r>
    </w:p>
    <w:p>
      <w:pPr>
        <w:spacing w:after="0" w:line="119" w:lineRule="exact"/>
        <w:rPr>
          <w:sz w:val="20"/>
          <w:szCs w:val="20"/>
          <w:color w:val="auto"/>
        </w:rPr>
      </w:pPr>
    </w:p>
    <w:p>
      <w:pPr>
        <w:ind w:left="50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13.2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Indemnification by Client. </w:t>
      </w:r>
      <w:r>
        <w:rPr>
          <w:rFonts w:ascii="Times New Roman" w:cs="Times New Roman" w:eastAsia="Times New Roman" w:hAnsi="Times New Roman"/>
          <w:sz w:val="18"/>
          <w:szCs w:val="18"/>
          <w:color w:val="auto"/>
        </w:rPr>
        <w:t>Client shall indemnify and hold harmless *, its Affiliates, and their respective officers, directors, employees or agents from</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and against any Damages arising or resulting from any third party (which shall exclude * Affiliates) claims to the extent such Damages are relating to, arising out of, in connection with, or resulting from claims, demands or actions based upon (i) gross negligence or willful misconduct, (ii) any claim that *’s use of the Client Materials, Manufacturing Process, and Client Technology for the purpose of the Services and solely to the extent as set forth in the MSA infringes any third party’s Intellectual Property rights, (iii) breach of the MSA or any PSA, or (iv) violation of Applicable Law, in each case except to the extent that such Damages are caused by the causes as set forth in Section 13.1 for which * is obliged to indemnify and in the case of clauses (i), (iii), and (iv) of or by Client or its officers, directors, employees, or agents.</w:t>
      </w:r>
    </w:p>
    <w:p>
      <w:pPr>
        <w:spacing w:after="0" w:line="189" w:lineRule="exact"/>
        <w:rPr>
          <w:sz w:val="20"/>
          <w:szCs w:val="20"/>
          <w:color w:val="auto"/>
        </w:rPr>
      </w:pPr>
    </w:p>
    <w:p>
      <w:pPr>
        <w:ind w:left="500" w:right="60" w:hanging="485"/>
        <w:spacing w:after="0" w:line="287"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13.3</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Indemnification Procedure. </w:t>
      </w:r>
      <w:r>
        <w:rPr>
          <w:rFonts w:ascii="Times New Roman" w:cs="Times New Roman" w:eastAsia="Times New Roman" w:hAnsi="Times New Roman"/>
          <w:sz w:val="16"/>
          <w:szCs w:val="16"/>
          <w:color w:val="auto"/>
        </w:rPr>
        <w:t>The foregoing indemnification by * or Client shall be conditioned, if and to the extent Damages are based on or related to a</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third party claim, upon a Party who intends to claim indemnification under Sections 13.1 and 13.2 (the “</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(i) providing written notice to the other Party (“</w:t>
      </w:r>
      <w:r>
        <w:rPr>
          <w:rFonts w:ascii="Times New Roman" w:cs="Times New Roman" w:eastAsia="Times New Roman" w:hAnsi="Times New Roman"/>
          <w:sz w:val="16"/>
          <w:szCs w:val="16"/>
          <w:b w:val="1"/>
          <w:bCs w:val="1"/>
          <w:color w:val="auto"/>
        </w:rPr>
        <w:t>Indemnifying Party</w:t>
      </w:r>
      <w:r>
        <w:rPr>
          <w:rFonts w:ascii="Times New Roman" w:cs="Times New Roman" w:eastAsia="Times New Roman" w:hAnsi="Times New Roman"/>
          <w:sz w:val="16"/>
          <w:szCs w:val="16"/>
          <w:color w:val="auto"/>
        </w:rPr>
        <w:t xml:space="preserve">”) within twenty (20) calendar days after the Indemnified Party have been given written notice of such third party claim, provided that absence or delay of such prior written notice will not relieve the Indemnifying Party of its obligation to indemnify except to the extent such absence or delay materially prejudices the Indemnifying Party’s ability to defend the third party claim; (ii) permitting the Indemnifying Party, upon timely notice by the Indemnified Party, the opportunity to assume full responsibility (at the Indemnifying Party’s cost and expense) for the investigation and defense of any such claim with counsel reasonably satisfactory to the Indemnified Party,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the Indemnifying Party shall keep the Indemnified Party informed as to the progress of the defense of any claim and that the Indemnified Party shall cooperate in such defense and shall make available all records, materials and witness reasonably requested by the Indemnifying Party in connection therewith; and (iii) not settling or compromising any such claim without the Indemnifying Party’s prior written consent, with such consent not to be unreasonably denied, withheld or conditioned. Furthermore, the Indemnifying Party shall not settle or compromise any such claim without the Indemnified Party’s prior written consent; provided, however, no such consent shall be required if such settlement or compromise involves only the payment of money, does not require a finding or admission of fault or guild on the party of the Indemnified Party, and provides for a general release of the Indemnified Party.</w:t>
      </w:r>
    </w:p>
    <w:p>
      <w:pPr>
        <w:spacing w:after="0" w:line="247" w:lineRule="exact"/>
        <w:rPr>
          <w:sz w:val="20"/>
          <w:szCs w:val="20"/>
          <w:color w:val="auto"/>
        </w:rPr>
      </w:pPr>
    </w:p>
    <w:p>
      <w:pPr>
        <w:ind w:left="120" w:hanging="112"/>
        <w:spacing w:after="0"/>
        <w:tabs>
          <w:tab w:leader="none" w:pos="120" w:val="left"/>
        </w:tabs>
        <w:numPr>
          <w:ilvl w:val="0"/>
          <w:numId w:val="10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145" w:name="page146"/>
    <w:bookmarkEnd w:id="145"/>
    <w:p>
      <w:pPr>
        <w:spacing w:after="0"/>
        <w:tabs>
          <w:tab w:leader="none" w:pos="1440" w:val="left"/>
        </w:tabs>
        <w:rPr>
          <w:sz w:val="20"/>
          <w:szCs w:val="20"/>
          <w:color w:val="auto"/>
        </w:rPr>
      </w:pPr>
      <w:r>
        <w:rPr>
          <w:rFonts w:ascii="Times New Roman" w:cs="Times New Roman" w:eastAsia="Times New Roman" w:hAnsi="Times New Roman"/>
          <w:sz w:val="22"/>
          <w:szCs w:val="22"/>
          <w:b w:val="1"/>
          <w:bCs w:val="1"/>
          <w:u w:val="single" w:color="auto"/>
          <w:color w:val="auto"/>
        </w:rPr>
        <w:t>SECTION 14</w:t>
      </w:r>
      <w:r>
        <w:rPr>
          <w:sz w:val="20"/>
          <w:szCs w:val="20"/>
          <w:color w:val="auto"/>
        </w:rPr>
        <w:tab/>
      </w:r>
      <w:r>
        <w:rPr>
          <w:rFonts w:ascii="Times New Roman" w:cs="Times New Roman" w:eastAsia="Times New Roman" w:hAnsi="Times New Roman"/>
          <w:sz w:val="21"/>
          <w:szCs w:val="21"/>
          <w:b w:val="1"/>
          <w:bCs w:val="1"/>
          <w:u w:val="single" w:color="auto"/>
          <w:color w:val="auto"/>
        </w:rPr>
        <w:t>DISCLAIMER OF CONSEQUENTIAL DAMAGES: LIMITATION OF LIABILITY</w:t>
      </w:r>
    </w:p>
    <w:p>
      <w:pPr>
        <w:spacing w:after="0" w:line="221" w:lineRule="exact"/>
        <w:rPr>
          <w:sz w:val="20"/>
          <w:szCs w:val="20"/>
          <w:color w:val="auto"/>
        </w:rPr>
      </w:pPr>
    </w:p>
    <w:p>
      <w:pPr>
        <w:ind w:left="500" w:right="100" w:hanging="485"/>
        <w:spacing w:after="0" w:line="257"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14.1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Disclaimer of Consequential Damages. </w:t>
      </w:r>
      <w:r>
        <w:rPr>
          <w:rFonts w:ascii="Times New Roman" w:cs="Times New Roman" w:eastAsia="Times New Roman" w:hAnsi="Times New Roman"/>
          <w:sz w:val="18"/>
          <w:szCs w:val="18"/>
          <w:color w:val="auto"/>
        </w:rPr>
        <w:t>EXCEPT FOR DAMAGES BASED ON OR RELATED TO A THIRD PARTY CLAIM ARISING UNDER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SECTIONS 13.1 AND 13.2, OR BASED ON GROSS NEGLIGENCE OR WILLFUL MISCONDUCT, NEITHER PARTY WILL BE LIABLE UNDER THIS AGREEMENT FOR ANY SPECIAL, PUNITIVE, CONSEQUENTIAL, INCIDENTAL OR OTHER INDIRECT DAMAGES OF ANY TYPE OR NATURE, WHETHER BASED IN CONTRACT, TORT, STRICT LIABILITY, NEGLIGENCE OR OTHERWISE, INCLUDING LOSS OF PROFITS OR REVENUES.</w:t>
      </w:r>
    </w:p>
    <w:p>
      <w:pPr>
        <w:spacing w:after="0" w:line="18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u w:val="single" w:color="auto"/>
          <w:color w:val="auto"/>
        </w:rPr>
        <w:t>14.2</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Limitation of Liability. </w:t>
      </w:r>
      <w:r>
        <w:rPr>
          <w:rFonts w:ascii="Times New Roman" w:cs="Times New Roman" w:eastAsia="Times New Roman" w:hAnsi="Times New Roman"/>
          <w:sz w:val="16"/>
          <w:szCs w:val="16"/>
          <w:color w:val="auto"/>
        </w:rPr>
        <w:t>Specific caps on Damages shall be set forth in the applicable PSA.</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u w:val="single" w:color="auto"/>
          <w:color w:val="auto"/>
        </w:rPr>
        <w:t>SECTION 15</w:t>
      </w:r>
      <w:r>
        <w:rPr>
          <w:sz w:val="20"/>
          <w:szCs w:val="20"/>
          <w:color w:val="auto"/>
        </w:rPr>
        <w:tab/>
      </w:r>
      <w:r>
        <w:rPr>
          <w:rFonts w:ascii="Times New Roman" w:cs="Times New Roman" w:eastAsia="Times New Roman" w:hAnsi="Times New Roman"/>
          <w:sz w:val="16"/>
          <w:szCs w:val="16"/>
          <w:b w:val="1"/>
          <w:bCs w:val="1"/>
          <w:u w:val="single" w:color="auto"/>
          <w:color w:val="auto"/>
        </w:rPr>
        <w:t>TERM AND TERMINATION OF AGREEMENT</w:t>
      </w:r>
    </w:p>
    <w:p>
      <w:pPr>
        <w:spacing w:after="0" w:line="225" w:lineRule="exact"/>
        <w:rPr>
          <w:sz w:val="20"/>
          <w:szCs w:val="20"/>
          <w:color w:val="auto"/>
        </w:rPr>
      </w:pPr>
    </w:p>
    <w:p>
      <w:pPr>
        <w:ind w:left="50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15.1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Term. </w:t>
      </w:r>
      <w:r>
        <w:rPr>
          <w:rFonts w:ascii="Times New Roman" w:cs="Times New Roman" w:eastAsia="Times New Roman" w:hAnsi="Times New Roman"/>
          <w:sz w:val="18"/>
          <w:szCs w:val="18"/>
          <w:color w:val="auto"/>
        </w:rPr>
        <w:t>This MSA will become effective as of the Effective Date and will be in effect for as long as a PSA is in effect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Each PSA will have its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own initial term as stated therein. Each PSA for clinical supply shall automatically renew for successive terms of one (1) year each or upon execution of a PSA for commercial supply, whichever is earlier, and each PSA for commercial supply, including supply of stocking inventories in advance of Regulatory Approval, shall automatically renew for successive terms of three (3) years each, unless a Party gives written notice to the other Party of its intention to not renew a PSA for clinical supply ninety (90) days prior to the end of the then current PSA term, or a Party gives written notice to the other Party of its intention to not renew a PSA for commercial supply thirty-six (36) months prior to the end of the then current PSA term.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MSA or a PSA may be earlier terminated as set forth in this Section 15.2.</w:t>
      </w:r>
    </w:p>
    <w:p>
      <w:pPr>
        <w:spacing w:after="0" w:line="252" w:lineRule="exact"/>
        <w:rPr>
          <w:sz w:val="20"/>
          <w:szCs w:val="20"/>
          <w:color w:val="auto"/>
        </w:rPr>
      </w:pPr>
    </w:p>
    <w:p>
      <w:pPr>
        <w:ind w:left="340" w:right="200"/>
        <w:spacing w:after="0" w:line="302" w:lineRule="auto"/>
        <w:rPr>
          <w:sz w:val="20"/>
          <w:szCs w:val="20"/>
          <w:color w:val="auto"/>
        </w:rPr>
      </w:pPr>
      <w:r>
        <w:rPr>
          <w:rFonts w:ascii="Times New Roman" w:cs="Times New Roman" w:eastAsia="Times New Roman" w:hAnsi="Times New Roman"/>
          <w:sz w:val="16"/>
          <w:szCs w:val="16"/>
          <w:u w:val="single" w:color="auto"/>
          <w:color w:val="auto"/>
        </w:rPr>
        <w:t>15.2.1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Material Breach</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A Party may terminate any PSA for a material breach by the other Party; provided, however, that the non-breaching Party shall give the breaching Party written notice of such breach and if the breaching Party fails to commence Commercially Reasonable Efforts to cure that breach within twenty (20) Business Days after receipt of such written notice, then the non-breaching Party may terminate this Agreement on twenty (20) Business Days’ written notice after expiration of such twenty (20) Business Day period. This MSA shall terminate if all effective PSAs are terminated.</w:t>
      </w:r>
    </w:p>
    <w:p>
      <w:pPr>
        <w:spacing w:after="0" w:line="181" w:lineRule="exact"/>
        <w:rPr>
          <w:sz w:val="20"/>
          <w:szCs w:val="20"/>
          <w:color w:val="auto"/>
        </w:rPr>
      </w:pPr>
    </w:p>
    <w:p>
      <w:pPr>
        <w:ind w:left="340" w:right="280"/>
        <w:spacing w:after="0" w:line="257" w:lineRule="auto"/>
        <w:rPr>
          <w:sz w:val="20"/>
          <w:szCs w:val="20"/>
          <w:color w:val="auto"/>
        </w:rPr>
      </w:pPr>
      <w:r>
        <w:rPr>
          <w:rFonts w:ascii="Times New Roman" w:cs="Times New Roman" w:eastAsia="Times New Roman" w:hAnsi="Times New Roman"/>
          <w:sz w:val="18"/>
          <w:szCs w:val="18"/>
          <w:u w:val="single" w:color="auto"/>
          <w:color w:val="auto"/>
        </w:rPr>
        <w:t>15.2.2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Insolvency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MSA may be terminated by either Party upon written notice at any time during the MSA if the other Party: (a) files in any court pursuant to any statute a petition in bankruptcy or insolvency or for reorganization or for an arrangement or for the appointment of a receiver or trustee of such Party, or of its assets; (b) proposes a written agreement of composition for extension of its debts; (c) is served with an involuntary petition against it, filed in any insolvency proceeding which is admitted in the court; or (d) makes an assignment for the benefit of its creditors. The Party affected shall immediately notify the other Party in writing of the occurrence of any of the foregoing events.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46" w:name="page147"/>
    <w:bookmarkEnd w:id="146"/>
    <w:p>
      <w:pPr>
        <w:ind w:left="340" w:right="100"/>
        <w:spacing w:after="0" w:line="277" w:lineRule="auto"/>
        <w:rPr>
          <w:sz w:val="20"/>
          <w:szCs w:val="20"/>
          <w:color w:val="auto"/>
        </w:rPr>
      </w:pPr>
      <w:r>
        <w:rPr>
          <w:rFonts w:ascii="Times New Roman" w:cs="Times New Roman" w:eastAsia="Times New Roman" w:hAnsi="Times New Roman"/>
          <w:sz w:val="18"/>
          <w:szCs w:val="18"/>
          <w:u w:val="single" w:color="auto"/>
          <w:color w:val="auto"/>
        </w:rPr>
        <w:t>15.2.3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Either Party may terminate a PSA in accordance with Section 17.3 in the event a Party is unable to perform its obligations pursuant to a PSA due to a Force Majeure Event.</w:t>
      </w:r>
    </w:p>
    <w:p>
      <w:pPr>
        <w:spacing w:after="0" w:line="170" w:lineRule="exact"/>
        <w:rPr>
          <w:sz w:val="20"/>
          <w:szCs w:val="20"/>
          <w:color w:val="auto"/>
        </w:rPr>
      </w:pPr>
    </w:p>
    <w:p>
      <w:pPr>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15.2.4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Import Failure</w:t>
      </w:r>
      <w:r>
        <w:rPr>
          <w:rFonts w:ascii="Times New Roman" w:cs="Times New Roman" w:eastAsia="Times New Roman" w:hAnsi="Times New Roman"/>
          <w:sz w:val="18"/>
          <w:szCs w:val="18"/>
          <w:color w:val="auto"/>
        </w:rPr>
        <w:t xml:space="preserve">. Client shall be entitled to terminate a PSA upon twenty (20) Business Days’ notice to </w:t>
      </w:r>
      <w:hyperlink w:anchor="page147">
        <w:r>
          <w:rPr>
            <w:rFonts w:ascii="Times New Roman" w:cs="Times New Roman" w:eastAsia="Times New Roman" w:hAnsi="Times New Roman"/>
            <w:sz w:val="12"/>
            <w:szCs w:val="12"/>
            <w:u w:val="single" w:color="auto"/>
            <w:color w:val="0000EE"/>
          </w:rPr>
          <w:t>*</w:t>
        </w:r>
      </w:hyperlink>
      <w:r>
        <w:rPr>
          <w:rFonts w:ascii="Times New Roman" w:cs="Times New Roman" w:eastAsia="Times New Roman" w:hAnsi="Times New Roman"/>
          <w:sz w:val="18"/>
          <w:szCs w:val="18"/>
          <w:color w:val="auto"/>
        </w:rPr>
        <w:t xml:space="preserve">, if, despite the efforts of * pursuant to Section 5.4.1, Client Material destined for use in connection with the Services have been prohibited from entry into the Republic of South Korea by the Korean Custom Service. Such termination right shall only exist if such Client Materials have been denied entry and shall not be implicated by mere delays in the importation process. If such termination relates to efforts to import into the Republic of Korea Client Materials for the initial Batch of a Product under a PSA, the applicable PSA shall be deemed to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without further cost or expense to either Party; provided, however, the Party’s thereafter shall reasonably cooperate with regard to disposition of such Client Materials at the cost of Client.</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15.2.5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Other Specified Events</w:t>
      </w:r>
      <w:r>
        <w:rPr>
          <w:rFonts w:ascii="Times New Roman" w:cs="Times New Roman" w:eastAsia="Times New Roman" w:hAnsi="Times New Roman"/>
          <w:sz w:val="18"/>
          <w:szCs w:val="18"/>
          <w:color w:val="auto"/>
        </w:rPr>
        <w:t>. The Parties may additionally terminate a PSA as set forth in the applicable PSA.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17"/>
          <w:szCs w:val="17"/>
          <w:u w:val="single" w:color="auto"/>
          <w:color w:val="auto"/>
        </w:rPr>
        <w:t>5.3</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17"/>
          <w:szCs w:val="17"/>
          <w:b w:val="1"/>
          <w:bCs w:val="1"/>
          <w:u w:val="single" w:color="auto"/>
          <w:color w:val="auto"/>
        </w:rPr>
        <w:t>Effect of Expiration or Termination</w:t>
      </w:r>
      <w:r>
        <w:rPr>
          <w:rFonts w:ascii="Times New Roman" w:cs="Times New Roman" w:eastAsia="Times New Roman" w:hAnsi="Times New Roman"/>
          <w:sz w:val="17"/>
          <w:szCs w:val="17"/>
          <w:u w:val="single" w:color="auto"/>
          <w:color w:val="auto"/>
        </w:rPr>
        <w:t>.</w:t>
      </w:r>
    </w:p>
    <w:p>
      <w:pPr>
        <w:spacing w:after="0" w:line="215" w:lineRule="exact"/>
        <w:rPr>
          <w:sz w:val="20"/>
          <w:szCs w:val="20"/>
          <w:color w:val="auto"/>
        </w:rPr>
      </w:pPr>
    </w:p>
    <w:p>
      <w:pPr>
        <w:jc w:val="both"/>
        <w:ind w:left="340" w:right="80"/>
        <w:spacing w:after="0" w:line="264" w:lineRule="auto"/>
        <w:rPr>
          <w:sz w:val="20"/>
          <w:szCs w:val="20"/>
          <w:color w:val="auto"/>
        </w:rPr>
      </w:pPr>
      <w:r>
        <w:rPr>
          <w:rFonts w:ascii="Times New Roman" w:cs="Times New Roman" w:eastAsia="Times New Roman" w:hAnsi="Times New Roman"/>
          <w:sz w:val="18"/>
          <w:szCs w:val="18"/>
          <w:u w:val="single" w:color="auto"/>
          <w:color w:val="auto"/>
        </w:rPr>
        <w:t>15.3.1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Payment of Amounts Due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Expiration or termination of the MSA or PSA for any reason shall not exempt any Party from paying to any other Party any amounts owing to such Party at the time of such expiration or termination; provided, however, with respect to a termination deemed to be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up-front fee paid to * shall not be deemed earned and shall be returned to Client.</w:t>
      </w:r>
    </w:p>
    <w:p>
      <w:pPr>
        <w:spacing w:after="0" w:line="208" w:lineRule="exact"/>
        <w:rPr>
          <w:sz w:val="20"/>
          <w:szCs w:val="20"/>
          <w:color w:val="auto"/>
        </w:rPr>
      </w:pPr>
    </w:p>
    <w:p>
      <w:pPr>
        <w:ind w:left="340" w:right="40"/>
        <w:spacing w:after="0" w:line="264" w:lineRule="auto"/>
        <w:rPr>
          <w:sz w:val="20"/>
          <w:szCs w:val="20"/>
          <w:color w:val="auto"/>
        </w:rPr>
      </w:pPr>
      <w:r>
        <w:rPr>
          <w:rFonts w:ascii="Times New Roman" w:cs="Times New Roman" w:eastAsia="Times New Roman" w:hAnsi="Times New Roman"/>
          <w:sz w:val="18"/>
          <w:szCs w:val="18"/>
          <w:u w:val="single" w:color="auto"/>
          <w:color w:val="auto"/>
        </w:rPr>
        <w:t>15.3.2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Decommissioning</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Upon expiration or termination of a PSA for any reason, * shall cease and refrain from the Services described in any applicable PSA (including the Manufacturing and supplying the Product) for Client unless otherwise provided in the following Sections 15.3.2(a) to 15.3.2(d), and both Parties shall pursue decommissioning activities as set forth hereunder.</w:t>
      </w:r>
    </w:p>
    <w:p>
      <w:pPr>
        <w:spacing w:after="0" w:line="208" w:lineRule="exact"/>
        <w:rPr>
          <w:sz w:val="20"/>
          <w:szCs w:val="20"/>
          <w:color w:val="auto"/>
        </w:rPr>
      </w:pPr>
    </w:p>
    <w:p>
      <w:pPr>
        <w:ind w:left="900" w:hanging="244"/>
        <w:spacing w:after="0"/>
        <w:tabs>
          <w:tab w:leader="none" w:pos="900"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Fully Manufactured Product.</w:t>
      </w:r>
    </w:p>
    <w:p>
      <w:pPr>
        <w:spacing w:after="0" w:line="254" w:lineRule="exact"/>
        <w:rPr>
          <w:rFonts w:ascii="Times New Roman" w:cs="Times New Roman" w:eastAsia="Times New Roman" w:hAnsi="Times New Roman"/>
          <w:sz w:val="18"/>
          <w:szCs w:val="18"/>
          <w:b w:val="1"/>
          <w:bCs w:val="1"/>
          <w:color w:val="auto"/>
        </w:rPr>
      </w:pPr>
    </w:p>
    <w:p>
      <w:pPr>
        <w:ind w:left="820" w:right="60" w:hanging="2"/>
        <w:spacing w:after="0" w:line="265" w:lineRule="auto"/>
        <w:tabs>
          <w:tab w:leader="none" w:pos="103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Client terminates a PSA pursuant to Section 15.2.1, 15.2.2, 15.2.3, 15.2.4 or 15.2.5, upon Client’s election, * shall (i) deliver already fully Manufactured Product to Client in accordance with the terms and conditions of the MSA and applicable PSA or (ii) destroy such Product. If Client elected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Client shall pay the Service Fees and any related costs or fees for the Service relating to such Product in accordance with the terms and conditions of the MSA and applicable PSA, and if Client elected (ii) above, * shall bear the costs and expenses for such destruction, except in the case of Section 15.2.4 or Section 15.2.5 for which destruction Client shall pay the cost</w:t>
      </w:r>
      <w:r>
        <w:rPr>
          <w:rFonts w:ascii="Times New Roman" w:cs="Times New Roman" w:eastAsia="Times New Roman" w:hAnsi="Times New Roman"/>
          <w:sz w:val="21"/>
          <w:szCs w:val="21"/>
          <w:color w:val="auto"/>
        </w:rPr>
        <w:t>.</w:t>
      </w:r>
    </w:p>
    <w:p>
      <w:pPr>
        <w:spacing w:after="0" w:line="8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Confidential material redacted and filed separately with the Commission.</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5" w:right="279" w:bottom="1440" w:gutter="0" w:footer="0" w:header="0"/>
        </w:sectPr>
      </w:pPr>
    </w:p>
    <w:bookmarkStart w:id="147" w:name="page148"/>
    <w:bookmarkEnd w:id="147"/>
    <w:p>
      <w:pPr>
        <w:ind w:left="620" w:hanging="4"/>
        <w:spacing w:after="0" w:line="255" w:lineRule="auto"/>
        <w:tabs>
          <w:tab w:leader="none" w:pos="879"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t>
      </w:r>
      <w:hyperlink w:anchor="page148">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terminates a PSA pursuant to Section 15.2.1, 15.2.2, 15.2.3, or 15.2.5, upon *’s election, * may (i) deliver the fully Manufactured Product to Client in accordance with the terms and conditions of the MSA and applicable PSA (including the current Firm Period period or Binding Year in the PSA) or (ii) destroy such Product. If * elected (i) above, Client shall pay the Service Fee and any related costs or fees for the Service relating to such Product in accordance with the terms and conditions of the MSA and applicable PSA, and if * elected (ii) above, Client shall bear the costs and expenses for such destruction and the costs incurred by * for the Service; provided, however, such costs and expenses to be borne by Client shall in no event exceed the Service Fee for the Service relating to such Product.</w:t>
      </w:r>
    </w:p>
    <w:p>
      <w:pPr>
        <w:spacing w:after="0" w:line="220" w:lineRule="exact"/>
        <w:rPr>
          <w:rFonts w:ascii="Times New Roman" w:cs="Times New Roman" w:eastAsia="Times New Roman" w:hAnsi="Times New Roman"/>
          <w:sz w:val="18"/>
          <w:szCs w:val="18"/>
          <w:color w:val="auto"/>
        </w:rPr>
      </w:pPr>
    </w:p>
    <w:p>
      <w:pPr>
        <w:ind w:left="920" w:hanging="304"/>
        <w:spacing w:after="0"/>
        <w:tabs>
          <w:tab w:leader="none" w:pos="92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PSA is naturally expired pursuant to Section 15.1, the provisions of (ii) above shall apply</w:t>
      </w:r>
    </w:p>
    <w:p>
      <w:pPr>
        <w:spacing w:after="0" w:line="250" w:lineRule="exact"/>
        <w:rPr>
          <w:rFonts w:ascii="Times New Roman" w:cs="Times New Roman" w:eastAsia="Times New Roman" w:hAnsi="Times New Roman"/>
          <w:sz w:val="18"/>
          <w:szCs w:val="18"/>
          <w:color w:val="auto"/>
        </w:rPr>
      </w:pPr>
    </w:p>
    <w:p>
      <w:pPr>
        <w:ind w:left="720" w:hanging="266"/>
        <w:spacing w:after="0"/>
        <w:tabs>
          <w:tab w:leader="none" w:pos="72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Client Materials being used for the Service (Product in Process).</w:t>
      </w:r>
    </w:p>
    <w:p>
      <w:pPr>
        <w:spacing w:after="0" w:line="254" w:lineRule="exact"/>
        <w:rPr>
          <w:rFonts w:ascii="Times New Roman" w:cs="Times New Roman" w:eastAsia="Times New Roman" w:hAnsi="Times New Roman"/>
          <w:sz w:val="18"/>
          <w:szCs w:val="18"/>
          <w:b w:val="1"/>
          <w:bCs w:val="1"/>
          <w:color w:val="auto"/>
        </w:rPr>
      </w:pPr>
    </w:p>
    <w:p>
      <w:pPr>
        <w:ind w:left="620" w:right="120" w:hanging="4"/>
        <w:spacing w:after="0" w:line="255" w:lineRule="auto"/>
        <w:tabs>
          <w:tab w:leader="none" w:pos="83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 terminates a PSA pursuant to Section 15.2.1, 15.2.2, 15.2.3, 15.2.4, or 15.2.5, upon Client’s election, * shall (i) continue to use the Client Materials being used for the Manufacturing hereunder (the Product in process) and deliver the fully Manufactured Product to Client in accordance with the terms and conditions of the MSA and applicable PSA, or (ii) deliver to Client or destroy such Product in process. If Client elected (i) above, Client shall pay the Service Fee and any related costs or fees for the Service relating to the fully Manufactured Product in accordance with the terms and conditions of the MSA and applicable PSA, and if Client elected (ii) above, * shall bear the costs and expenses for such activities except in the case of Section 15.2.4 or Section 15.2.5 for which destruction Client shall pay the cost.</w:t>
      </w:r>
    </w:p>
    <w:p>
      <w:pPr>
        <w:spacing w:after="0" w:line="125" w:lineRule="exact"/>
        <w:rPr>
          <w:rFonts w:ascii="Times New Roman" w:cs="Times New Roman" w:eastAsia="Times New Roman" w:hAnsi="Times New Roman"/>
          <w:sz w:val="18"/>
          <w:szCs w:val="18"/>
          <w:color w:val="auto"/>
        </w:rPr>
      </w:pPr>
    </w:p>
    <w:p>
      <w:pPr>
        <w:ind w:left="620" w:right="80" w:hanging="4"/>
        <w:spacing w:after="0" w:line="285" w:lineRule="auto"/>
        <w:tabs>
          <w:tab w:leader="none" w:pos="879" w:val="left"/>
        </w:tabs>
        <w:numPr>
          <w:ilvl w:val="2"/>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 terminates a PSA pursuant to Section 15.2.1, 15.2.2, 15.2.3, or 15.2.5, upon *’s election, * may (i) continue to use the Client Materials being used for the Manufacturing hereunder (the Product in process) and deliver the fully Manufactured Product to Client in accordance with the terms and conditions of the MSA and applicable PSA, or (ii) destroy such Product in process. If * elected (i) above, Client shall pay the Service Fee and any related costs or fees for the Service relating to the fully Manufactured Product in accordance with the terms and conditions of the MSA, and if * elected</w:t>
      </w:r>
    </w:p>
    <w:p>
      <w:pPr>
        <w:spacing w:after="0" w:line="2" w:lineRule="exact"/>
        <w:rPr>
          <w:rFonts w:ascii="Times New Roman" w:cs="Times New Roman" w:eastAsia="Times New Roman" w:hAnsi="Times New Roman"/>
          <w:sz w:val="16"/>
          <w:szCs w:val="16"/>
          <w:color w:val="auto"/>
        </w:rPr>
      </w:pPr>
    </w:p>
    <w:p>
      <w:pPr>
        <w:ind w:left="880" w:hanging="264"/>
        <w:spacing w:after="0"/>
        <w:tabs>
          <w:tab w:leader="none" w:pos="88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Client shall bear the costs and expenses for such activities.</w:t>
      </w:r>
    </w:p>
    <w:p>
      <w:pPr>
        <w:spacing w:after="0" w:line="239" w:lineRule="exact"/>
        <w:rPr>
          <w:rFonts w:ascii="Times New Roman" w:cs="Times New Roman" w:eastAsia="Times New Roman" w:hAnsi="Times New Roman"/>
          <w:sz w:val="18"/>
          <w:szCs w:val="18"/>
          <w:color w:val="auto"/>
        </w:rPr>
      </w:pPr>
    </w:p>
    <w:p>
      <w:pPr>
        <w:ind w:left="-40" w:right="3800" w:firstLine="656"/>
        <w:spacing w:after="0" w:line="389" w:lineRule="auto"/>
        <w:tabs>
          <w:tab w:leader="none" w:pos="959"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PSA is naturally expired pursuant to Section 15.1, the provisions of (ii) above shall apply.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Confidential material redacted and filed separately with the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490" w:right="259" w:bottom="1440" w:gutter="0" w:footer="0" w:header="0"/>
        </w:sectPr>
      </w:pPr>
    </w:p>
    <w:bookmarkStart w:id="148" w:name="page149"/>
    <w:bookmarkEnd w:id="148"/>
    <w:p>
      <w:pPr>
        <w:ind w:left="500" w:right="280" w:hanging="6"/>
        <w:spacing w:after="0" w:line="230" w:lineRule="auto"/>
        <w:tabs>
          <w:tab w:leader="none" w:pos="739"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Client Materials, Cell Line, and Reference Standards. </w:t>
      </w:r>
      <w:r>
        <w:rPr>
          <w:rFonts w:ascii="Times New Roman" w:cs="Times New Roman" w:eastAsia="Times New Roman" w:hAnsi="Times New Roman"/>
          <w:sz w:val="18"/>
          <w:szCs w:val="18"/>
          <w:color w:val="auto"/>
        </w:rPr>
        <w:t>Upon expiration or termination of a PSA, upon Client’s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deliver to Client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destroy all remaining Client Materials (subject to Sections 15.3.2(a) and 15.3.2(b)), all remaining Cell Line vials, Reference Standards and other materials required for Manufacturing.</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costs and expenses for such activities shall be borne by the Parties as follows:</w:t>
      </w:r>
    </w:p>
    <w:p>
      <w:pPr>
        <w:spacing w:after="0" w:line="225" w:lineRule="exact"/>
        <w:rPr>
          <w:sz w:val="20"/>
          <w:szCs w:val="20"/>
          <w:color w:val="auto"/>
        </w:rPr>
      </w:pPr>
    </w:p>
    <w:p>
      <w:pPr>
        <w:ind w:left="2120" w:hanging="815"/>
        <w:spacing w:after="0" w:line="275" w:lineRule="auto"/>
        <w:tabs>
          <w:tab w:leader="none" w:pos="2120" w:val="left"/>
        </w:tabs>
        <w:numPr>
          <w:ilvl w:val="2"/>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Client terminates the PSA pursuant to Section 15.2.1, 15.2.2 or 15.2.3, * shall deliver or dispose at no additional cost to Client and * shall bear such costs and expenses for such activities;</w:t>
      </w:r>
    </w:p>
    <w:p>
      <w:pPr>
        <w:spacing w:after="0" w:line="173" w:lineRule="exact"/>
        <w:rPr>
          <w:rFonts w:ascii="Times New Roman" w:cs="Times New Roman" w:eastAsia="Times New Roman" w:hAnsi="Times New Roman"/>
          <w:sz w:val="18"/>
          <w:szCs w:val="18"/>
          <w:b w:val="1"/>
          <w:bCs w:val="1"/>
          <w:color w:val="auto"/>
        </w:rPr>
      </w:pPr>
    </w:p>
    <w:p>
      <w:pPr>
        <w:ind w:left="2120" w:right="20" w:hanging="815"/>
        <w:spacing w:after="0" w:line="275" w:lineRule="auto"/>
        <w:tabs>
          <w:tab w:leader="none" w:pos="2120" w:val="left"/>
        </w:tabs>
        <w:numPr>
          <w:ilvl w:val="2"/>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 terminates the PSA pursuant to Section 15.2.1, 15.2.2, 15.2.3, or 15.2.5, or Client terminates the PSA pursuant to Section 15.2.4or 15.2.5, Client shall bear such costsand expenses for such activities;</w:t>
      </w:r>
    </w:p>
    <w:p>
      <w:pPr>
        <w:spacing w:after="0" w:line="173" w:lineRule="exact"/>
        <w:rPr>
          <w:rFonts w:ascii="Times New Roman" w:cs="Times New Roman" w:eastAsia="Times New Roman" w:hAnsi="Times New Roman"/>
          <w:sz w:val="18"/>
          <w:szCs w:val="18"/>
          <w:b w:val="1"/>
          <w:bCs w:val="1"/>
          <w:color w:val="auto"/>
        </w:rPr>
      </w:pPr>
    </w:p>
    <w:p>
      <w:pPr>
        <w:ind w:left="2120" w:hanging="815"/>
        <w:spacing w:after="0"/>
        <w:tabs>
          <w:tab w:leader="none" w:pos="2120" w:val="left"/>
        </w:tabs>
        <w:numPr>
          <w:ilvl w:val="2"/>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PSA is naturally expired pursuant to Section 15.1, the provisions of (ii) above shall reply.</w:t>
      </w:r>
    </w:p>
    <w:p>
      <w:pPr>
        <w:spacing w:after="0" w:line="277" w:lineRule="exact"/>
        <w:rPr>
          <w:rFonts w:ascii="Times New Roman" w:cs="Times New Roman" w:eastAsia="Times New Roman" w:hAnsi="Times New Roman"/>
          <w:sz w:val="18"/>
          <w:szCs w:val="18"/>
          <w:b w:val="1"/>
          <w:bCs w:val="1"/>
          <w:color w:val="auto"/>
        </w:rPr>
      </w:pPr>
    </w:p>
    <w:p>
      <w:pPr>
        <w:ind w:left="760" w:hanging="266"/>
        <w:spacing w:after="0"/>
        <w:tabs>
          <w:tab w:leader="none" w:pos="760"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Raw Materials.</w:t>
      </w:r>
    </w:p>
    <w:p>
      <w:pPr>
        <w:spacing w:after="0" w:line="254" w:lineRule="exact"/>
        <w:rPr>
          <w:rFonts w:ascii="Times New Roman" w:cs="Times New Roman" w:eastAsia="Times New Roman" w:hAnsi="Times New Roman"/>
          <w:sz w:val="18"/>
          <w:szCs w:val="18"/>
          <w:b w:val="1"/>
          <w:bCs w:val="1"/>
          <w:color w:val="auto"/>
        </w:rPr>
      </w:pPr>
    </w:p>
    <w:p>
      <w:pPr>
        <w:jc w:val="both"/>
        <w:ind w:left="2120" w:hanging="815"/>
        <w:spacing w:after="0" w:line="262" w:lineRule="auto"/>
        <w:tabs>
          <w:tab w:leader="none" w:pos="2120" w:val="left"/>
        </w:tabs>
        <w:numPr>
          <w:ilvl w:val="2"/>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Client terminates a PSA pursuant to Section 15.2.1, 15.2.2 or 15.2.3 and if Client so elects, * shall deliver the remaining Raw Materials to Client for Client’s payment of *’s cost to procure such Raw Materials, or dispose of them at Client’s election. * shall bear the costs and expenses for the delivery of the RawMaterials.</w:t>
      </w:r>
    </w:p>
    <w:p>
      <w:pPr>
        <w:spacing w:after="0" w:line="213" w:lineRule="exact"/>
        <w:rPr>
          <w:rFonts w:ascii="Times New Roman" w:cs="Times New Roman" w:eastAsia="Times New Roman" w:hAnsi="Times New Roman"/>
          <w:sz w:val="18"/>
          <w:szCs w:val="18"/>
          <w:b w:val="1"/>
          <w:bCs w:val="1"/>
          <w:color w:val="auto"/>
        </w:rPr>
      </w:pPr>
    </w:p>
    <w:p>
      <w:pPr>
        <w:jc w:val="both"/>
        <w:ind w:left="2120" w:hanging="815"/>
        <w:spacing w:after="0" w:line="262" w:lineRule="auto"/>
        <w:tabs>
          <w:tab w:leader="none" w:pos="2120" w:val="left"/>
        </w:tabs>
        <w:numPr>
          <w:ilvl w:val="2"/>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 terminates a PSA pursuant to Section 15.2.1, 15.2.2, 15.2.3 or 15.2.5, or Client terminates a PSA pursuant to Section 15.2.4 or 15.4.5, * may deliver the remaining Raw Materials to Client or dispose of them at *’s election. If so delivered, Client shall pay *’s cost to procure such Raw Materials to * and bear the costs and expenses for the deliveryof such Raw Materials by *.</w:t>
      </w:r>
    </w:p>
    <w:p>
      <w:pPr>
        <w:spacing w:after="0" w:line="213" w:lineRule="exact"/>
        <w:rPr>
          <w:rFonts w:ascii="Times New Roman" w:cs="Times New Roman" w:eastAsia="Times New Roman" w:hAnsi="Times New Roman"/>
          <w:sz w:val="18"/>
          <w:szCs w:val="18"/>
          <w:b w:val="1"/>
          <w:bCs w:val="1"/>
          <w:color w:val="auto"/>
        </w:rPr>
      </w:pPr>
    </w:p>
    <w:p>
      <w:pPr>
        <w:ind w:left="2120" w:hanging="815"/>
        <w:spacing w:after="0"/>
        <w:tabs>
          <w:tab w:leader="none" w:pos="2120" w:val="left"/>
        </w:tabs>
        <w:numPr>
          <w:ilvl w:val="2"/>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PSA is naturally expired pursuant to Section 15.1, the provisions of (ii) above shall apply.</w:t>
      </w:r>
    </w:p>
    <w:p>
      <w:pPr>
        <w:spacing w:after="0" w:line="277" w:lineRule="exact"/>
        <w:rPr>
          <w:rFonts w:ascii="Times New Roman" w:cs="Times New Roman" w:eastAsia="Times New Roman" w:hAnsi="Times New Roman"/>
          <w:sz w:val="18"/>
          <w:szCs w:val="18"/>
          <w:b w:val="1"/>
          <w:bCs w:val="1"/>
          <w:color w:val="auto"/>
        </w:rPr>
      </w:pPr>
    </w:p>
    <w:p>
      <w:pPr>
        <w:ind w:left="740" w:hanging="246"/>
        <w:spacing w:after="0"/>
        <w:tabs>
          <w:tab w:leader="none" w:pos="740"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Outstanding Obligations Regarding Purchase of Product.</w:t>
      </w:r>
    </w:p>
    <w:p>
      <w:pPr>
        <w:spacing w:after="0" w:line="254" w:lineRule="exact"/>
        <w:rPr>
          <w:rFonts w:ascii="Times New Roman" w:cs="Times New Roman" w:eastAsia="Times New Roman" w:hAnsi="Times New Roman"/>
          <w:sz w:val="18"/>
          <w:szCs w:val="18"/>
          <w:b w:val="1"/>
          <w:bCs w:val="1"/>
          <w:color w:val="auto"/>
        </w:rPr>
      </w:pPr>
    </w:p>
    <w:p>
      <w:pPr>
        <w:ind w:left="1300" w:firstLine="5"/>
        <w:spacing w:after="0" w:line="258" w:lineRule="auto"/>
        <w:tabs>
          <w:tab w:leader="none" w:pos="151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 terminates a PSA pursuant to Section 15.2.1 or 15.2.2 Client shall be released from any outstanding binding obligations to purchase Product as of the date of notice of termination including but not limited to pursuant to a Firm Period, binding forecast, purchase order, minimum purchase commitment, or otherwise; provided, however, that Client shall purchase Product Manufactured prior to such date of notice, pursuant to the terms of this MSA and PSA.</w:t>
      </w:r>
    </w:p>
    <w:p>
      <w:pPr>
        <w:spacing w:after="0" w:line="10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Confidential material redacted and filed separately with the Commission.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49" w:name="page150"/>
    <w:bookmarkEnd w:id="149"/>
    <w:p>
      <w:pPr>
        <w:ind w:left="980" w:right="520"/>
        <w:spacing w:after="0" w:line="262" w:lineRule="auto"/>
        <w:tabs>
          <w:tab w:leader="none" w:pos="123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t>
      </w:r>
      <w:hyperlink w:anchor="page150">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terminates a PSA pursuant to Section 15.2.1 or 15.2.2, outstanding binding obligations to purchase Product as of the date of notice of termination shall survive termination of such PSA, including but not limited to pursuant to a Firm Period, binding forecast, purchase order, minimum purchase commitment, or otherwise.</w:t>
      </w:r>
    </w:p>
    <w:p>
      <w:pPr>
        <w:spacing w:after="0" w:line="118"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1"/>
          <w:numId w:val="1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For all other cases of termination of a PSA, subsection (ii) shall apply.</w:t>
      </w:r>
    </w:p>
    <w:p>
      <w:pPr>
        <w:spacing w:after="0" w:line="223" w:lineRule="exact"/>
        <w:rPr>
          <w:rFonts w:ascii="Times New Roman" w:cs="Times New Roman" w:eastAsia="Times New Roman" w:hAnsi="Times New Roman"/>
          <w:sz w:val="18"/>
          <w:szCs w:val="18"/>
          <w:u w:val="single" w:color="auto"/>
          <w:color w:val="auto"/>
        </w:rPr>
      </w:pPr>
    </w:p>
    <w:p>
      <w:pPr>
        <w:ind w:left="500" w:hanging="6"/>
        <w:spacing w:after="0" w:line="259" w:lineRule="auto"/>
        <w:tabs>
          <w:tab w:leader="none" w:pos="763"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termination or expiration of this MSA shall not affect any outstanding obligations due hereunder prior to such termination or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shall it prejudice any other remedies that the parties may have under this MSA. For greater certainty, except as otherwise expressly provided, termination or expiration of this MSA, irrespective of the cause, shall not affect any rights or obligations which, from the context thereof, are intended to survive termination or expiration of this MSA, including but not limited to Sections 1, 8, 9, 10, 11, 12, 13, 14, 15, 16 and 17.2.</w:t>
      </w:r>
    </w:p>
    <w:p>
      <w:pPr>
        <w:spacing w:after="0" w:line="119" w:lineRule="exact"/>
        <w:rPr>
          <w:sz w:val="20"/>
          <w:szCs w:val="20"/>
          <w:color w:val="auto"/>
        </w:rPr>
      </w:pPr>
    </w:p>
    <w:p>
      <w:pPr>
        <w:ind w:left="340" w:right="40"/>
        <w:spacing w:after="0" w:line="257" w:lineRule="auto"/>
        <w:rPr>
          <w:sz w:val="20"/>
          <w:szCs w:val="20"/>
          <w:color w:val="auto"/>
        </w:rPr>
      </w:pPr>
      <w:r>
        <w:rPr>
          <w:rFonts w:ascii="Times New Roman" w:cs="Times New Roman" w:eastAsia="Times New Roman" w:hAnsi="Times New Roman"/>
          <w:sz w:val="18"/>
          <w:szCs w:val="18"/>
          <w:u w:val="single" w:color="auto"/>
          <w:color w:val="auto"/>
        </w:rPr>
        <w:t>15.3.3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Outbound Transfer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Upon any termination of a PSA or in connection with its expiration, Client shall be entitled to give notice to * of a Manufacturing Process Transfer, which shall commence the preparation and effectuation of a Manufacturing Process Transfer Plan for the Product identified therein. In addition, Client shall be entitled to give notice to * of a Manufacturing Process Transfer and commence the preparation and effectuation of a Manufacturing Process Transfer Plan in the absence of a termination or expiration of a PSA in order to establish second source Manufacturing. Client shall pay *’s reasonable costs of assistance related to effectuation of the Manufacturing Process Transfer Plan.</w:t>
      </w:r>
    </w:p>
    <w:p>
      <w:pPr>
        <w:spacing w:after="0" w:line="18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SECTION 16</w:t>
      </w:r>
      <w:r>
        <w:rPr>
          <w:sz w:val="20"/>
          <w:szCs w:val="20"/>
          <w:color w:val="auto"/>
        </w:rPr>
        <w:tab/>
      </w:r>
      <w:r>
        <w:rPr>
          <w:rFonts w:ascii="Times New Roman" w:cs="Times New Roman" w:eastAsia="Times New Roman" w:hAnsi="Times New Roman"/>
          <w:sz w:val="16"/>
          <w:szCs w:val="16"/>
          <w:b w:val="1"/>
          <w:bCs w:val="1"/>
          <w:u w:val="single" w:color="auto"/>
          <w:color w:val="auto"/>
        </w:rPr>
        <w:t>ARBITRATION</w:t>
      </w:r>
    </w:p>
    <w:p>
      <w:pPr>
        <w:spacing w:after="0" w:line="252" w:lineRule="exact"/>
        <w:rPr>
          <w:sz w:val="20"/>
          <w:szCs w:val="20"/>
          <w:color w:val="auto"/>
        </w:rPr>
      </w:pPr>
    </w:p>
    <w:p>
      <w:pPr>
        <w:ind w:left="500" w:hanging="485"/>
        <w:spacing w:after="0" w:line="257"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16.1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Informal Discussions. </w:t>
      </w:r>
      <w:r>
        <w:rPr>
          <w:rFonts w:ascii="Times New Roman" w:cs="Times New Roman" w:eastAsia="Times New Roman" w:hAnsi="Times New Roman"/>
          <w:sz w:val="18"/>
          <w:szCs w:val="18"/>
          <w:color w:val="auto"/>
        </w:rPr>
        <w:t>Except as otherwise provided herein, in the event of any controversy or claim arising out of or relating to this MSA, or the rights 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obligations of the Parties hereunder, the Parties shall first try to settle their differences amicably between themselves through the Core Team and then the JSC. Thereafter, either Party may initiate informal dispute resolution on the executive level by sending written notice of the dispute to the other Party, and within thirty (30) days after such notice appropriate executives of the Parties shall meet for attempted resolution by good faith negotiations. If such representatives are unable to resolve such disputed matter within such thirty (30) day period, either Party may refer the matter by written notice to the Chief Executive Officer of the other Party, or his/her designee, and the Chief Executive Officer of such Party, for discussion and resolution. If such individuals or their designees are unable to resolve such dispute within thirty (30) days of such written notice, and such dispute relates to a claimed breach of this MSA, a PSA or a QAG, either Party may initiate binding arbitration proceedings in accordance with the provisions of this Article 16. For the avoidance of doubt, no claim other than a claim of a breach of this Agreement shall be subject to arbitration.</w:t>
      </w:r>
    </w:p>
    <w:p>
      <w:pPr>
        <w:spacing w:after="0" w:line="193" w:lineRule="exact"/>
        <w:rPr>
          <w:sz w:val="20"/>
          <w:szCs w:val="20"/>
          <w:color w:val="auto"/>
        </w:rPr>
      </w:pPr>
    </w:p>
    <w:p>
      <w:pPr>
        <w:ind w:left="500" w:right="240" w:hanging="485"/>
        <w:spacing w:after="0" w:line="277"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16.2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Arbitration. </w:t>
      </w:r>
      <w:r>
        <w:rPr>
          <w:rFonts w:ascii="Times New Roman" w:cs="Times New Roman" w:eastAsia="Times New Roman" w:hAnsi="Times New Roman"/>
          <w:sz w:val="18"/>
          <w:szCs w:val="18"/>
          <w:color w:val="auto"/>
        </w:rPr>
        <w:t>If the Parties do not fully settle a claimed breach of this MSA, a PSA or a QAG pursuant to Section 16.1, and a Party wishes to pursue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matter, each such claim shall be finally resolved by</w:t>
      </w:r>
    </w:p>
    <w:p>
      <w:pPr>
        <w:spacing w:after="0" w:line="32" w:lineRule="exact"/>
        <w:rPr>
          <w:sz w:val="20"/>
          <w:szCs w:val="20"/>
          <w:color w:val="auto"/>
        </w:rPr>
      </w:pPr>
    </w:p>
    <w:p>
      <w:pPr>
        <w:ind w:left="120" w:hanging="112"/>
        <w:spacing w:after="0"/>
        <w:tabs>
          <w:tab w:leader="none" w:pos="120" w:val="left"/>
        </w:tabs>
        <w:numPr>
          <w:ilvl w:val="0"/>
          <w:numId w:val="1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33" w:right="279" w:bottom="1440" w:gutter="0" w:footer="0" w:header="0"/>
        </w:sectPr>
      </w:pPr>
    </w:p>
    <w:bookmarkStart w:id="150" w:name="page151"/>
    <w:bookmarkEnd w:id="150"/>
    <w:p>
      <w:pPr>
        <w:ind w:left="500"/>
        <w:spacing w:after="0" w:line="287" w:lineRule="auto"/>
        <w:rPr>
          <w:sz w:val="20"/>
          <w:szCs w:val="20"/>
          <w:color w:val="auto"/>
        </w:rPr>
      </w:pPr>
      <w:r>
        <w:rPr>
          <w:rFonts w:ascii="Times New Roman" w:cs="Times New Roman" w:eastAsia="Times New Roman" w:hAnsi="Times New Roman"/>
          <w:sz w:val="16"/>
          <w:szCs w:val="16"/>
          <w:color w:val="auto"/>
        </w:rPr>
        <w:t>binding arbitration in accordance with the Commercial Arbitration Rules of the International Chamber of Commerce (“ICC”), and judgment on the arbitration award may be entered in any court having jurisdiction thereof to enforce the arbitration award. The arbitration shall be conducted by a panel of three neutral persons experienced in the pharmaceutical business, and within thirty (30) days after initiation of arbitration, each Party shall select one person to act as arbitrator and the two Party-selected arbitrators shall select a third arbitrator within thirty (30) days of their appointment. If the arbitrators selected by the Parties are unable or fail to agree upon the third arbitrator, the third arbitrator shall be appointed by the ICC. The place of arbitration shall be New York, New York, United States and all proceedings and communications shall be in English. Either Party may apply to the arbitrators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that Party pending the arbitration award. The arbitrators shall have no authority to award punitive or any other type of damages not measured by a Party’s direct compensatory damages, and in all cases, any decision or determination by the arbitrators shall comply with Article 14, as applicable. The Parties agree that, in the event of a good faith dispute over the nature or quality of performance under this Agreement, neither Party may terminate this Agreement until final resolution of the dispute through arbitration or other judicial determination. The Parties further agree that any payments made pursuant to this Agreement pending resolution of the dispute shall be refunded if an arbitrator or court determines that such payments are not due.</w:t>
      </w:r>
    </w:p>
    <w:p>
      <w:pPr>
        <w:spacing w:after="0" w:line="200" w:lineRule="exact"/>
        <w:rPr>
          <w:sz w:val="20"/>
          <w:szCs w:val="20"/>
          <w:color w:val="auto"/>
        </w:rPr>
      </w:pPr>
    </w:p>
    <w:p>
      <w:pPr>
        <w:spacing w:after="0" w:line="210" w:lineRule="exact"/>
        <w:rPr>
          <w:sz w:val="20"/>
          <w:szCs w:val="20"/>
          <w:color w:val="auto"/>
        </w:rPr>
      </w:pPr>
    </w:p>
    <w:p>
      <w:pPr>
        <w:jc w:val="both"/>
        <w:ind w:left="500" w:right="240" w:hanging="485"/>
        <w:spacing w:after="0" w:line="264" w:lineRule="auto"/>
        <w:tabs>
          <w:tab w:leader="none" w:pos="480" w:val="left"/>
        </w:tabs>
        <w:rPr>
          <w:sz w:val="20"/>
          <w:szCs w:val="20"/>
          <w:color w:val="auto"/>
        </w:rPr>
      </w:pPr>
      <w:r>
        <w:rPr>
          <w:rFonts w:ascii="Times New Roman" w:cs="Times New Roman" w:eastAsia="Times New Roman" w:hAnsi="Times New Roman"/>
          <w:sz w:val="18"/>
          <w:szCs w:val="18"/>
          <w:u w:val="single" w:color="auto"/>
          <w:color w:val="auto"/>
        </w:rPr>
        <w:t>16.3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Costs and Fees. </w:t>
      </w:r>
      <w:r>
        <w:rPr>
          <w:rFonts w:ascii="Times New Roman" w:cs="Times New Roman" w:eastAsia="Times New Roman" w:hAnsi="Times New Roman"/>
          <w:sz w:val="18"/>
          <w:szCs w:val="18"/>
          <w:color w:val="auto"/>
        </w:rPr>
        <w:t>Each Party shall bear its own attorneys’ fees, costs, and disbursements arising out of the arbitration, and shall pay an equal share of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fees and costs of the arbitrators. Absent the filing of an application to correct or vacate the arbitration award as permitted by Applicable Law, each Party shall fully perform and satisfy the arbitration award within fifteen (15) days after the service of the award on such Party.</w:t>
      </w:r>
    </w:p>
    <w:p>
      <w:pPr>
        <w:spacing w:after="0" w:line="20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SECTION 17</w:t>
      </w:r>
      <w:r>
        <w:rPr>
          <w:sz w:val="20"/>
          <w:szCs w:val="20"/>
          <w:color w:val="auto"/>
        </w:rPr>
        <w:tab/>
      </w:r>
      <w:r>
        <w:rPr>
          <w:rFonts w:ascii="Times New Roman" w:cs="Times New Roman" w:eastAsia="Times New Roman" w:hAnsi="Times New Roman"/>
          <w:sz w:val="16"/>
          <w:szCs w:val="16"/>
          <w:b w:val="1"/>
          <w:bCs w:val="1"/>
          <w:u w:val="single" w:color="auto"/>
          <w:color w:val="auto"/>
        </w:rPr>
        <w:t>MISCELLANEOUS</w:t>
      </w:r>
    </w:p>
    <w:p>
      <w:pPr>
        <w:spacing w:after="0" w:line="252"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u w:val="single" w:color="auto"/>
          <w:color w:val="auto"/>
        </w:rPr>
        <w:t>17.1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Any notice required or permitted under the MSA shall be in writing with duly authorized signature and made to the following addresses or facsimile numbers:</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to Client:</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TG Therapeutics, Inc.2 Gansevoort St., 9</w:t>
      </w:r>
      <w:r>
        <w:rPr>
          <w:rFonts w:ascii="Times New Roman" w:cs="Times New Roman" w:eastAsia="Times New Roman" w:hAnsi="Times New Roman"/>
          <w:sz w:val="24"/>
          <w:szCs w:val="24"/>
          <w:u w:val="single" w:color="auto"/>
          <w:color w:val="auto"/>
          <w:vertAlign w:val="superscript"/>
        </w:rPr>
        <w:t>th</w:t>
      </w:r>
      <w:r>
        <w:rPr>
          <w:rFonts w:ascii="Times New Roman" w:cs="Times New Roman" w:eastAsia="Times New Roman" w:hAnsi="Times New Roman"/>
          <w:sz w:val="18"/>
          <w:szCs w:val="18"/>
          <w:color w:val="auto"/>
        </w:rPr>
        <w:t xml:space="preserve"> Floor</w:t>
      </w:r>
    </w:p>
    <w:p>
      <w:pPr>
        <w:ind w:left="82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Attention: Senior Vice President Operations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Facsimile:</w:t>
      </w:r>
    </w:p>
    <w:p>
      <w:pPr>
        <w:spacing w:after="0" w:line="213" w:lineRule="exact"/>
        <w:rPr>
          <w:sz w:val="20"/>
          <w:szCs w:val="20"/>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hyperlink w:anchor="page151">
        <w:r>
          <w:rPr>
            <w:rFonts w:ascii="Times New Roman" w:cs="Times New Roman" w:eastAsia="Times New Roman" w:hAnsi="Times New Roman"/>
            <w:sz w:val="12"/>
            <w:szCs w:val="12"/>
            <w:u w:val="single" w:color="auto"/>
            <w:color w:val="0000EE"/>
          </w:rPr>
          <w:t>*</w:t>
        </w:r>
      </w:hyperlink>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copy to: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Legal &amp; Compliance Department</w:t>
      </w:r>
    </w:p>
    <w:p>
      <w:pPr>
        <w:spacing w:after="0" w:line="233" w:lineRule="exact"/>
        <w:rPr>
          <w:sz w:val="20"/>
          <w:szCs w:val="20"/>
          <w:color w:val="auto"/>
        </w:rPr>
      </w:pPr>
    </w:p>
    <w:p>
      <w:pPr>
        <w:ind w:left="120" w:hanging="112"/>
        <w:spacing w:after="0"/>
        <w:tabs>
          <w:tab w:leader="none" w:pos="120" w:val="left"/>
        </w:tabs>
        <w:numPr>
          <w:ilvl w:val="0"/>
          <w:numId w:val="1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1" w:name="page152"/>
    <w:bookmarkEnd w:id="151"/>
    <w:p>
      <w:pPr>
        <w:ind w:left="492"/>
        <w:spacing w:after="0"/>
        <w:rPr>
          <w:sz w:val="20"/>
          <w:szCs w:val="20"/>
          <w:color w:val="auto"/>
        </w:rPr>
      </w:pPr>
      <w:r>
        <w:rPr>
          <w:rFonts w:ascii="Times New Roman" w:cs="Times New Roman" w:eastAsia="Times New Roman" w:hAnsi="Times New Roman"/>
          <w:sz w:val="18"/>
          <w:szCs w:val="18"/>
          <w:color w:val="auto"/>
        </w:rPr>
        <w:t>Either Party may change its designated address and facsimile number by notice to the other Party in the manner provided in this Section 17.1.</w:t>
      </w:r>
    </w:p>
    <w:p>
      <w:pPr>
        <w:spacing w:after="0" w:line="158" w:lineRule="exact"/>
        <w:rPr>
          <w:sz w:val="20"/>
          <w:szCs w:val="20"/>
          <w:color w:val="auto"/>
        </w:rPr>
      </w:pPr>
    </w:p>
    <w:p>
      <w:pPr>
        <w:ind w:left="492" w:right="80"/>
        <w:spacing w:after="0" w:line="275" w:lineRule="auto"/>
        <w:rPr>
          <w:sz w:val="20"/>
          <w:szCs w:val="20"/>
          <w:color w:val="auto"/>
        </w:rPr>
      </w:pPr>
      <w:r>
        <w:rPr>
          <w:rFonts w:ascii="Times New Roman" w:cs="Times New Roman" w:eastAsia="Times New Roman" w:hAnsi="Times New Roman"/>
          <w:sz w:val="18"/>
          <w:szCs w:val="18"/>
          <w:color w:val="auto"/>
        </w:rPr>
        <w:t>Any notice shall be deemed to have been delivered on the date of delivery of delivered personally, or on the next day of sending if sent by facsimile, or on the fifth day of posting if sent by registered or certified mail with return receipt requested and postage prepaid.</w:t>
      </w:r>
    </w:p>
    <w:p>
      <w:pPr>
        <w:spacing w:after="0" w:line="104" w:lineRule="exact"/>
        <w:rPr>
          <w:sz w:val="20"/>
          <w:szCs w:val="20"/>
          <w:color w:val="auto"/>
        </w:rPr>
      </w:pPr>
    </w:p>
    <w:p>
      <w:pPr>
        <w:ind w:left="492" w:hanging="485"/>
        <w:spacing w:after="0" w:line="264" w:lineRule="auto"/>
        <w:tabs>
          <w:tab w:leader="none" w:pos="472" w:val="left"/>
        </w:tabs>
        <w:rPr>
          <w:sz w:val="20"/>
          <w:szCs w:val="20"/>
          <w:color w:val="auto"/>
        </w:rPr>
      </w:pPr>
      <w:r>
        <w:rPr>
          <w:rFonts w:ascii="Times New Roman" w:cs="Times New Roman" w:eastAsia="Times New Roman" w:hAnsi="Times New Roman"/>
          <w:sz w:val="18"/>
          <w:szCs w:val="18"/>
          <w:u w:val="single" w:color="auto"/>
          <w:color w:val="auto"/>
        </w:rPr>
        <w:t>17.2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Governing Law. </w:t>
      </w:r>
      <w:r>
        <w:rPr>
          <w:rFonts w:ascii="Times New Roman" w:cs="Times New Roman" w:eastAsia="Times New Roman" w:hAnsi="Times New Roman"/>
          <w:sz w:val="18"/>
          <w:szCs w:val="18"/>
          <w:color w:val="auto"/>
        </w:rPr>
        <w:t>This MSA shall be construed and interpreted in accordance with the laws of State of New York, United States and all rights and remedies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shall be governed by such laws without regard to principles of conflicts of law. The United Nations Convention on Contracts for the International Sale of Goods shall not apply to the transactions contemplated by the MSA.</w:t>
      </w:r>
    </w:p>
    <w:p>
      <w:pPr>
        <w:spacing w:after="0" w:line="181" w:lineRule="exact"/>
        <w:rPr>
          <w:sz w:val="20"/>
          <w:szCs w:val="20"/>
          <w:color w:val="auto"/>
        </w:rPr>
      </w:pPr>
    </w:p>
    <w:p>
      <w:pPr>
        <w:ind w:left="492" w:hanging="485"/>
        <w:spacing w:after="0" w:line="259" w:lineRule="auto"/>
        <w:tabs>
          <w:tab w:leader="none" w:pos="472" w:val="left"/>
        </w:tabs>
        <w:rPr>
          <w:sz w:val="20"/>
          <w:szCs w:val="20"/>
          <w:color w:val="auto"/>
        </w:rPr>
      </w:pPr>
      <w:r>
        <w:rPr>
          <w:rFonts w:ascii="Times New Roman" w:cs="Times New Roman" w:eastAsia="Times New Roman" w:hAnsi="Times New Roman"/>
          <w:sz w:val="18"/>
          <w:szCs w:val="18"/>
          <w:u w:val="single" w:color="auto"/>
          <w:color w:val="auto"/>
        </w:rPr>
        <w:t>17.3</w:t>
      </w:r>
      <w:r>
        <w:rPr>
          <w:sz w:val="20"/>
          <w:szCs w:val="20"/>
          <w:color w:val="auto"/>
        </w:rPr>
        <w:tab/>
      </w:r>
      <w:r>
        <w:rPr>
          <w:rFonts w:ascii="Times New Roman" w:cs="Times New Roman" w:eastAsia="Times New Roman" w:hAnsi="Times New Roman"/>
          <w:sz w:val="18"/>
          <w:szCs w:val="18"/>
          <w:b w:val="1"/>
          <w:bCs w:val="1"/>
          <w:u w:val="single" w:color="auto"/>
          <w:color w:val="auto"/>
        </w:rPr>
        <w:t>Effect of Force Majeure Event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Neither Party (the “</w:t>
      </w:r>
      <w:r>
        <w:rPr>
          <w:rFonts w:ascii="Times New Roman" w:cs="Times New Roman" w:eastAsia="Times New Roman" w:hAnsi="Times New Roman"/>
          <w:sz w:val="18"/>
          <w:szCs w:val="18"/>
          <w:b w:val="1"/>
          <w:bCs w:val="1"/>
          <w:color w:val="auto"/>
        </w:rPr>
        <w:t>Affected Party</w:t>
      </w:r>
      <w:r>
        <w:rPr>
          <w:rFonts w:ascii="Times New Roman" w:cs="Times New Roman" w:eastAsia="Times New Roman" w:hAnsi="Times New Roman"/>
          <w:sz w:val="18"/>
          <w:szCs w:val="18"/>
          <w:color w:val="auto"/>
        </w:rPr>
        <w:t>”) shall be liable to the other Party (the “</w:t>
      </w:r>
      <w:r>
        <w:rPr>
          <w:rFonts w:ascii="Times New Roman" w:cs="Times New Roman" w:eastAsia="Times New Roman" w:hAnsi="Times New Roman"/>
          <w:sz w:val="18"/>
          <w:szCs w:val="18"/>
          <w:b w:val="1"/>
          <w:bCs w:val="1"/>
          <w:color w:val="auto"/>
        </w:rPr>
        <w:t>Non-Affected Party</w:t>
      </w:r>
      <w:r>
        <w:rPr>
          <w:rFonts w:ascii="Times New Roman" w:cs="Times New Roman" w:eastAsia="Times New Roman" w:hAnsi="Times New Roman"/>
          <w:sz w:val="18"/>
          <w:szCs w:val="18"/>
          <w:color w:val="auto"/>
        </w:rPr>
        <w:t>”) for failure or delay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perform its obligation under the MSA or any applicable PSA when such failure or delay is due to riots, storms, fires, explosions, floods, earthquakes, war, embargoes, blockades, insurrections, terrorism, an act of God or any other cause similar thereto which is beyond the control of the Affected Party including those affected upstream suppliers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92" w:right="140"/>
        <w:spacing w:after="0" w:line="254" w:lineRule="auto"/>
        <w:rPr>
          <w:sz w:val="20"/>
          <w:szCs w:val="20"/>
          <w:color w:val="auto"/>
        </w:rPr>
      </w:pPr>
      <w:r>
        <w:rPr>
          <w:rFonts w:ascii="Times New Roman" w:cs="Times New Roman" w:eastAsia="Times New Roman" w:hAnsi="Times New Roman"/>
          <w:sz w:val="18"/>
          <w:szCs w:val="18"/>
          <w:color w:val="auto"/>
        </w:rPr>
        <w:t>Each Party agrees to give the other Party prompt written notice of the occurrence of any Force Majeure Event, the nature thereof, and the extent to which the affected Party will be unable fully to perform its obligations under the MSA. If a condition constituting Force Majeure Event as defined herein exists for more than one hundred eighty (180) consecutive days, or it is reasonably foreseeable that such Force Majeure Event will persist for more than one hundred eighty (180) days consecutive days, the Parties shall endeavor in good faith to negotiate a mutually satisfactory solution to the problem, if practicable, including use of a third party to fulfill the obligations hereunder of the party invoking Force Majeure Event, at the expense of the party invoking Force Majeure Event. If after good faith efforts to negotiate a mutually satisfactory solution for at least sixty (60) days the Parties have failed to reach agreement, the Non-Affected Party shall have the right to terminate this MSA upon thirty (30) days’ written failure.</w:t>
      </w:r>
    </w:p>
    <w:p>
      <w:pPr>
        <w:spacing w:after="0" w:line="193" w:lineRule="exact"/>
        <w:rPr>
          <w:sz w:val="20"/>
          <w:szCs w:val="20"/>
          <w:color w:val="auto"/>
        </w:rPr>
      </w:pPr>
    </w:p>
    <w:p>
      <w:pPr>
        <w:ind w:left="492" w:right="40" w:hanging="485"/>
        <w:spacing w:after="0" w:line="255" w:lineRule="auto"/>
        <w:tabs>
          <w:tab w:leader="none" w:pos="472" w:val="left"/>
        </w:tabs>
        <w:rPr>
          <w:sz w:val="20"/>
          <w:szCs w:val="20"/>
          <w:color w:val="auto"/>
        </w:rPr>
      </w:pPr>
      <w:r>
        <w:rPr>
          <w:rFonts w:ascii="Times New Roman" w:cs="Times New Roman" w:eastAsia="Times New Roman" w:hAnsi="Times New Roman"/>
          <w:sz w:val="18"/>
          <w:szCs w:val="18"/>
          <w:u w:val="single" w:color="auto"/>
          <w:color w:val="auto"/>
        </w:rPr>
        <w:t>17.4</w:t>
      </w:r>
      <w:r>
        <w:rPr>
          <w:sz w:val="20"/>
          <w:szCs w:val="20"/>
          <w:color w:val="auto"/>
        </w:rPr>
        <w:tab/>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Neither Party shall assign, in whole or in part, the MSA without the prior written consent of the other Party, such approval not to be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unreasonably withheld, conditioned or delayed. Notwithstanding the above, Client may, without such consent, assign the MSA to (i) its Affiliate or (ii) any purchaser of Client’s rights relating to the Product or all or substantially all of the assets of Client, or of all of its capital stock, or to any successor corporation or entity resulting from any merger or consolidation of such Party with or into such corporation or entity. Notwithstanding the above, * may, without such consent, assign the MSA to (i) its Affiliate or (ii) any purchaser of substantially all of the assets of *, or of all of its capital stock, or to any successor corporation or entity resulting from any merger or consolidation of such Party with or into such corporation or entity.</w:t>
      </w:r>
    </w:p>
    <w:p>
      <w:pPr>
        <w:spacing w:after="0" w:line="55" w:lineRule="exact"/>
        <w:rPr>
          <w:sz w:val="20"/>
          <w:szCs w:val="20"/>
          <w:color w:val="auto"/>
        </w:rPr>
      </w:pPr>
    </w:p>
    <w:p>
      <w:pPr>
        <w:ind w:left="112" w:hanging="112"/>
        <w:spacing w:after="0"/>
        <w:tabs>
          <w:tab w:leader="none" w:pos="112" w:val="left"/>
        </w:tabs>
        <w:numPr>
          <w:ilvl w:val="0"/>
          <w:numId w:val="1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00" w:right="259" w:bottom="1440" w:gutter="0" w:footer="0" w:header="0"/>
        </w:sectPr>
      </w:pPr>
    </w:p>
    <w:bookmarkStart w:id="152" w:name="page153"/>
    <w:bookmarkEnd w:id="152"/>
    <w:p>
      <w:pPr>
        <w:ind w:left="480" w:right="120" w:hanging="485"/>
        <w:spacing w:after="0" w:line="277" w:lineRule="auto"/>
        <w:tabs>
          <w:tab w:leader="none" w:pos="460" w:val="left"/>
        </w:tabs>
        <w:rPr>
          <w:sz w:val="20"/>
          <w:szCs w:val="20"/>
          <w:color w:val="auto"/>
        </w:rPr>
      </w:pPr>
      <w:r>
        <w:rPr>
          <w:rFonts w:ascii="Times New Roman" w:cs="Times New Roman" w:eastAsia="Times New Roman" w:hAnsi="Times New Roman"/>
          <w:sz w:val="18"/>
          <w:szCs w:val="18"/>
          <w:u w:val="single" w:color="auto"/>
          <w:color w:val="auto"/>
        </w:rPr>
        <w:t>17.5</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No Grant of License. </w:t>
      </w:r>
      <w:r>
        <w:rPr>
          <w:rFonts w:ascii="Times New Roman" w:cs="Times New Roman" w:eastAsia="Times New Roman" w:hAnsi="Times New Roman"/>
          <w:sz w:val="18"/>
          <w:szCs w:val="18"/>
          <w:color w:val="auto"/>
        </w:rPr>
        <w:t>Nothing in the MSA shall affect, or grant any right to, patents, know-how or other intellectual property owned by either Party prior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to the commencement of the MSA unless otherwise expressly provided in the MSA.</w:t>
      </w:r>
    </w:p>
    <w:p>
      <w:pPr>
        <w:spacing w:after="0" w:line="103" w:lineRule="exact"/>
        <w:rPr>
          <w:sz w:val="20"/>
          <w:szCs w:val="20"/>
          <w:color w:val="auto"/>
        </w:rPr>
      </w:pPr>
    </w:p>
    <w:p>
      <w:pPr>
        <w:jc w:val="both"/>
        <w:ind w:left="480" w:right="320" w:hanging="485"/>
        <w:spacing w:after="0" w:line="264" w:lineRule="auto"/>
        <w:tabs>
          <w:tab w:leader="none" w:pos="460" w:val="left"/>
        </w:tabs>
        <w:rPr>
          <w:sz w:val="20"/>
          <w:szCs w:val="20"/>
          <w:color w:val="auto"/>
        </w:rPr>
      </w:pPr>
      <w:r>
        <w:rPr>
          <w:rFonts w:ascii="Times New Roman" w:cs="Times New Roman" w:eastAsia="Times New Roman" w:hAnsi="Times New Roman"/>
          <w:sz w:val="18"/>
          <w:szCs w:val="18"/>
          <w:u w:val="single" w:color="auto"/>
          <w:color w:val="auto"/>
        </w:rPr>
        <w:t>17.6</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No Right to Use Names. </w:t>
      </w:r>
      <w:r>
        <w:rPr>
          <w:rFonts w:ascii="Times New Roman" w:cs="Times New Roman" w:eastAsia="Times New Roman" w:hAnsi="Times New Roman"/>
          <w:sz w:val="18"/>
          <w:szCs w:val="18"/>
          <w:color w:val="auto"/>
        </w:rPr>
        <w:t>Except as expressly provided herein, no right, expressed or implied, is granted by the MSA to use in any manner the name of</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either of the Parties or any other trade name, symbol, logo or trademark of the other Party in connection with the performance of the MSA, without the prior written consent of the other Party.</w:t>
      </w:r>
    </w:p>
    <w:p>
      <w:pPr>
        <w:spacing w:after="0" w:line="114" w:lineRule="exact"/>
        <w:rPr>
          <w:sz w:val="20"/>
          <w:szCs w:val="20"/>
          <w:color w:val="auto"/>
        </w:rPr>
      </w:pPr>
    </w:p>
    <w:p>
      <w:pPr>
        <w:ind w:left="480" w:right="360" w:hanging="485"/>
        <w:spacing w:after="0" w:line="277" w:lineRule="auto"/>
        <w:tabs>
          <w:tab w:leader="none" w:pos="460" w:val="left"/>
        </w:tabs>
        <w:rPr>
          <w:sz w:val="20"/>
          <w:szCs w:val="20"/>
          <w:color w:val="auto"/>
        </w:rPr>
      </w:pPr>
      <w:r>
        <w:rPr>
          <w:rFonts w:ascii="Times New Roman" w:cs="Times New Roman" w:eastAsia="Times New Roman" w:hAnsi="Times New Roman"/>
          <w:sz w:val="18"/>
          <w:szCs w:val="18"/>
          <w:u w:val="single" w:color="auto"/>
          <w:color w:val="auto"/>
        </w:rPr>
        <w:t>17.7</w:t>
      </w:r>
      <w:r>
        <w:rPr>
          <w:sz w:val="20"/>
          <w:szCs w:val="20"/>
          <w:color w:val="auto"/>
        </w:rPr>
        <w:tab/>
      </w:r>
      <w:r>
        <w:rPr>
          <w:rFonts w:ascii="Times New Roman" w:cs="Times New Roman" w:eastAsia="Times New Roman" w:hAnsi="Times New Roman"/>
          <w:sz w:val="18"/>
          <w:szCs w:val="18"/>
          <w:b w:val="1"/>
          <w:bCs w:val="1"/>
          <w:u w:val="single" w:color="auto"/>
          <w:color w:val="auto"/>
        </w:rPr>
        <w:t>Independent Contractors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Parties hereto are independent contractors and nothing contained in the MSA shall be deemed or construed to create a</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partnership, joint venture, employment, franchise, agency or fiduciary relationship between the Parties.</w:t>
      </w:r>
    </w:p>
    <w:p>
      <w:pPr>
        <w:spacing w:after="0" w:line="170" w:lineRule="exact"/>
        <w:rPr>
          <w:sz w:val="20"/>
          <w:szCs w:val="20"/>
          <w:color w:val="auto"/>
        </w:rPr>
      </w:pPr>
    </w:p>
    <w:p>
      <w:pPr>
        <w:ind w:left="480" w:right="60" w:hanging="485"/>
        <w:spacing w:after="0" w:line="277" w:lineRule="auto"/>
        <w:tabs>
          <w:tab w:leader="none" w:pos="460" w:val="left"/>
        </w:tabs>
        <w:rPr>
          <w:sz w:val="20"/>
          <w:szCs w:val="20"/>
          <w:color w:val="auto"/>
        </w:rPr>
      </w:pPr>
      <w:r>
        <w:rPr>
          <w:rFonts w:ascii="Times New Roman" w:cs="Times New Roman" w:eastAsia="Times New Roman" w:hAnsi="Times New Roman"/>
          <w:sz w:val="18"/>
          <w:szCs w:val="18"/>
          <w:u w:val="single" w:color="auto"/>
          <w:color w:val="auto"/>
        </w:rPr>
        <w:t>17.8</w:t>
      </w:r>
      <w:r>
        <w:rPr>
          <w:sz w:val="20"/>
          <w:szCs w:val="20"/>
          <w:color w:val="auto"/>
        </w:rPr>
        <w:tab/>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This MSA constitutes the entire agreement between the Parties relating to the subject matter of the MSA and supersedes all previous oral and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written communications between the Parties with respect to the subject matter of the MSA.</w:t>
      </w:r>
    </w:p>
    <w:p>
      <w:pPr>
        <w:spacing w:after="0" w:line="170" w:lineRule="exact"/>
        <w:rPr>
          <w:sz w:val="20"/>
          <w:szCs w:val="20"/>
          <w:color w:val="auto"/>
        </w:rPr>
      </w:pPr>
    </w:p>
    <w:p>
      <w:pPr>
        <w:ind w:left="480" w:right="100" w:hanging="485"/>
        <w:spacing w:after="0" w:line="257" w:lineRule="auto"/>
        <w:tabs>
          <w:tab w:leader="none" w:pos="460" w:val="left"/>
        </w:tabs>
        <w:rPr>
          <w:sz w:val="20"/>
          <w:szCs w:val="20"/>
          <w:color w:val="auto"/>
        </w:rPr>
      </w:pPr>
      <w:r>
        <w:rPr>
          <w:rFonts w:ascii="Times New Roman" w:cs="Times New Roman" w:eastAsia="Times New Roman" w:hAnsi="Times New Roman"/>
          <w:sz w:val="18"/>
          <w:szCs w:val="18"/>
          <w:u w:val="single" w:color="auto"/>
          <w:color w:val="auto"/>
        </w:rPr>
        <w:t>17.9</w:t>
      </w:r>
      <w:r>
        <w:rPr>
          <w:sz w:val="20"/>
          <w:szCs w:val="20"/>
          <w:color w:val="auto"/>
        </w:rPr>
        <w:tab/>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Except as otherwise expressly provided herein, no alteration of or modification to the MSA shall be effective unless made in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writing and executed by an authorized representative of both Parties. No course of dealing or failing of either Party to strictly enforce any term, right or condition of the MSA in any instance shall be construed as a general waiver or relinquishment of such term, right or condition. The observance of any provision of the MSA may be waived (either generally or any given instance and either retroactively or prospectively) only with the written consent of the Party granting such waiver.</w:t>
      </w:r>
    </w:p>
    <w:p>
      <w:pPr>
        <w:spacing w:after="0" w:line="188" w:lineRule="exact"/>
        <w:rPr>
          <w:sz w:val="20"/>
          <w:szCs w:val="20"/>
          <w:color w:val="auto"/>
        </w:rPr>
      </w:pPr>
    </w:p>
    <w:p>
      <w:pPr>
        <w:jc w:val="both"/>
        <w:ind w:left="480" w:right="520" w:hanging="485"/>
        <w:spacing w:after="0" w:line="312" w:lineRule="auto"/>
        <w:rPr>
          <w:sz w:val="20"/>
          <w:szCs w:val="20"/>
          <w:color w:val="auto"/>
        </w:rPr>
      </w:pPr>
      <w:r>
        <w:rPr>
          <w:rFonts w:ascii="Times New Roman" w:cs="Times New Roman" w:eastAsia="Times New Roman" w:hAnsi="Times New Roman"/>
          <w:sz w:val="16"/>
          <w:szCs w:val="16"/>
          <w:u w:val="single" w:color="auto"/>
          <w:color w:val="auto"/>
        </w:rPr>
        <w:t>17.10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The Parties do not intend to violate any Applicable Law. However, if any sentence, paragraph, clause or combination of the MSA is in violation of any law or is found to be otherwise unenforceable, such sentence, paragraph, clause or combination of the same shall be deleted and the remainder of the MSA shall remain binding, provided that such deletion does not alter the basic purpose and structure of the MSA.</w:t>
      </w:r>
    </w:p>
    <w:p>
      <w:pPr>
        <w:spacing w:after="0" w:line="147" w:lineRule="exact"/>
        <w:rPr>
          <w:sz w:val="20"/>
          <w:szCs w:val="20"/>
          <w:color w:val="auto"/>
        </w:rPr>
      </w:pPr>
    </w:p>
    <w:p>
      <w:pPr>
        <w:ind w:left="480" w:right="20" w:hanging="485"/>
        <w:spacing w:after="0" w:line="342" w:lineRule="auto"/>
        <w:rPr>
          <w:sz w:val="20"/>
          <w:szCs w:val="20"/>
          <w:color w:val="auto"/>
        </w:rPr>
      </w:pPr>
      <w:r>
        <w:rPr>
          <w:rFonts w:ascii="Times New Roman" w:cs="Times New Roman" w:eastAsia="Times New Roman" w:hAnsi="Times New Roman"/>
          <w:sz w:val="16"/>
          <w:szCs w:val="16"/>
          <w:u w:val="single" w:color="auto"/>
          <w:color w:val="auto"/>
        </w:rPr>
        <w:t>17.11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Construction</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The Parties mutually acknowledge that they have participated in the negotiation and preparation of the MSA. Ambiguities, if any, in the MSA shall not be construed against any Party, irrespective of which Party may be deemed to have drafted the MSA or authorized the ambiguous provision.</w:t>
      </w:r>
    </w:p>
    <w:p>
      <w:pPr>
        <w:spacing w:after="0" w:line="124" w:lineRule="exact"/>
        <w:rPr>
          <w:sz w:val="20"/>
          <w:szCs w:val="20"/>
          <w:color w:val="auto"/>
        </w:rPr>
      </w:pPr>
    </w:p>
    <w:p>
      <w:pPr>
        <w:ind w:left="480" w:hanging="485"/>
        <w:spacing w:after="0" w:line="293" w:lineRule="auto"/>
        <w:rPr>
          <w:sz w:val="20"/>
          <w:szCs w:val="20"/>
          <w:color w:val="auto"/>
        </w:rPr>
      </w:pPr>
      <w:r>
        <w:rPr>
          <w:rFonts w:ascii="Times New Roman" w:cs="Times New Roman" w:eastAsia="Times New Roman" w:hAnsi="Times New Roman"/>
          <w:sz w:val="16"/>
          <w:szCs w:val="16"/>
          <w:u w:val="single" w:color="auto"/>
          <w:color w:val="auto"/>
        </w:rPr>
        <w:t>17.12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The captions and headings to the MSA are for convenience only, and are to be of no force or effect in construing or interpreting any of the provisions of the MSA. Unless context otherwise clearly requires, whenever used in the MSA: (a) the words “include” or “including” shall be construed as incorporating, also, “but not limited to” or “without limitation”; (b) the words “hereof,” “herein,” “hereby” and derivative or similar words refer to the MSA; (c) the word “law” or “laws” shall mean any applicable, legally binding statute, ordinance, resolution, regulation, code, guideline, rule, order, decree, judgment, injunction, mandate or other legally binding requirement of a governmental authority (including a court, tribunal, agency, legislative body or other instrumentality of any (i) government or country or territory, (ii) any state, province, county, city or other political subdivision thereof, or (iii) any supranational body); and (d) all references to the word “will” are interchangeable with the word “shall” and shall be understood to be imperative or mandatory in nature. All references to days, months, quarters or years are references to calendar days, calendar months, calendar quarters, or calendar years. Whenever any matter hereunder requires consent or approval, such consent or approval shall not be unreasonably withheld or delayed.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82" w:right="239" w:bottom="1440" w:gutter="0" w:footer="0" w:header="0"/>
        </w:sectPr>
      </w:pPr>
    </w:p>
    <w:bookmarkStart w:id="153" w:name="page154"/>
    <w:bookmarkEnd w:id="153"/>
    <w:p>
      <w:pPr>
        <w:ind w:left="500" w:hanging="485"/>
        <w:spacing w:after="0" w:line="277" w:lineRule="auto"/>
        <w:rPr>
          <w:sz w:val="20"/>
          <w:szCs w:val="20"/>
          <w:color w:val="auto"/>
        </w:rPr>
      </w:pPr>
      <w:r>
        <w:rPr>
          <w:rFonts w:ascii="Times New Roman" w:cs="Times New Roman" w:eastAsia="Times New Roman" w:hAnsi="Times New Roman"/>
          <w:sz w:val="18"/>
          <w:szCs w:val="18"/>
          <w:u w:val="single" w:color="auto"/>
          <w:color w:val="auto"/>
        </w:rPr>
        <w:t>17.13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MSA may be executed in two or more counterparts, each of which will be deemed an original, but all of which together will constitute one and the same instrument.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the MSA as of the date first above written.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TG THERAPEUTICS, INC.</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S. Weiss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-10160</wp:posOffset>
            </wp:positionV>
            <wp:extent cx="22294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01" w:lineRule="exact"/>
        <w:rPr>
          <w:sz w:val="20"/>
          <w:szCs w:val="20"/>
          <w:color w:val="auto"/>
        </w:rPr>
      </w:pPr>
    </w:p>
    <w:p>
      <w:pPr>
        <w:ind w:left="120" w:hanging="112"/>
        <w:spacing w:after="0"/>
        <w:tabs>
          <w:tab w:leader="none" w:pos="120" w:val="left"/>
        </w:tabs>
        <w:numPr>
          <w:ilvl w:val="0"/>
          <w:numId w:val="1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Confidential material redacted and filed separately with the Commission.</w:t>
      </w:r>
    </w:p>
    <w:p>
      <w:pPr>
        <w:spacing w:after="0" w:line="2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00"/>
      </w:cols>
      <w:pgMar w:left="240" w:top="772"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lvl w:ilvl="1">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1)"/>
      <w:numFmt w:val="decimal"/>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1)"/>
      <w:numFmt w:val="decimal"/>
      <w:start w:val="7"/>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1."/>
      <w:numFmt w:val="decimal"/>
      <w:start w:val="1"/>
    </w:lvl>
  </w:abstractNum>
  <w:abstractNum w:abstractNumId="48">
    <w:nsid w:val="6EB5BD4"/>
    <w:multiLevelType w:val="hybridMultilevel"/>
    <w:lvl w:ilvl="0">
      <w:lvlJc w:val="left"/>
      <w:lvlText w:val="%1."/>
      <w:numFmt w:val="decimal"/>
      <w:start w:val="3"/>
    </w:lvl>
  </w:abstractNum>
  <w:abstractNum w:abstractNumId="49">
    <w:nsid w:val="6F6DD9AC"/>
    <w:multiLevelType w:val="hybridMultilevel"/>
    <w:lvl w:ilvl="0">
      <w:lvlJc w:val="left"/>
      <w:lvlText w:val="#"/>
      <w:numFmt w:val="bullet"/>
      <w:start w:val="1"/>
    </w:lvl>
    <w:lvl w:ilvl="1">
      <w:lvlJc w:val="left"/>
      <w:lvlText w:val="%2"/>
      <w:numFmt w:val="decimal"/>
      <w:start w:val="10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1)"/>
      <w:numFmt w:val="decimal"/>
      <w:start w:val="7"/>
    </w:lvl>
  </w:abstractNum>
  <w:abstractNum w:abstractNumId="57">
    <w:nsid w:val="74DE0E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8">
    <w:nsid w:val="68EBC550"/>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59">
    <w:nsid w:val="2DF6D6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46B7D447"/>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1">
    <w:nsid w:val="4A2AC315"/>
    <w:multiLevelType w:val="hybridMultilevel"/>
    <w:lvl w:ilvl="0">
      <w:lvlJc w:val="left"/>
      <w:lvlText w:val="%1)"/>
      <w:numFmt w:val="decimal"/>
      <w:start w:val="1"/>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1)"/>
      <w:numFmt w:val="lowerRoman"/>
      <w:start w:val="7"/>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1)"/>
      <w:numFmt w:val="lowerRoman"/>
      <w:start w:val="5"/>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86">
    <w:nsid w:val="6A3DD3E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87">
    <w:nsid w:val="71C91298"/>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88">
    <w:nsid w:val="9DAF632"/>
    <w:multiLevelType w:val="hybridMultilevel"/>
    <w:lvl w:ilvl="0">
      <w:lvlJc w:val="left"/>
      <w:lvlText w:val="%1"/>
      <w:numFmt w:val="lowerLetter"/>
      <w:start w:val="1"/>
    </w:lvl>
    <w:lvl w:ilvl="1">
      <w:lvlJc w:val="left"/>
      <w:lvlText w:val="(%2)"/>
      <w:numFmt w:val="lowerRoman"/>
      <w:start w:val="3"/>
    </w:lvl>
  </w:abstractNum>
  <w:abstractNum w:abstractNumId="89">
    <w:nsid w:val="53299938"/>
    <w:multiLevelType w:val="hybridMultilevel"/>
    <w:lvl w:ilvl="0">
      <w:lvlJc w:val="left"/>
      <w:lvlText w:val="(%1)"/>
      <w:numFmt w:val="lowerLetter"/>
      <w:start w:val="3"/>
    </w:lvl>
    <w:lvl w:ilvl="1">
      <w:lvlJc w:val="left"/>
      <w:lvlText w:val="(%2)"/>
      <w:numFmt w:val="lowerRoman"/>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92">
    <w:nsid w:val="1D545C4D"/>
    <w:multiLevelType w:val="hybridMultilevel"/>
    <w:lvl w:ilvl="0">
      <w:lvlJc w:val="left"/>
      <w:lvlText w:val="*"/>
      <w:numFmt w:val="bullet"/>
      <w:start w:val="1"/>
    </w:lvl>
    <w:lvl w:ilvl="1">
      <w:lvlJc w:val="left"/>
      <w:lvlText w:val="(%2)"/>
      <w:numFmt w:val="lowerLetter"/>
      <w:start w:val="61"/>
    </w:lvl>
    <w:lvl w:ilvl="2">
      <w:lvlJc w:val="left"/>
      <w:lvlText w:val="(%3)"/>
      <w:numFmt w:val="lowerLetter"/>
      <w:start w:val="2"/>
    </w:lvl>
  </w:abstractNum>
  <w:abstractNum w:abstractNumId="93">
    <w:nsid w:val="59ADEA3D"/>
    <w:multiLevelType w:val="hybridMultilevel"/>
    <w:lvl w:ilvl="0">
      <w:lvlJc w:val="left"/>
      <w:lvlText w:val="(%1)"/>
      <w:numFmt w:val="lowerLetter"/>
      <w:start w:val="4"/>
    </w:lvl>
    <w:lvl w:ilvl="1">
      <w:lvlJc w:val="left"/>
      <w:lvlText w:val="(%2)"/>
      <w:numFmt w:val="lowerRoman"/>
      <w:start w:val="1"/>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1)"/>
      <w:numFmt w:val="lowerRoman"/>
      <w:start w:val="2"/>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1)"/>
      <w:numFmt w:val="lowerLetter"/>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
      <w:numFmt w:val="bullet"/>
      <w:start w:val="1"/>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
      <w:numFmt w:val="bullet"/>
      <w:start w:val="1"/>
    </w:lvl>
  </w:abstractNum>
  <w:abstractNum w:abstractNumId="105">
    <w:nsid w:val="5C10FE21"/>
    <w:multiLevelType w:val="hybridMultilevel"/>
    <w:lvl w:ilvl="0">
      <w:lvlJc w:val="left"/>
      <w:lvlText w:val="(%1)"/>
      <w:numFmt w:val="lowerLetter"/>
      <w:start w:val="3"/>
    </w:lvl>
  </w:abstractNum>
  <w:abstractNum w:abstractNumId="106">
    <w:nsid w:val="E7FFA2B"/>
    <w:multiLevelType w:val="hybridMultilevel"/>
    <w:lvl w:ilvl="0">
      <w:lvlJc w:val="left"/>
      <w:lvlText w:val="*"/>
      <w:numFmt w:val="bullet"/>
      <w:start w:val="1"/>
    </w:lvl>
  </w:abstractNum>
  <w:abstractNum w:abstractNumId="107">
    <w:nsid w:val="3C5991AA"/>
    <w:multiLevelType w:val="hybridMultilevel"/>
    <w:lvl w:ilvl="0">
      <w:lvlJc w:val="left"/>
      <w:lvlText w:val="*"/>
      <w:numFmt w:val="bullet"/>
      <w:start w:val="1"/>
    </w:lvl>
  </w:abstractNum>
  <w:abstractNum w:abstractNumId="108">
    <w:nsid w:val="4BD8591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09">
    <w:nsid w:val="78DF6A5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110">
    <w:nsid w:val="39B7AAA2"/>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11">
    <w:nsid w:val="2B0D8DB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112">
    <w:nsid w:val="6C80EC70"/>
    <w:multiLevelType w:val="hybridMultilevel"/>
    <w:lvl w:ilvl="0">
      <w:lvlJc w:val="left"/>
      <w:lvlText w:val="(%1)"/>
      <w:numFmt w:val="lowerLetter"/>
      <w:start w:val="3"/>
    </w:lvl>
  </w:abstractNum>
  <w:abstractNum w:abstractNumId="113">
    <w:nsid w:val="379E21B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4">
    <w:nsid w:val="69E373"/>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115">
    <w:nsid w:val="2C27173B"/>
    <w:multiLevelType w:val="hybridMultilevel"/>
    <w:lvl w:ilvl="0">
      <w:lvlJc w:val="left"/>
      <w:lvlText w:val="%1"/>
      <w:numFmt w:val="lowerLetter"/>
      <w:start w:val="1"/>
    </w:lvl>
    <w:lvl w:ilvl="1">
      <w:lvlJc w:val="left"/>
      <w:lvlText w:val="(%2)"/>
      <w:numFmt w:val="lowerRoman"/>
      <w:start w:val="2"/>
    </w:lvl>
  </w:abstractNum>
  <w:abstractNum w:abstractNumId="116">
    <w:nsid w:val="4C9B0904"/>
    <w:multiLevelType w:val="hybridMultilevel"/>
    <w:lvl w:ilvl="0">
      <w:lvlJc w:val="left"/>
      <w:lvlText w:val="(%1)"/>
      <w:numFmt w:val="lowerLetter"/>
      <w:start w:val="6"/>
    </w:lvl>
    <w:lvl w:ilvl="1">
      <w:lvlJc w:val="left"/>
      <w:lvlText w:val="%2"/>
      <w:numFmt w:val="lowerRoman"/>
      <w:start w:val="1"/>
    </w:lvl>
  </w:abstractNum>
  <w:abstractNum w:abstractNumId="117">
    <w:nsid w:val="6AA7B75C"/>
    <w:multiLevelType w:val="hybridMultilevel"/>
    <w:lvl w:ilvl="0">
      <w:lvlJc w:val="left"/>
      <w:lvlText w:val="*"/>
      <w:numFmt w:val="bullet"/>
      <w:start w:val="1"/>
    </w:lvl>
  </w:abstractNum>
  <w:abstractNum w:abstractNumId="118">
    <w:nsid w:val="1DF029D3"/>
    <w:multiLevelType w:val="hybridMultilevel"/>
    <w:lvl w:ilvl="0">
      <w:lvlJc w:val="left"/>
      <w:lvlText w:val="*"/>
      <w:numFmt w:val="bullet"/>
      <w:start w:val="1"/>
    </w:lvl>
  </w:abstractNum>
  <w:abstractNum w:abstractNumId="119">
    <w:nsid w:val="5675FF36"/>
    <w:multiLevelType w:val="hybridMultilevel"/>
    <w:lvl w:ilvl="0">
      <w:lvlJc w:val="left"/>
      <w:lvlText w:val="*"/>
      <w:numFmt w:val="bullet"/>
      <w:start w:val="1"/>
    </w:lvl>
  </w:abstractNum>
  <w:abstractNum w:abstractNumId="120">
    <w:nsid w:val="3DD150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8" Type="http://schemas.openxmlformats.org/officeDocument/2006/relationships/image" Target="media/image80.png"/><Relationship Id="rId90" Type="http://schemas.openxmlformats.org/officeDocument/2006/relationships/image" Target="media/image81.png"/><Relationship Id="rId92" Type="http://schemas.openxmlformats.org/officeDocument/2006/relationships/image" Target="media/image82.png"/><Relationship Id="rId94" Type="http://schemas.openxmlformats.org/officeDocument/2006/relationships/image" Target="media/image83.png"/><Relationship Id="rId96"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1" Type="http://schemas.openxmlformats.org/officeDocument/2006/relationships/image" Target="media/image87.png"/><Relationship Id="rId103" Type="http://schemas.openxmlformats.org/officeDocument/2006/relationships/image" Target="media/image88.png"/><Relationship Id="rId105" Type="http://schemas.openxmlformats.org/officeDocument/2006/relationships/image" Target="media/image89.png"/><Relationship Id="rId107" Type="http://schemas.openxmlformats.org/officeDocument/2006/relationships/image" Target="media/image90.png"/><Relationship Id="rId109" Type="http://schemas.openxmlformats.org/officeDocument/2006/relationships/image" Target="media/image91.png"/><Relationship Id="rId111" Type="http://schemas.openxmlformats.org/officeDocument/2006/relationships/image" Target="media/image92.png"/><Relationship Id="rId113" Type="http://schemas.openxmlformats.org/officeDocument/2006/relationships/image" Target="media/image93.png"/><Relationship Id="rId115" Type="http://schemas.openxmlformats.org/officeDocument/2006/relationships/image" Target="media/image94.png"/><Relationship Id="rId117"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2" Type="http://schemas.openxmlformats.org/officeDocument/2006/relationships/image" Target="media/image98.png"/><Relationship Id="rId124"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9" Type="http://schemas.openxmlformats.org/officeDocument/2006/relationships/image" Target="media/image102.png"/><Relationship Id="rId131" Type="http://schemas.openxmlformats.org/officeDocument/2006/relationships/image" Target="media/image103.png"/><Relationship Id="rId133" Type="http://schemas.openxmlformats.org/officeDocument/2006/relationships/image" Target="media/image104.png"/><Relationship Id="rId135" Type="http://schemas.openxmlformats.org/officeDocument/2006/relationships/image" Target="media/image105.png"/><Relationship Id="rId137"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87" Type="http://schemas.openxmlformats.org/officeDocument/2006/relationships/hyperlink" Target="http://www.sec.gov/Archives/edgar/data/1001316/000114420412044111/v320662_ex3-1.htm" TargetMode="External"/><Relationship Id="rId89" Type="http://schemas.openxmlformats.org/officeDocument/2006/relationships/hyperlink" Target="http://www.sec.gov/Archives/edgar/data/1001316/000114420414044721/v383699_ex3-2.htm" TargetMode="External"/><Relationship Id="rId91" Type="http://schemas.openxmlformats.org/officeDocument/2006/relationships/hyperlink" Target="http://www.sec.gov/Archives/edgar/data/1001316/000114420414043936/v384259_ex3-1.htm" TargetMode="External"/><Relationship Id="rId93" Type="http://schemas.openxmlformats.org/officeDocument/2006/relationships/hyperlink" Target="http://www.sec.gov/Archives/edgar/data/1001316/000114420412014947/v305275_ex4-1.htm" TargetMode="External"/><Relationship Id="rId95" Type="http://schemas.openxmlformats.org/officeDocument/2006/relationships/hyperlink" Target="http://www.sec.gov/Archives/edgar/data/1001316/000114420414043960/v384258_ex4-1.htm" TargetMode="External"/><Relationship Id="rId97" Type="http://schemas.openxmlformats.org/officeDocument/2006/relationships/hyperlink" Target="http://www.sec.gov/Archives/edgar/data/1001316/000114420411013227/v213865_ex10-1.htm" TargetMode="External"/><Relationship Id="rId100" Type="http://schemas.openxmlformats.org/officeDocument/2006/relationships/hyperlink" Target="http://www.sec.gov/Archives/edgar/data/1001316/000114420412014947/v305275_ex10-30.htm" TargetMode="External"/><Relationship Id="rId102" Type="http://schemas.openxmlformats.org/officeDocument/2006/relationships/hyperlink" Target="http://www.sec.gov/Archives/edgar/data/1001316/000114420412014947/v305275_ex10-31.htm" TargetMode="External"/><Relationship Id="rId104" Type="http://schemas.openxmlformats.org/officeDocument/2006/relationships/hyperlink" Target="http://www.sec.gov/Archives/edgar/data/1001316/000114420413039748/v350136_ex10-1.htm" TargetMode="External"/><Relationship Id="rId106" Type="http://schemas.openxmlformats.org/officeDocument/2006/relationships/hyperlink" Target="http://www.sec.gov/Archives/edgar/data/1001316/000114420415001128/v398294_ex10-1.htm" TargetMode="External"/><Relationship Id="rId108" Type="http://schemas.openxmlformats.org/officeDocument/2006/relationships/hyperlink" Target="http://www.sec.gov/Archives/edgar/data/1001316/000114420412014947/v305275_ex10-32.htm" TargetMode="External"/><Relationship Id="rId110" Type="http://schemas.openxmlformats.org/officeDocument/2006/relationships/hyperlink" Target="http://www.sec.gov/Archives/edgar/data/1001316/000114420412014947/v305275_ex10-33.htm" TargetMode="External"/><Relationship Id="rId112" Type="http://schemas.openxmlformats.org/officeDocument/2006/relationships/hyperlink" Target="http://www.sec.gov/Archives/edgar/data/1001316/000114420413039748/v350136_ex10-2.htm" TargetMode="External"/><Relationship Id="rId114" Type="http://schemas.openxmlformats.org/officeDocument/2006/relationships/hyperlink" Target="http://www.sec.gov/Archives/edgar/data/1001316/000114420415001128/v398294_ex10-2.htm" TargetMode="External"/><Relationship Id="rId116" Type="http://schemas.openxmlformats.org/officeDocument/2006/relationships/hyperlink" Target="http://www.sec.gov/Archives/edgar/data/1001316/000114420412014947/v305275_ex10-35.htm" TargetMode="External"/><Relationship Id="rId118" Type="http://schemas.openxmlformats.org/officeDocument/2006/relationships/hyperlink" Target="http://www.sec.gov/Archives/edgar/data/1001316/000114420412029703/v313328_ex10-1.htm" TargetMode="External"/><Relationship Id="rId121" Type="http://schemas.openxmlformats.org/officeDocument/2006/relationships/hyperlink" Target="http://www.sec.gov/Archives/edgar/data/1001316/000114420413016691/v335518_ex10-37.htm" TargetMode="External"/><Relationship Id="rId123" Type="http://schemas.openxmlformats.org/officeDocument/2006/relationships/hyperlink" Target="http://www.sec.gov/Archives/edgar/data/1001316/000114420414044721/v383699_ex10-1.htm" TargetMode="External"/><Relationship Id="rId125" Type="http://schemas.openxmlformats.org/officeDocument/2006/relationships/hyperlink" Target="http://www.sec.gov/Archives/edgar/data/1001316/000114420415002790/v399000_ex10-1.htm" TargetMode="External"/><Relationship Id="rId128" Type="http://schemas.openxmlformats.org/officeDocument/2006/relationships/hyperlink" Target="http://www.sec.gov/Archives/edgar/data/1001316/000114420415029311/v408312_ex10-1.htm" TargetMode="External"/><Relationship Id="rId130" Type="http://schemas.openxmlformats.org/officeDocument/2006/relationships/hyperlink" Target="http://www.sec.gov/Archives/edgar/data/1001316/000165495416001302/Exhibit10-1_Sublicense.htm" TargetMode="External"/><Relationship Id="rId132" Type="http://schemas.openxmlformats.org/officeDocument/2006/relationships/hyperlink" Target="http://www.sec.gov/Archives/edgar/data/1001316/000165495417002229/v032117_EX1018.htm" TargetMode="External"/><Relationship Id="rId134" Type="http://schemas.openxmlformats.org/officeDocument/2006/relationships/hyperlink" Target="http://www.sec.gov/Archives/edgar/data/1001316/000165495417002229/v032117_EX1019.htm" TargetMode="External"/><Relationship Id="rId136" Type="http://schemas.openxmlformats.org/officeDocument/2006/relationships/hyperlink" Target="http://www.sec.gov/Archives/edgar/data/1001316/000165495418002638/tgtx_ex1020.htm" TargetMode="External"/><Relationship Id="rId138" Type="http://schemas.openxmlformats.org/officeDocument/2006/relationships/hyperlink" Target="http://www.sec.gov/Archives/edgar/data/1001316/000165495418008750/exhibit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2019-12-28T15:35:56Z</dcterms:created>
  <dcterms:modified xsi:type="dcterms:W3CDTF">2019-12-28T15:35:56Z</dcterms:modified>
</cp:coreProperties>
</file>