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5"/>
          <w:szCs w:val="15"/>
          <w:b w:val="1"/>
          <w:bCs w:val="1"/>
          <w:color w:val="auto"/>
        </w:rPr>
        <w:t>As filed with the Securities and Exchange Commission on September 5, 2019</w:t>
      </w:r>
    </w:p>
    <w:p>
      <w:pPr>
        <w:spacing w:after="0" w:line="56" w:lineRule="exact"/>
        <w:rPr>
          <w:sz w:val="24"/>
          <w:szCs w:val="24"/>
          <w:color w:val="auto"/>
        </w:rPr>
      </w:pPr>
    </w:p>
    <w:p>
      <w:pPr>
        <w:ind w:left="9300"/>
        <w:spacing w:after="0"/>
        <w:rPr>
          <w:sz w:val="20"/>
          <w:szCs w:val="20"/>
          <w:color w:val="auto"/>
        </w:rPr>
      </w:pPr>
      <w:r>
        <w:rPr>
          <w:rFonts w:ascii="Arial" w:cs="Arial" w:eastAsia="Arial" w:hAnsi="Arial"/>
          <w:sz w:val="15"/>
          <w:szCs w:val="15"/>
          <w:b w:val="1"/>
          <w:bCs w:val="1"/>
          <w:color w:val="auto"/>
        </w:rPr>
        <w:t>Registration No. 333-</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S-3</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TG THERAPEUTICS,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49" w:right="239" w:bottom="1440" w:gutter="0" w:footer="0" w:header="0"/>
        </w:sectPr>
      </w:pPr>
    </w:p>
    <w:p>
      <w:pPr>
        <w:spacing w:after="0" w:line="232"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36-3898269</w:t>
      </w:r>
    </w:p>
    <w:p>
      <w:pPr>
        <w:spacing w:after="0" w:line="21" w:lineRule="exact"/>
        <w:rPr>
          <w:sz w:val="24"/>
          <w:szCs w:val="24"/>
          <w:color w:val="auto"/>
        </w:rPr>
      </w:pPr>
    </w:p>
    <w:p>
      <w:pPr>
        <w:jc w:val="center"/>
        <w:ind w:right="14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560" w:space="720"/>
            <w:col w:w="4140"/>
          </w:cols>
          <w:pgMar w:left="240" w:top="449" w:right="239" w:bottom="1440" w:gutter="0" w:footer="0" w:header="0"/>
          <w:type w:val="continuous"/>
        </w:sectPr>
      </w:pP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 Gansevoort Street, 9th Floor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Sean Power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Gansevoort Street, 9th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554-4484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Commission is requested to send copies of all communications to:</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F. McElreath,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Alston &amp; Bird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210-9595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922-3995</w:t>
      </w:r>
    </w:p>
    <w:p>
      <w:pPr>
        <w:spacing w:after="0" w:line="200" w:lineRule="exact"/>
        <w:rPr>
          <w:sz w:val="24"/>
          <w:szCs w:val="24"/>
          <w:color w:val="auto"/>
        </w:rPr>
      </w:pPr>
    </w:p>
    <w:p>
      <w:pPr>
        <w:spacing w:after="0" w:line="229" w:lineRule="exact"/>
        <w:rPr>
          <w:sz w:val="24"/>
          <w:szCs w:val="24"/>
          <w:color w:val="auto"/>
        </w:rPr>
      </w:pPr>
    </w:p>
    <w:p>
      <w:pPr>
        <w:ind w:left="500"/>
        <w:spacing w:after="0"/>
        <w:tabs>
          <w:tab w:leader="none" w:pos="5700" w:val="left"/>
        </w:tabs>
        <w:rPr>
          <w:sz w:val="20"/>
          <w:szCs w:val="20"/>
          <w:color w:val="auto"/>
        </w:rPr>
      </w:pPr>
      <w:r>
        <w:rPr>
          <w:rFonts w:ascii="Arial" w:cs="Arial" w:eastAsia="Arial" w:hAnsi="Arial"/>
          <w:sz w:val="18"/>
          <w:szCs w:val="18"/>
          <w:b w:val="1"/>
          <w:bCs w:val="1"/>
          <w:color w:val="auto"/>
        </w:rPr>
        <w:t>Approximate date of commencement of proposed sale to the public:</w:t>
      </w:r>
      <w:r>
        <w:rPr>
          <w:sz w:val="20"/>
          <w:szCs w:val="20"/>
          <w:color w:val="auto"/>
        </w:rPr>
        <w:tab/>
      </w:r>
      <w:r>
        <w:rPr>
          <w:rFonts w:ascii="Arial" w:cs="Arial" w:eastAsia="Arial" w:hAnsi="Arial"/>
          <w:sz w:val="16"/>
          <w:szCs w:val="16"/>
          <w:color w:val="auto"/>
        </w:rPr>
        <w:t>From time to time after the effective date of this registration statement.</w:t>
      </w:r>
    </w:p>
    <w:p>
      <w:pPr>
        <w:spacing w:after="0" w:line="231" w:lineRule="exact"/>
        <w:rPr>
          <w:sz w:val="24"/>
          <w:szCs w:val="24"/>
          <w:color w:val="auto"/>
        </w:rPr>
      </w:pPr>
    </w:p>
    <w:p>
      <w:pPr>
        <w:ind w:firstLine="48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91" w:lineRule="exact"/>
        <w:rPr>
          <w:sz w:val="24"/>
          <w:szCs w:val="24"/>
          <w:color w:val="auto"/>
        </w:rPr>
      </w:pPr>
    </w:p>
    <w:p>
      <w:pPr>
        <w:ind w:right="20" w:firstLine="48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91" w:lineRule="exact"/>
        <w:rPr>
          <w:sz w:val="24"/>
          <w:szCs w:val="24"/>
          <w:color w:val="auto"/>
        </w:rPr>
      </w:pPr>
    </w:p>
    <w:p>
      <w:pPr>
        <w:ind w:right="20" w:firstLine="486"/>
        <w:spacing w:after="0" w:line="23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______</w:t>
      </w:r>
    </w:p>
    <w:p>
      <w:pPr>
        <w:spacing w:after="0" w:line="190" w:lineRule="exact"/>
        <w:rPr>
          <w:sz w:val="24"/>
          <w:szCs w:val="24"/>
          <w:color w:val="auto"/>
        </w:rPr>
      </w:pPr>
    </w:p>
    <w:p>
      <w:pPr>
        <w:ind w:firstLine="48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Arial" w:cs="Arial" w:eastAsia="Arial" w:hAnsi="Arial"/>
          <w:sz w:val="18"/>
          <w:szCs w:val="18"/>
          <w:color w:val="auto"/>
        </w:rPr>
        <w:t xml:space="preserve">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jc w:val="both"/>
        <w:ind w:firstLine="48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91" w:lineRule="exact"/>
        <w:rPr>
          <w:sz w:val="20"/>
          <w:szCs w:val="20"/>
          <w:color w:val="auto"/>
        </w:rPr>
      </w:pPr>
    </w:p>
    <w:p>
      <w:pPr>
        <w:jc w:val="both"/>
        <w:ind w:firstLine="48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9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563"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right="120"/>
        <w:spacing w:after="0" w:line="426"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7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514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64"/>
        </w:trPr>
        <w:tc>
          <w:tcPr>
            <w:tcW w:w="27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514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highlight w:val="black"/>
                <w:w w:val="88"/>
              </w:rPr>
              <w:t>☐</w:t>
            </w:r>
          </w:p>
        </w:tc>
      </w:tr>
      <w:tr>
        <w:trPr>
          <w:trHeight w:val="275"/>
        </w:trPr>
        <w:tc>
          <w:tcPr>
            <w:tcW w:w="2720" w:type="dxa"/>
            <w:vAlign w:val="bottom"/>
          </w:tcPr>
          <w:p>
            <w:pPr>
              <w:spacing w:after="0"/>
              <w:rPr>
                <w:sz w:val="23"/>
                <w:szCs w:val="23"/>
                <w:color w:val="auto"/>
              </w:rPr>
            </w:pPr>
          </w:p>
        </w:tc>
        <w:tc>
          <w:tcPr>
            <w:tcW w:w="5140" w:type="dxa"/>
            <w:vAlign w:val="bottom"/>
          </w:tcPr>
          <w:p>
            <w:pPr>
              <w:ind w:left="252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highlight w:val="black"/>
                <w:w w:val="88"/>
              </w:rPr>
              <w:t>☐</w:t>
            </w:r>
          </w:p>
        </w:tc>
      </w:tr>
    </w:tbl>
    <w:p>
      <w:pPr>
        <w:spacing w:after="0" w:line="190" w:lineRule="exact"/>
        <w:rPr>
          <w:sz w:val="20"/>
          <w:szCs w:val="20"/>
          <w:color w:val="auto"/>
        </w:rPr>
      </w:pPr>
    </w:p>
    <w:p>
      <w:pPr>
        <w:sectPr>
          <w:pgSz w:w="11900" w:h="16838" w:orient="portrait"/>
          <w:cols w:equalWidth="0" w:num="2">
            <w:col w:w="1700" w:space="720"/>
            <w:col w:w="9000"/>
          </w:cols>
          <w:pgMar w:left="240" w:top="563" w:right="239" w:bottom="1440" w:gutter="0" w:footer="0" w:header="0"/>
          <w:type w:val="continuous"/>
        </w:sectPr>
      </w:pPr>
    </w:p>
    <w:p>
      <w:pPr>
        <w:ind w:firstLine="486"/>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280" w:type="dxa"/>
            <w:vAlign w:val="bottom"/>
            <w:tcBorders>
              <w:top w:val="single" w:sz="8" w:color="auto"/>
              <w:left w:val="single" w:sz="8" w:color="auto"/>
              <w:right w:val="single" w:sz="8" w:color="auto"/>
            </w:tcBorders>
          </w:tcPr>
          <w:p>
            <w:pPr>
              <w:spacing w:after="0"/>
              <w:rPr>
                <w:sz w:val="19"/>
                <w:szCs w:val="19"/>
                <w:color w:val="auto"/>
              </w:rPr>
            </w:pPr>
          </w:p>
        </w:tc>
        <w:tc>
          <w:tcPr>
            <w:tcW w:w="1620" w:type="dxa"/>
            <w:vAlign w:val="bottom"/>
            <w:tcBorders>
              <w:top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600" w:type="dxa"/>
            <w:vAlign w:val="bottom"/>
            <w:tcBorders>
              <w:top w:val="single" w:sz="8" w:color="auto"/>
              <w:right w:val="single" w:sz="8" w:color="auto"/>
            </w:tcBorders>
          </w:tcPr>
          <w:p>
            <w:pPr>
              <w:spacing w:after="0"/>
              <w:rPr>
                <w:sz w:val="19"/>
                <w:szCs w:val="19"/>
                <w:color w:val="auto"/>
              </w:rPr>
            </w:pPr>
          </w:p>
        </w:tc>
        <w:tc>
          <w:tcPr>
            <w:tcW w:w="1580" w:type="dxa"/>
            <w:vAlign w:val="bottom"/>
            <w:tcBorders>
              <w:top w:val="single" w:sz="8" w:color="auto"/>
              <w:right w:val="single" w:sz="8" w:color="auto"/>
            </w:tcBorders>
          </w:tcPr>
          <w:p>
            <w:pPr>
              <w:spacing w:after="0"/>
              <w:rPr>
                <w:sz w:val="19"/>
                <w:szCs w:val="19"/>
                <w:color w:val="auto"/>
              </w:rPr>
            </w:pP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Amount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Proposed Maximum</w:t>
            </w:r>
          </w:p>
        </w:tc>
        <w:tc>
          <w:tcPr>
            <w:tcW w:w="1580" w:type="dxa"/>
            <w:vAlign w:val="bottom"/>
            <w:tcBorders>
              <w:right w:val="single" w:sz="8" w:color="auto"/>
            </w:tcBorders>
          </w:tcPr>
          <w:p>
            <w:pPr>
              <w:spacing w:after="0"/>
              <w:rPr>
                <w:sz w:val="18"/>
                <w:szCs w:val="18"/>
                <w:color w:val="auto"/>
              </w:rPr>
            </w:pPr>
          </w:p>
        </w:tc>
      </w:tr>
      <w:tr>
        <w:trPr>
          <w:trHeight w:val="216"/>
        </w:trPr>
        <w:tc>
          <w:tcPr>
            <w:tcW w:w="5280" w:type="dxa"/>
            <w:vAlign w:val="bottom"/>
            <w:tcBorders>
              <w:left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rPr>
              <w:t>Title of Each Class of</w:t>
            </w:r>
          </w:p>
        </w:tc>
        <w:tc>
          <w:tcPr>
            <w:tcW w:w="1620" w:type="dxa"/>
            <w:vAlign w:val="bottom"/>
            <w:tcBorders>
              <w:right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9"/>
              </w:rPr>
              <w:t>to be Registered (1)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Aggregate Offering</w:t>
            </w:r>
          </w:p>
        </w:tc>
        <w:tc>
          <w:tcPr>
            <w:tcW w:w="158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Amount of</w:t>
            </w:r>
          </w:p>
        </w:tc>
      </w:tr>
      <w:tr>
        <w:trPr>
          <w:trHeight w:val="237"/>
        </w:trPr>
        <w:tc>
          <w:tcPr>
            <w:tcW w:w="5280" w:type="dxa"/>
            <w:vAlign w:val="bottom"/>
            <w:tcBorders>
              <w:left w:val="single" w:sz="8" w:color="auto"/>
              <w:bottom w:val="single" w:sz="8" w:color="auto"/>
              <w:right w:val="single" w:sz="8" w:color="auto"/>
            </w:tcBorders>
          </w:tcPr>
          <w:p>
            <w:pPr>
              <w:ind w:left="1660"/>
              <w:spacing w:after="0"/>
              <w:rPr>
                <w:sz w:val="20"/>
                <w:szCs w:val="20"/>
                <w:color w:val="auto"/>
              </w:rPr>
            </w:pPr>
            <w:r>
              <w:rPr>
                <w:rFonts w:ascii="Arial" w:cs="Arial" w:eastAsia="Arial" w:hAnsi="Arial"/>
                <w:sz w:val="18"/>
                <w:szCs w:val="18"/>
                <w:b w:val="1"/>
                <w:bCs w:val="1"/>
                <w:color w:val="auto"/>
              </w:rPr>
              <w:t>Securities to be Registered</w:t>
            </w:r>
          </w:p>
        </w:tc>
        <w:tc>
          <w:tcPr>
            <w:tcW w:w="1620" w:type="dxa"/>
            <w:vAlign w:val="bottom"/>
            <w:tcBorders>
              <w:bottom w:val="single" w:sz="8" w:color="auto"/>
              <w:right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Per Unit (1)(2)</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 (1)(2)</w:t>
            </w:r>
          </w:p>
        </w:tc>
        <w:tc>
          <w:tcPr>
            <w:tcW w:w="1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w w:val="90"/>
              </w:rPr>
              <w:t>Registration Fee (3)</w:t>
            </w:r>
          </w:p>
        </w:tc>
      </w:tr>
      <w:tr>
        <w:trPr>
          <w:trHeight w:val="223"/>
        </w:trPr>
        <w:tc>
          <w:tcPr>
            <w:tcW w:w="5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$0.001 par value per share(4)</w:t>
            </w:r>
          </w:p>
        </w:tc>
        <w:tc>
          <w:tcPr>
            <w:tcW w:w="1620" w:type="dxa"/>
            <w:vAlign w:val="bottom"/>
            <w:tcBorders>
              <w:bottom w:val="single" w:sz="8" w:color="auto"/>
              <w:right w:val="single" w:sz="8" w:color="auto"/>
            </w:tcBorders>
          </w:tcPr>
          <w:p>
            <w:pPr>
              <w:jc w:val="right"/>
              <w:ind w:right="69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Preferred Stock, $0.001 par value per share(4)</w:t>
            </w:r>
          </w:p>
        </w:tc>
        <w:tc>
          <w:tcPr>
            <w:tcW w:w="1620" w:type="dxa"/>
            <w:vAlign w:val="bottom"/>
            <w:tcBorders>
              <w:bottom w:val="single" w:sz="8" w:color="auto"/>
              <w:right w:val="single" w:sz="8" w:color="auto"/>
            </w:tcBorders>
          </w:tcPr>
          <w:p>
            <w:pPr>
              <w:jc w:val="right"/>
              <w:ind w:right="69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Warrants</w:t>
            </w:r>
          </w:p>
        </w:tc>
        <w:tc>
          <w:tcPr>
            <w:tcW w:w="1620" w:type="dxa"/>
            <w:vAlign w:val="bottom"/>
            <w:tcBorders>
              <w:bottom w:val="single" w:sz="8" w:color="auto"/>
              <w:right w:val="single" w:sz="8" w:color="auto"/>
            </w:tcBorders>
          </w:tcPr>
          <w:p>
            <w:pPr>
              <w:jc w:val="right"/>
              <w:ind w:right="69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Debt Securities</w:t>
            </w:r>
          </w:p>
        </w:tc>
        <w:tc>
          <w:tcPr>
            <w:tcW w:w="1620" w:type="dxa"/>
            <w:vAlign w:val="bottom"/>
            <w:tcBorders>
              <w:bottom w:val="single" w:sz="8" w:color="auto"/>
              <w:right w:val="single" w:sz="8" w:color="auto"/>
            </w:tcBorders>
          </w:tcPr>
          <w:p>
            <w:pPr>
              <w:jc w:val="right"/>
              <w:ind w:right="69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40"/>
        </w:trPr>
        <w:tc>
          <w:tcPr>
            <w:tcW w:w="5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Units(5)</w:t>
            </w:r>
          </w:p>
        </w:tc>
        <w:tc>
          <w:tcPr>
            <w:tcW w:w="1620" w:type="dxa"/>
            <w:vAlign w:val="bottom"/>
            <w:tcBorders>
              <w:bottom w:val="single" w:sz="8" w:color="auto"/>
              <w:right w:val="single" w:sz="8" w:color="auto"/>
            </w:tcBorders>
          </w:tcPr>
          <w:p>
            <w:pPr>
              <w:jc w:val="right"/>
              <w:ind w:right="69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07"/>
        </w:trPr>
        <w:tc>
          <w:tcPr>
            <w:tcW w:w="5280" w:type="dxa"/>
            <w:vAlign w:val="bottom"/>
            <w:tcBorders>
              <w:left w:val="single" w:sz="8" w:color="auto"/>
              <w:bottom w:val="single" w:sz="8" w:color="auto"/>
              <w:right w:val="single" w:sz="8" w:color="auto"/>
            </w:tcBorders>
          </w:tcPr>
          <w:p>
            <w:pPr>
              <w:ind w:left="40"/>
              <w:spacing w:after="0" w:line="200" w:lineRule="exact"/>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right w:val="single" w:sz="8" w:color="auto"/>
            </w:tcBorders>
          </w:tcPr>
          <w:p>
            <w:pPr>
              <w:jc w:val="right"/>
              <w:ind w:right="692"/>
              <w:spacing w:after="0" w:line="200"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right w:val="single" w:sz="8" w:color="auto"/>
            </w:tcBorders>
          </w:tcPr>
          <w:p>
            <w:pPr>
              <w:ind w:left="660"/>
              <w:spacing w:after="0" w:line="200"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right w:val="single" w:sz="8" w:color="auto"/>
            </w:tcBorders>
          </w:tcPr>
          <w:p>
            <w:pPr>
              <w:ind w:left="640"/>
              <w:spacing w:after="0" w:line="200" w:lineRule="exact"/>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 pursuant to Form S-3 General Instruction II(E).</w:t>
      </w:r>
    </w:p>
    <w:p>
      <w:pPr>
        <w:spacing w:after="0" w:line="15" w:lineRule="exact"/>
        <w:rPr>
          <w:rFonts w:ascii="Arial" w:cs="Arial" w:eastAsia="Arial" w:hAnsi="Arial"/>
          <w:sz w:val="18"/>
          <w:szCs w:val="18"/>
          <w:color w:val="auto"/>
        </w:rPr>
      </w:pPr>
    </w:p>
    <w:p>
      <w:pPr>
        <w:ind w:left="340" w:right="60" w:hanging="332"/>
        <w:spacing w:after="0" w:line="28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Securities registered hereunder may be sold separately, together or as units with other securities registered hereunder. An indeterminate aggregate initial offering price or number of Common Stock, Preferred Stock, Warrants, Debt Securities, and Units of TG Therapeutics, Inc. is being registered as may from time to time be issued at currently indeterminable prices and as may be issuable upon conversion, redemption, repurchase, exchange or exercise of any securities registered hereunder, including under any applicable anti-dilution provisions. Separate consideration may or may not be received for securities that are issuable upon exercise, conversion or exchange of other securities.</w:t>
      </w:r>
    </w:p>
    <w:p>
      <w:pPr>
        <w:spacing w:after="0" w:line="3"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accordance with Rule 456(b) and Rule 457(r), the registrant is deferring payment of all of the registration fee.</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an indeterminate number of shares of common stock or preferred stock as may be issued by the registrant upon exercise, conversion or exchange of any securities that provide for such issuance, or that may from time to time become issuable by reason of any stock split, stock dividend or similar transaction, for which no separate consideration will be received by registrant.</w:t>
      </w:r>
    </w:p>
    <w:p>
      <w:pPr>
        <w:spacing w:after="0" w:line="1" w:lineRule="exact"/>
        <w:rPr>
          <w:rFonts w:ascii="Arial" w:cs="Arial" w:eastAsia="Arial" w:hAnsi="Arial"/>
          <w:sz w:val="18"/>
          <w:szCs w:val="18"/>
          <w:color w:val="auto"/>
        </w:rPr>
      </w:pPr>
    </w:p>
    <w:p>
      <w:pPr>
        <w:ind w:left="340" w:right="22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will be issued under a unit agreement and will represent an interest in two or more other securities, which may or may not be separable from one another.</w:t>
      </w:r>
    </w:p>
    <w:p>
      <w:pPr>
        <w:spacing w:after="0" w:line="200" w:lineRule="exact"/>
        <w:rPr>
          <w:sz w:val="20"/>
          <w:szCs w:val="20"/>
          <w:color w:val="auto"/>
        </w:rPr>
      </w:pPr>
    </w:p>
    <w:p>
      <w:pPr>
        <w:spacing w:after="0" w:line="22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type w:val="continuous"/>
        </w:sectPr>
      </w:pPr>
    </w:p>
    <w:bookmarkStart w:id="2" w:name="page3"/>
    <w:bookmarkEnd w:id="2"/>
    <w:p>
      <w:pPr>
        <w:jc w:val="center"/>
        <w:ind w:left="5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152400</wp:posOffset>
            </wp:positionV>
            <wp:extent cx="2769870"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987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types of securities that we may offer, issue and sell from time to time, together or separately:</w:t>
      </w:r>
    </w:p>
    <w:p>
      <w:pPr>
        <w:spacing w:after="0" w:line="225"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common stock;</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preferred stock;</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units consisting of any combination of our common stock, preferred stock, warrants or debt securities.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may offer our securities in one or more offerings in amounts, at prices, and on terms determined at the time of the offering. We may sell our securities through agents we select or through underwriters and dealers we select. If we use agents, underwriters or dealers, we will name them and describe their compensation in a prospectus or prospectus supplement.</w:t>
      </w:r>
    </w:p>
    <w:p>
      <w:pPr>
        <w:spacing w:after="0" w:line="19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This prospectus provides a general description of the securities we may offer. Each time we sell securities, we will provide specific terms of the securities offered in a supplement to this prospectus. The prospectus supplement may also add, update or change information contained in this prospectus. You should read this prospectus and the applicable prospectus supplement carefully before you invest in any securities. This prospectus may not be used to consummate a sale of securities unless accompanied by the applicable prospectus supplement.</w:t>
      </w:r>
    </w:p>
    <w:p>
      <w:pPr>
        <w:spacing w:after="0" w:line="19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Our common stock is traded on the Nasdaq Capital Market under the symbol “TGTX.” On September 4, 2019, the per share closing price of our common stock as reported on the Nasdaq Capital Market was $6.17 per share.</w:t>
      </w:r>
    </w:p>
    <w:p>
      <w:pPr>
        <w:spacing w:after="0" w:line="180" w:lineRule="exact"/>
        <w:rPr>
          <w:sz w:val="20"/>
          <w:szCs w:val="20"/>
          <w:color w:val="auto"/>
        </w:rPr>
      </w:pPr>
    </w:p>
    <w:p>
      <w:pPr>
        <w:jc w:val="both"/>
        <w:ind w:firstLine="486"/>
        <w:spacing w:after="0" w:line="310" w:lineRule="auto"/>
        <w:rPr>
          <w:sz w:val="20"/>
          <w:szCs w:val="20"/>
          <w:color w:val="auto"/>
        </w:rPr>
      </w:pPr>
      <w:r>
        <w:rPr>
          <w:rFonts w:ascii="Arial" w:cs="Arial" w:eastAsia="Arial" w:hAnsi="Arial"/>
          <w:sz w:val="16"/>
          <w:szCs w:val="16"/>
          <w:b w:val="1"/>
          <w:bCs w:val="1"/>
          <w:color w:val="auto"/>
        </w:rPr>
        <w:t>Investing in our securities involves certain risks. See “Risk Factors” in our Annual Report on Form 10-K for the year ended December 31, 2018, as well as our Quarterly Reports on Form 10-Q for the periods ended March 31, 2019 and June 30, 2019, which have been filed with the SEC and are incorporated by reference into this prospectus. You should read the entire prospectus carefully before you make your investment decision.</w:t>
      </w:r>
    </w:p>
    <w:p>
      <w:pPr>
        <w:spacing w:after="0" w:line="178" w:lineRule="exact"/>
        <w:rPr>
          <w:sz w:val="20"/>
          <w:szCs w:val="20"/>
          <w:color w:val="auto"/>
        </w:rPr>
      </w:pPr>
    </w:p>
    <w:p>
      <w:pPr>
        <w:jc w:val="both"/>
        <w:ind w:firstLine="638"/>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September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60" w:type="dxa"/>
            <w:vAlign w:val="bottom"/>
            <w:gridSpan w:val="3"/>
          </w:tcPr>
          <w:p>
            <w:pPr>
              <w:jc w:val="center"/>
              <w:ind w:left="2652"/>
              <w:spacing w:after="0"/>
              <w:rPr>
                <w:sz w:val="20"/>
                <w:szCs w:val="20"/>
                <w:color w:val="auto"/>
              </w:rPr>
            </w:pPr>
            <w:r>
              <w:rPr>
                <w:rFonts w:ascii="Arial" w:cs="Arial" w:eastAsia="Arial" w:hAnsi="Arial"/>
                <w:sz w:val="18"/>
                <w:szCs w:val="18"/>
                <w:b w:val="1"/>
                <w:bCs w:val="1"/>
                <w:color w:val="auto"/>
                <w:w w:val="96"/>
              </w:rPr>
              <w:t>TABLE OF CONTENTS</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340" w:type="dxa"/>
            <w:vAlign w:val="bottom"/>
            <w:gridSpan w:val="2"/>
          </w:tcPr>
          <w:p>
            <w:pPr>
              <w:jc w:val="center"/>
              <w:ind w:right="2580"/>
              <w:spacing w:after="0"/>
              <w:rPr>
                <w:sz w:val="20"/>
                <w:szCs w:val="20"/>
                <w:color w:val="auto"/>
              </w:rPr>
            </w:pPr>
            <w:r>
              <w:rPr>
                <w:rFonts w:ascii="Arial" w:cs="Arial" w:eastAsia="Arial" w:hAnsi="Arial"/>
                <w:sz w:val="18"/>
                <w:szCs w:val="18"/>
                <w:color w:val="auto"/>
                <w:w w:val="84"/>
              </w:rPr>
              <w:t>Prospectus</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3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ABOUT THIS PROSPECTUS</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TG THERAPEUTICS, INC.</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RISK FACTORS</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SPECIAL NOTE REGARDING FORWARD-LOOKING STATEMENTS</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COMMON STOCK</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WARRANTS</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DEBT SECURITIES</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UNITS</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PLAN OF DISTRIBUTION</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WHERE YOU CAN FIND MORE INFORMATION</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INCORPORATION OF CERTAIN INFORMATION BY REFERENCE</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LEGAL MATTERS</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EXPERTS</w:t>
            </w:r>
          </w:p>
        </w:tc>
        <w:tc>
          <w:tcPr>
            <w:tcW w:w="2740" w:type="dxa"/>
            <w:vAlign w:val="bottom"/>
            <w:shd w:val="clear" w:color="auto" w:fill="CCFFCC"/>
          </w:tcPr>
          <w:p>
            <w:pPr>
              <w:jc w:val="center"/>
              <w:ind w:left="1412"/>
              <w:spacing w:after="0"/>
              <w:rPr>
                <w:sz w:val="20"/>
                <w:szCs w:val="20"/>
                <w:color w:val="auto"/>
              </w:rPr>
            </w:pPr>
            <w:r>
              <w:rPr>
                <w:rFonts w:ascii="Arial" w:cs="Arial" w:eastAsia="Arial" w:hAnsi="Arial"/>
                <w:sz w:val="18"/>
                <w:szCs w:val="18"/>
                <w:color w:val="auto"/>
                <w:w w:val="79"/>
              </w:rPr>
              <w:t>15</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This prospectus is part of an automatic “shelf registration” statement on Form S-3 that we filed with the Securities and Exchange Commission (“Commission” or “SEC”), as a “well-known seasoned issuer” as defined in Rule 405 under the Securities Act of 1933, as amended (the “Securities Act”). Under this shelf process, we may sell any combination of the securities described in this prospectus in one or more offerings. This prospectus provides you with a general description of the securities we may offer. We will provide the terms of these securities in supplements to this prospectus. The prospectus supplement may also add, update, or change information contained in this prospectus. We urge you to read both this prospectus and any prospectus supplement together with additional information described under the heading “Where You Can Find More Information” on page 13.</w:t>
      </w:r>
    </w:p>
    <w:p>
      <w:pPr>
        <w:spacing w:after="0" w:line="17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and any prospectus or prospectus supplement. We have not authorized any other person to provide you with different information. If anyone provides you with different or inconsistent information, you should not rely on it. We will not make an offer to sell securities in any jurisdiction where the offer or sale is not permitted. You should assume that the information appearing in this prospectus, as well as information we previously filed with the SEC and have incorporated by reference, is accurate as of the date on the front cover of this prospectus only, or when such document was filed with the SEC. Our business, financial condition, results of operations and prospects may have changed since the relevant date.</w:t>
      </w:r>
    </w:p>
    <w:p>
      <w:pPr>
        <w:spacing w:after="0" w:line="19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We will not use this prospectus to offer and sell securities unless it is accompanied by a prospectus or prospectus supplement that more fully describes the terms of the offering.</w:t>
      </w:r>
    </w:p>
    <w:p>
      <w:pPr>
        <w:spacing w:after="0" w:line="18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When used in this prospectus, the terms “company,” “TGTX,” “issuer,” “we,” “our,” and “us” may refer to TG Therapeutics, Inc. and our consolidated subsidiaries, unless otherwise specified.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3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and NHL, with ublituximab also in pivotal trials for MS. Ublituximab is a novel anti-CD20 monoclonal antibody (mAb) that has been glycoengineered for enhanced potency over first generation antibodies. Umbralisib is an oral, once daily inhibitor of PI3K delta. Umbralisib also uniquely inhibits CK1-epsilon, which may allow it to overcome certain tolerability issues associated with first generation PI3K delta inhibitors. When used together in combination therapy, ublituximab and umbralisib are referred to as “U2”. Additionally, we have recently brought into Phase 1 clinical development TG-1501, an anti-PD-L1 monoclonal antibody, TG-1701, a covalently-bound Bruton’s Tyrosine Kinase (BTK) inhibitor, and TG-1801, an anti-CD47/CD19 bispecific antibody.</w:t>
      </w:r>
    </w:p>
    <w:p>
      <w:pPr>
        <w:spacing w:after="0" w:line="1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principal executive offices are located at 2 Gansevoort Street, 9th Floor, New York, New York 10014, and our telephone number is 212-554-4484. We maintain a website on the Internet at www.tgtherapeutics.com and our e-mail address is info@tgtxinc.com. Our Internet website, and the information contained on it, are not to be considered part of this prospectus.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Investing in our securities involves risks. You should carefully consider any specific risks discussed or incorporated by reference in the applicable prospectus supplement, together with all other information contained in the prospectus supplement or incorporated by reference in this prospectus. You should also consider the risks, uncertainties and assumptions discussed under the caption “Risk Factors” included in our Annual Report on Form 10-K for the year ended December 31, 2018, as well as our Quarterly Reports on Form 10-Q for the periods ended March 31, 2019 and June 30, 2019, which have been filed with the SEC and are incorporated by reference in this prospectus, and which may be amended, supplemented or superseded from time to time by other reports we file with the SEC in the future</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This prospectus, any prospectus supplement, the documents incorporated by reference herein and therein, other public filings and oral and written statements by us and our management, may include statements that constitute “forward-looking statements” within the meaning of the United States securities laws. These statements are based on the beliefs and assumptions of our management and on information available to us at the time such statements are made. Forward-looking statements include information concerning possible or assumed future results of our operations, expenses, earnings, liquidity, cash flows and capital expenditures, industry or market conditions, assets under management, acquisitions and divestitures, debt levels and our ability to obtain additional financing or make payments, regulatory developments, demand for and pricing of our products, the prospects for certain legal contingencies, and other aspects of our business or general economic conditions. In addition, when used in this prospectus, the documents incorporated by reference herein or such other documents or statements, words such as “believes,” “expects,” “anticipates,” “intends,” “plans,” “estimates,” “projects,” “forecasts,” and future or conditional verbs such as “will,” “may,” “could,” “should,” and “would,” and any other statement that necessarily depends on future events, are intended to identify forward-looking statements.</w:t>
      </w:r>
    </w:p>
    <w:p>
      <w:pPr>
        <w:spacing w:after="0" w:line="1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Although we make such statements based on assumptions that we believe to be reasonable, there can be no assurance that actual results will not differ materially from our expectations. We caution investors not to rely unduly on any forward-looking statements.</w:t>
      </w:r>
    </w:p>
    <w:p>
      <w:pPr>
        <w:spacing w:after="0" w:line="194"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The factors described in this prospectus, incorporated by reference into this prospectus or contained in our other filings with the Commission, among others, could cause our results to differ materially from any results described in any forward-looking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more discussion of the risks affecting us, please refer to the section above entitled “Risk Factors.”</w:t>
      </w:r>
    </w:p>
    <w:p>
      <w:pPr>
        <w:spacing w:after="0" w:line="225"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You should consider the areas of risk described above in connection with any forward-looking statements that may be made by us and our businesses generally. We expressly disclaim any obligation to update any of the information in this or any other public filing if any forward-looking statement later turns out to be inaccurate, whether as a result of new information, future events or otherwise. For all forward-looking statements, we claim the “safe harbor” provided by Section 27A of the Securities Act and Section 21E of the Securities Exchange Act of 1934, as amended (the “Exchange Act”).</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left="48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Unless otherwise specified in connection with a particular offering of securities, the net proceeds from the sale of the securities offered by this prospectus will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31"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The following summary of the terms of our common stock may not be complete and is subject to, and qualified in its entirety by reference to, the terms and provisions of our amended and restated certificate of incorporation and our restated bylaws. You should refer to, and read this summary together with, our amended and restated certificate of incorporation and restated bylaws to review all of the terms of our common stock that may be important to you.</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Under our certificate of incorporation, we are authorized to issue a total of 150,000,000 shares of common stock, par value $0.001 per share. As of August 23, 2019, we had 94,884,218 shares issued and 94,842,909 shares outstanding of our common stock. As of August 23, 2019, we have approximately 242 holders of record. All outstanding shares of our common stock are fully paid and nonassessable. Our common stock is listed on the Nasdaq Capital Market under the symbol “TGTX.”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holders of our common stock are entitled to one vote for each share of common stock owned by that stockholder on every matter properly submitted to the stockholders for their vote. Stockholders are not entitled to vote cumulatively for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Dissolution</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In the event of any voluntary or involuntary liquidation, dissolution or winding up of our affairs, holders of common stock would be entitled to share ratably in our assets that are legally available for distribution to stockholders after payment of liabilities. If we have any preferred stock outstanding at such time, holders of the preferred stock may be entitled to distributions and/or liquidation preferences. In either such case, we must pay the applicable distribution to the holders of our preferred stock (if any) before we may pay distributions to the holders of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Holders of our common stock have no conversion, redemption, preemptive, subscription or similar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American Stock Transfer and Trust Company serves as the transfer agent and registrar for all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Under the terms of our restated certificate of incorporation, our board of directors is authorized to issue up to 10,000,000 shares of preferred stock, par value $0.001 per share. Our board of directors may issues shares of preferred stock in one or more series without stockholder approval, and has the discretion to determine the rights, preferences, privileges and restrictions, including voting rights, dividend rights, conversion rights, redemption privileges and liquidation preferences, of each series of preferred stock. We may amend from time to time our restated certificate of incorporation to increase the number of authorized shares of preferred stock. Any such amendment would require the approval of the holders of a majority of the voting power of the shares entitled to vote thereon. As of the date of this prospectus, we have 10,000,000 shares of preferred shares authorized, but no shares of preferred stock outstanding.</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both"/>
        <w:ind w:firstLine="486"/>
        <w:spacing w:after="0" w:line="255" w:lineRule="auto"/>
        <w:rPr>
          <w:sz w:val="20"/>
          <w:szCs w:val="20"/>
          <w:color w:val="auto"/>
        </w:rPr>
      </w:pPr>
      <w:r>
        <w:rPr>
          <w:rFonts w:ascii="Arial" w:cs="Arial" w:eastAsia="Arial" w:hAnsi="Arial"/>
          <w:sz w:val="18"/>
          <w:szCs w:val="18"/>
          <w:color w:val="auto"/>
        </w:rPr>
        <w:t>It is not possible to state the actual effect of the issuance of any shares of preferred stock upon the rights of the holders of common stock until the board of directors determines the specific rights of the holders of preferred stock. However, effects of the issuance of preferred stock include restricting dividends on common stock, diluting the voting power of common stock, impairing the liquidation rights of common stock, and making it more difficult for a third party to acquire us, which could have the effect of discouraging a third party from acquiring, or deterring a third party from paying a premium to acquire, a majority of our outstanding voting stock.</w:t>
      </w:r>
    </w:p>
    <w:p>
      <w:pPr>
        <w:spacing w:after="0" w:line="197"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The particular terms of any series of preferred stock being offered by us will be described in the prospectus supplement relating to that series of preferred stock. Those terms may include:</w:t>
      </w:r>
    </w:p>
    <w:p>
      <w:pPr>
        <w:spacing w:after="0" w:line="186"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title and liquidation preference per share of the preferred stock and the number of shares offered;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purchase price of the preferred stock;</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dividend rate (or method of calculation);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dates on which dividends will be paid and the date from which dividends will begin to accumulate;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stock;</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conversion provisions of the preferred stock;</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voting rights, if any, of the preferred stock; and</w:t>
      </w:r>
    </w:p>
    <w:p>
      <w:pPr>
        <w:spacing w:after="0" w:line="225" w:lineRule="exact"/>
        <w:rPr>
          <w:rFonts w:ascii="Arial" w:cs="Arial" w:eastAsia="Arial" w:hAnsi="Arial"/>
          <w:sz w:val="18"/>
          <w:szCs w:val="18"/>
          <w:color w:val="auto"/>
        </w:rPr>
      </w:pPr>
    </w:p>
    <w:p>
      <w:pPr>
        <w:ind w:left="820" w:hanging="326"/>
        <w:spacing w:after="0" w:line="26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fund and other rights, preferences, privileges, limitations and restrictions of the preferred stock.</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preferred stock will, when issued, be fully paid and non-assessable.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We may issue warrants to purchase shares of our common stock and/or preferred stock in one or more series together with other securities or separately, as described in each applicable prospectus supplement.</w:t>
      </w:r>
    </w:p>
    <w:p>
      <w:pPr>
        <w:spacing w:after="0" w:line="186"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The prospectus supplement relating to any warrants we offer will include specific terms relating to the offering. These terms will include some or all of the following:</w:t>
      </w:r>
    </w:p>
    <w:p>
      <w:pPr>
        <w:spacing w:after="0" w:line="186"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number of warrants offered;</w:t>
      </w:r>
    </w:p>
    <w:p>
      <w:pPr>
        <w:spacing w:after="0" w:line="225" w:lineRule="exact"/>
        <w:rPr>
          <w:rFonts w:ascii="Arial" w:cs="Arial" w:eastAsia="Arial" w:hAnsi="Arial"/>
          <w:sz w:val="18"/>
          <w:szCs w:val="18"/>
          <w:color w:val="auto"/>
        </w:rPr>
      </w:pPr>
    </w:p>
    <w:p>
      <w:pPr>
        <w:ind w:left="820" w:hanging="326"/>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designation, number and terms of the shares of common stock purchasable upon exercise of the warrants and procedures by which those numbers may be adjusted;</w:t>
      </w:r>
    </w:p>
    <w:p>
      <w:pPr>
        <w:spacing w:after="0" w:line="18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5"/>
          <w:szCs w:val="15"/>
          <w:color w:val="auto"/>
        </w:rPr>
      </w:pPr>
      <w:r>
        <w:rPr>
          <w:rFonts w:ascii="Arial" w:cs="Arial" w:eastAsia="Arial" w:hAnsi="Arial"/>
          <w:sz w:val="15"/>
          <w:szCs w:val="15"/>
          <w:color w:val="auto"/>
        </w:rPr>
        <w:t>if the warrants are issued as a unit with another security, the date on and after which the warrants and the other security will be separately transferable;</w:t>
      </w:r>
    </w:p>
    <w:p>
      <w:pPr>
        <w:spacing w:after="0" w:line="259" w:lineRule="exact"/>
        <w:rPr>
          <w:rFonts w:ascii="Arial" w:cs="Arial" w:eastAsia="Arial" w:hAnsi="Arial"/>
          <w:sz w:val="15"/>
          <w:szCs w:val="15"/>
          <w:color w:val="auto"/>
        </w:rPr>
      </w:pPr>
    </w:p>
    <w:p>
      <w:pPr>
        <w:ind w:left="820" w:hanging="326"/>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18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terms relating to the modification of the warrants;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specific terms of the warrants.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may offer debt securities which may be senior, subordinated or junior subordinated and may be convertible. Unless otherwise specified in the applicable prospectus supplement, our debt securities will be issued in one or more series under an indenture to be entered into between us and a trustee. We will issue the debt securities offered by this prospectus and any accompanying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7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following description briefly sets forth certain general terms and provisions of the debt securities that we may offer. The particular terms of the debt securities offered by any prospectus supplement and the extent, if any, to which these general provisions may apply to the debt securities, will be described in the related prospectus supplement. Accordingly, for a description of the terms of a particular issue of debt securities, reference must be made to both the related prospectus supplement and to the following description.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aggregate principal amount of debt securities that may be issued under the indenture is unlimited. The debt securities may be issued in one or more series as may be authorized from time to time pursuant to a supplemental indenture entered into between us and the trustee or an order delivered by us to the trustee. For each series of debt securities we offer, a prospectus supplement accompanying this prospectus will describe the following terms and conditions of the series of debt securities that we are offering, to the extent applicable:</w:t>
      </w:r>
    </w:p>
    <w:p>
      <w:pPr>
        <w:spacing w:after="0" w:line="197" w:lineRule="exact"/>
        <w:rPr>
          <w:sz w:val="20"/>
          <w:szCs w:val="20"/>
          <w:color w:val="auto"/>
        </w:rPr>
      </w:pPr>
    </w:p>
    <w:p>
      <w:pPr>
        <w:ind w:left="780" w:hanging="28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and aggregate principal amount;</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will be senior, subordinated or junior subordinated;</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applicable subordination provisions, if any;</w:t>
      </w:r>
    </w:p>
    <w:p>
      <w:pPr>
        <w:spacing w:after="0" w:line="225" w:lineRule="exact"/>
        <w:rPr>
          <w:rFonts w:ascii="Arial" w:cs="Arial" w:eastAsia="Arial" w:hAnsi="Arial"/>
          <w:sz w:val="18"/>
          <w:szCs w:val="18"/>
          <w:color w:val="auto"/>
        </w:rPr>
      </w:pPr>
    </w:p>
    <w:p>
      <w:pPr>
        <w:ind w:left="500" w:right="400" w:hanging="6"/>
        <w:spacing w:after="0" w:line="268" w:lineRule="auto"/>
        <w:tabs>
          <w:tab w:leader="none" w:pos="782"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provisions regarding whether the debt securities will be convertible or exchangeable into other securities or property of the Company or any other person;</w:t>
      </w:r>
    </w:p>
    <w:p>
      <w:pPr>
        <w:spacing w:after="0" w:line="185" w:lineRule="exact"/>
        <w:rPr>
          <w:rFonts w:ascii="Arial" w:cs="Arial" w:eastAsia="Arial" w:hAnsi="Arial"/>
          <w:sz w:val="18"/>
          <w:szCs w:val="18"/>
          <w:color w:val="auto"/>
        </w:rPr>
      </w:pPr>
    </w:p>
    <w:p>
      <w:pPr>
        <w:ind w:left="780" w:hanging="28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 or percentages of principal amount at which the debt securities will be issued;</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maturity date(s);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rate(s) or the method for determining the interest rate(s);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interest on the debt securities will be payable in cash or additional debt securities of the same series;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dates on which interest will accrue or the method for determining dates on which interest will accrue and dates on which interest will be payable;</w:t>
      </w:r>
    </w:p>
    <w:p>
      <w:pPr>
        <w:spacing w:after="0" w:line="248" w:lineRule="exact"/>
        <w:rPr>
          <w:rFonts w:ascii="Arial" w:cs="Arial" w:eastAsia="Arial" w:hAnsi="Arial"/>
          <w:sz w:val="16"/>
          <w:szCs w:val="16"/>
          <w:color w:val="auto"/>
        </w:rPr>
      </w:pPr>
    </w:p>
    <w:p>
      <w:pPr>
        <w:ind w:left="500" w:right="520" w:hanging="6"/>
        <w:spacing w:after="0" w:line="268" w:lineRule="auto"/>
        <w:tabs>
          <w:tab w:leader="none" w:pos="782"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amount of payment of principal of, premium, if any, or interest on the debt securities may be determined with reference to an index, formula or other method;</w:t>
      </w:r>
    </w:p>
    <w:p>
      <w:pPr>
        <w:spacing w:after="0" w:line="185" w:lineRule="exact"/>
        <w:rPr>
          <w:rFonts w:ascii="Arial" w:cs="Arial" w:eastAsia="Arial" w:hAnsi="Arial"/>
          <w:sz w:val="18"/>
          <w:szCs w:val="18"/>
          <w:color w:val="auto"/>
        </w:rPr>
      </w:pPr>
    </w:p>
    <w:p>
      <w:pPr>
        <w:ind w:left="500" w:right="240" w:hanging="6"/>
        <w:spacing w:after="0" w:line="268" w:lineRule="auto"/>
        <w:tabs>
          <w:tab w:leader="none" w:pos="782"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redemption, repurchase or early repayment provisions, including our obligation or right to redeem, purchase or repay debt securities under a sinking fund, amortization or analogous provision;</w:t>
      </w:r>
    </w:p>
    <w:p>
      <w:pPr>
        <w:spacing w:after="0" w:line="185" w:lineRule="exact"/>
        <w:rPr>
          <w:rFonts w:ascii="Arial" w:cs="Arial" w:eastAsia="Arial" w:hAnsi="Arial"/>
          <w:sz w:val="18"/>
          <w:szCs w:val="18"/>
          <w:color w:val="auto"/>
        </w:rPr>
      </w:pPr>
    </w:p>
    <w:p>
      <w:pPr>
        <w:ind w:left="500" w:right="300" w:hanging="6"/>
        <w:spacing w:after="0" w:line="268" w:lineRule="auto"/>
        <w:tabs>
          <w:tab w:leader="none" w:pos="782"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other than the debt securities’ principal amount, the portion of the principal amount of the debt securities that will be payable upon declaration of acceleration of the maturity;</w:t>
      </w:r>
    </w:p>
    <w:p>
      <w:pPr>
        <w:spacing w:after="0" w:line="185" w:lineRule="exact"/>
        <w:rPr>
          <w:rFonts w:ascii="Arial" w:cs="Arial" w:eastAsia="Arial" w:hAnsi="Arial"/>
          <w:sz w:val="18"/>
          <w:szCs w:val="18"/>
          <w:color w:val="auto"/>
        </w:rPr>
      </w:pPr>
    </w:p>
    <w:p>
      <w:pPr>
        <w:ind w:left="780" w:hanging="28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225" w:lineRule="exact"/>
        <w:rPr>
          <w:rFonts w:ascii="Arial" w:cs="Arial" w:eastAsia="Arial" w:hAnsi="Arial"/>
          <w:sz w:val="18"/>
          <w:szCs w:val="18"/>
          <w:color w:val="auto"/>
        </w:rPr>
      </w:pPr>
    </w:p>
    <w:p>
      <w:pPr>
        <w:ind w:left="780" w:hanging="28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6" w:right="180" w:hanging="6"/>
        <w:spacing w:after="0" w:line="268" w:lineRule="auto"/>
        <w:tabs>
          <w:tab w:leader="none" w:pos="287"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of discount or premium, if any, with which the debt securities will be issued, including whether the debt securities will be issued as “original issue discount” securities;</w:t>
      </w:r>
    </w:p>
    <w:p>
      <w:pPr>
        <w:spacing w:after="0" w:line="18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place or places where the principal of, premium, if any, and interest on the debt securities will be payable;</w:t>
      </w:r>
    </w:p>
    <w:p>
      <w:pPr>
        <w:spacing w:after="0" w:line="22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where the debt securities may be presented for registration of transfer, exchange or conversion;</w:t>
      </w:r>
    </w:p>
    <w:p>
      <w:pPr>
        <w:spacing w:after="0" w:line="22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place or places where notices and demands to or upon the Company in respect of the debt securities may be made;</w:t>
      </w:r>
    </w:p>
    <w:p>
      <w:pPr>
        <w:spacing w:after="0" w:line="22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will be issued in whole or in part in the form of one or more global securities;</w:t>
      </w:r>
    </w:p>
    <w:p>
      <w:pPr>
        <w:spacing w:after="0" w:line="225" w:lineRule="exact"/>
        <w:rPr>
          <w:rFonts w:ascii="Arial" w:cs="Arial" w:eastAsia="Arial" w:hAnsi="Arial"/>
          <w:sz w:val="18"/>
          <w:szCs w:val="18"/>
          <w:color w:val="auto"/>
        </w:rPr>
      </w:pPr>
    </w:p>
    <w:p>
      <w:pPr>
        <w:ind w:left="6" w:right="20" w:hanging="6"/>
        <w:spacing w:after="0" w:line="259" w:lineRule="auto"/>
        <w:tabs>
          <w:tab w:leader="none" w:pos="287"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debt securities will be issued in whole or in part in the form of a book-entry security, the depository or its nominee with respect to the debt securities and the circumstances under which the book-entry security may be registered for transfer or exchange or authenticated and delivered in the name of a person other than the depository or its nominee;</w:t>
      </w:r>
    </w:p>
    <w:p>
      <w:pPr>
        <w:spacing w:after="0" w:line="194" w:lineRule="exact"/>
        <w:rPr>
          <w:rFonts w:ascii="Arial" w:cs="Arial" w:eastAsia="Arial" w:hAnsi="Arial"/>
          <w:sz w:val="18"/>
          <w:szCs w:val="18"/>
          <w:color w:val="auto"/>
        </w:rPr>
      </w:pPr>
    </w:p>
    <w:p>
      <w:pPr>
        <w:ind w:left="6" w:right="20" w:hanging="6"/>
        <w:spacing w:after="0" w:line="268" w:lineRule="auto"/>
        <w:tabs>
          <w:tab w:leader="none" w:pos="287"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185" w:lineRule="exact"/>
        <w:rPr>
          <w:rFonts w:ascii="Arial" w:cs="Arial" w:eastAsia="Arial" w:hAnsi="Arial"/>
          <w:sz w:val="18"/>
          <w:szCs w:val="18"/>
          <w:color w:val="auto"/>
        </w:rPr>
      </w:pPr>
    </w:p>
    <w:p>
      <w:pPr>
        <w:ind w:left="6" w:right="260" w:hanging="6"/>
        <w:spacing w:after="0" w:line="268" w:lineRule="auto"/>
        <w:tabs>
          <w:tab w:leader="none" w:pos="28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185" w:lineRule="exact"/>
        <w:rPr>
          <w:rFonts w:ascii="Arial" w:cs="Arial" w:eastAsia="Arial" w:hAnsi="Arial"/>
          <w:sz w:val="18"/>
          <w:szCs w:val="18"/>
          <w:color w:val="auto"/>
        </w:rPr>
      </w:pPr>
    </w:p>
    <w:p>
      <w:pPr>
        <w:ind w:left="6" w:right="320" w:hanging="6"/>
        <w:spacing w:after="0" w:line="268" w:lineRule="auto"/>
        <w:tabs>
          <w:tab w:leader="none" w:pos="28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guarantors, if any, of the debt securities, and the extent of the guarantees and any additions or changes to permit or facilitate guarantees of such debt securities;</w:t>
      </w:r>
    </w:p>
    <w:p>
      <w:pPr>
        <w:spacing w:after="0" w:line="18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22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defaults and events of default applicable to the debt securities, including the remedies available in connection therewith;</w:t>
      </w:r>
    </w:p>
    <w:p>
      <w:pPr>
        <w:spacing w:after="0" w:line="225" w:lineRule="exact"/>
        <w:rPr>
          <w:rFonts w:ascii="Arial" w:cs="Arial" w:eastAsia="Arial" w:hAnsi="Arial"/>
          <w:sz w:val="18"/>
          <w:szCs w:val="18"/>
          <w:color w:val="auto"/>
        </w:rPr>
      </w:pPr>
    </w:p>
    <w:p>
      <w:pPr>
        <w:ind w:left="6" w:right="180" w:hanging="6"/>
        <w:spacing w:after="0" w:line="268" w:lineRule="auto"/>
        <w:tabs>
          <w:tab w:leader="none" w:pos="287"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currencies or currency units in which the purchase price for, the principal of and any premium and any interest on, such debt securities will be payable;</w:t>
      </w:r>
    </w:p>
    <w:p>
      <w:pPr>
        <w:spacing w:after="0" w:line="185" w:lineRule="exact"/>
        <w:rPr>
          <w:rFonts w:ascii="Arial" w:cs="Arial" w:eastAsia="Arial" w:hAnsi="Arial"/>
          <w:sz w:val="18"/>
          <w:szCs w:val="18"/>
          <w:color w:val="auto"/>
        </w:rPr>
      </w:pPr>
    </w:p>
    <w:p>
      <w:pPr>
        <w:ind w:left="6" w:hanging="6"/>
        <w:spacing w:after="0" w:line="268" w:lineRule="auto"/>
        <w:tabs>
          <w:tab w:leader="none" w:pos="287"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 period within which, the manner in which and the terms and conditions upon which the Company or the purchaser of the debt securities can select the payment currency;</w:t>
      </w:r>
    </w:p>
    <w:p>
      <w:pPr>
        <w:spacing w:after="0" w:line="18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securities exchange(s) on which the debt securities will be listed, if any;</w:t>
      </w:r>
    </w:p>
    <w:p>
      <w:pPr>
        <w:spacing w:after="0" w:line="22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any underwriter(s) will act as market maker(s) for the debt securities;</w:t>
      </w:r>
    </w:p>
    <w:p>
      <w:pPr>
        <w:spacing w:after="0" w:line="22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extent to which a secondary market for the debt securities is expected to develop;</w:t>
      </w:r>
    </w:p>
    <w:p>
      <w:pPr>
        <w:spacing w:after="0" w:line="22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relating to defeasance;</w:t>
      </w:r>
    </w:p>
    <w:p>
      <w:pPr>
        <w:spacing w:after="0" w:line="22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relating to satisfaction and discharge of the indenture;</w:t>
      </w:r>
    </w:p>
    <w:p>
      <w:pPr>
        <w:spacing w:after="0" w:line="22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restrictions or conditions on the transferability of the debt securities;</w:t>
      </w:r>
    </w:p>
    <w:p>
      <w:pPr>
        <w:spacing w:after="0" w:line="22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provisions relating to the modification of the indenture both with and without the consent of holders of debt securities issued under the indenture;</w:t>
      </w:r>
    </w:p>
    <w:p>
      <w:pPr>
        <w:spacing w:after="0" w:line="248" w:lineRule="exact"/>
        <w:rPr>
          <w:rFonts w:ascii="Arial" w:cs="Arial" w:eastAsia="Arial" w:hAnsi="Arial"/>
          <w:sz w:val="16"/>
          <w:szCs w:val="16"/>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addition or change in the provisions related to compensation and reimbursement of the trustee;</w:t>
      </w:r>
    </w:p>
    <w:p>
      <w:pPr>
        <w:spacing w:after="0" w:line="225" w:lineRule="exact"/>
        <w:rPr>
          <w:rFonts w:ascii="Arial" w:cs="Arial" w:eastAsia="Arial" w:hAnsi="Arial"/>
          <w:sz w:val="18"/>
          <w:szCs w:val="18"/>
          <w:color w:val="auto"/>
        </w:rPr>
      </w:pPr>
    </w:p>
    <w:p>
      <w:pPr>
        <w:ind w:left="286" w:hanging="286"/>
        <w:spacing w:after="0"/>
        <w:tabs>
          <w:tab w:leader="none" w:pos="28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provisions, if any, granting special rights to holders upon the occurrence of specified events;</w:t>
      </w:r>
    </w:p>
    <w:p>
      <w:pPr>
        <w:spacing w:after="0" w:line="252"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6"/>
          </w:cols>
          <w:pgMar w:left="734" w:top="563" w:right="259" w:bottom="1440" w:gutter="0" w:footer="0" w:header="0"/>
        </w:sectPr>
      </w:pPr>
    </w:p>
    <w:bookmarkStart w:id="13" w:name="page14"/>
    <w:bookmarkEnd w:id="13"/>
    <w:p>
      <w:pPr>
        <w:ind w:left="500" w:right="580" w:hanging="6"/>
        <w:spacing w:after="0" w:line="268" w:lineRule="auto"/>
        <w:tabs>
          <w:tab w:leader="none" w:pos="782"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debt securities will be secured or unsecured, and, if secured, the terms upon which the debt securities will be secured and any other additions or changes relating to such security; and</w:t>
      </w:r>
    </w:p>
    <w:p>
      <w:pPr>
        <w:spacing w:after="0" w:line="185" w:lineRule="exact"/>
        <w:rPr>
          <w:rFonts w:ascii="Arial" w:cs="Arial" w:eastAsia="Arial" w:hAnsi="Arial"/>
          <w:sz w:val="18"/>
          <w:szCs w:val="18"/>
          <w:color w:val="auto"/>
        </w:rPr>
      </w:pPr>
    </w:p>
    <w:p>
      <w:pPr>
        <w:ind w:left="500" w:right="220" w:hanging="6"/>
        <w:spacing w:after="0" w:line="268" w:lineRule="auto"/>
        <w:tabs>
          <w:tab w:leader="none" w:pos="78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that are not inconsistent with the provisions of the Trust Indenture Act (but may modify, amend, supplement or delete any of the terms of the indenture with respect to such series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One or more series of debt securities may be sold as “original issue discount” securities. These debt securities would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194" w:lineRule="exact"/>
        <w:rPr>
          <w:sz w:val="20"/>
          <w:szCs w:val="20"/>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the applicable prospectus supplement.</w:t>
      </w:r>
    </w:p>
    <w:p>
      <w:pPr>
        <w:spacing w:after="0" w:line="18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Debt securities may be issued where the amount of principal and/or interest payable is determined by reference to one or more currency exchange rates, commodity prices, equity indices or other factors. Holders of such debt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98"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8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expect most debt securities to be issued in fully registered form without coupons and in denominations of $2,000 and any integral multiples thereof. Subject to the limitations provided in the indenture and in the prospectus supplement, debt securities that are issued in registered form may be transferred or exchanged at the principal corporate trust office of the trustee, without the payment of any service charge, other than any tax or other governmental charge payable in connection therewith.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3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indenture and the debt securities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31"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color w:val="auto"/>
        </w:rPr>
        <w:t>We may issue, in one more series, units comprised of shares of our common stock or preferred stock, warrants to purchase common stock or preferred stock, debt securities or any combination of those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6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may evidence units by unit certificates that we issue under a separate agreement. We may issue the units under a unit agreement between us and one or more unit agents. If we elect to enter into a unit agreement with a unit agent, the unit agent will act solely as our agent in connection with the units and will not assume any obligation or relationship of agency or trust for or with any registered holders of units or beneficial owners of units. We will indicate the name and address and other information regarding the unit agent in the applicable prospectus supplement relating to a particular series of units if we elect to use a unit agent.</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820" w:hanging="326"/>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8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herein;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The other provisions regarding our common stock, preferred stock, warrants and debt securities as described in this section will apply to each unit to the extent such unit consists of shares of our common stock, preferred stock, warrants and/or debt securities.</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may sell the securities covered in this prospectus in any of three ways (or in any combination):</w:t>
      </w:r>
    </w:p>
    <w:p>
      <w:pPr>
        <w:spacing w:after="0" w:line="225" w:lineRule="exact"/>
        <w:rPr>
          <w:sz w:val="20"/>
          <w:szCs w:val="20"/>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5"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 or</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19" w:lineRule="exact"/>
        <w:rPr>
          <w:sz w:val="20"/>
          <w:szCs w:val="20"/>
          <w:color w:val="auto"/>
        </w:rPr>
      </w:pPr>
    </w:p>
    <w:p>
      <w:pPr>
        <w:ind w:firstLine="486"/>
        <w:spacing w:after="0" w:line="268" w:lineRule="auto"/>
        <w:rPr>
          <w:sz w:val="20"/>
          <w:szCs w:val="20"/>
          <w:color w:val="auto"/>
        </w:rPr>
      </w:pPr>
      <w:r>
        <w:rPr>
          <w:rFonts w:ascii="Arial" w:cs="Arial" w:eastAsia="Arial" w:hAnsi="Arial"/>
          <w:sz w:val="18"/>
          <w:szCs w:val="18"/>
          <w:color w:val="auto"/>
        </w:rPr>
        <w:t>Each time that we use this prospectus to sell securities, we will also provide a prospectus supplement that contains the specific terms of the offering. The prospectus supplement will set forth the terms of the offering of the securities, including:</w:t>
      </w:r>
    </w:p>
    <w:p>
      <w:pPr>
        <w:spacing w:after="0" w:line="186" w:lineRule="exact"/>
        <w:rPr>
          <w:sz w:val="20"/>
          <w:szCs w:val="20"/>
          <w:color w:val="auto"/>
        </w:rPr>
      </w:pPr>
    </w:p>
    <w:p>
      <w:pPr>
        <w:ind w:left="1620" w:hanging="315"/>
        <w:spacing w:after="0" w:line="254"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any securities underwritten or purchased by each of them; and</w:t>
      </w:r>
    </w:p>
    <w:p>
      <w:pPr>
        <w:ind w:left="1620" w:hanging="315"/>
        <w:spacing w:after="0"/>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public offering price and the proceeds to us and any discounts, commissions or concessions allowed or reallowed or paid to dealers.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public offering price and any discounts or concessions allowed or reallowed or paid to dealers may be changed from time to time.</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securities.</w:t>
      </w:r>
    </w:p>
    <w:p>
      <w:pPr>
        <w:spacing w:after="0" w:line="197" w:lineRule="exact"/>
        <w:rPr>
          <w:sz w:val="20"/>
          <w:szCs w:val="20"/>
          <w:color w:val="auto"/>
        </w:rPr>
      </w:pPr>
    </w:p>
    <w:p>
      <w:pPr>
        <w:jc w:val="both"/>
        <w:ind w:firstLine="48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3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97"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6"/>
          <w:szCs w:val="16"/>
          <w:color w:val="auto"/>
        </w:rPr>
        <w:t>Agents and underwriters may be entitled to indemnification by us against certain civil liabilities, including liabilities under the Securities Act of 1933, as amended,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6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party in such sale transactions will be an underwriter and will be identified in the applicable prospectus supplement.</w:t>
      </w:r>
    </w:p>
    <w:p>
      <w:pPr>
        <w:spacing w:after="0" w:line="19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compliance with the guidelines of the Financial Services Regulatory Authority, Inc., or FINRA, the maximum compensation to be received by a FINRA member or independent broker-dealer may not exceed 8% of the offering proceeds. It is anticipated that the maximum compensation to be received in any particular offering of securities will be less than this amount.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file reports with the SEC on an annual basis using Form 10-K, quarterly reports on Form 10-Q and current reports on Form 8-K. You may read and copy any such reports and amendments thereto at the SEC’s Public Reference Room at 100 F Street, N.E., Washington, D.C. 20549 on official business days during the hours of 10:00 a.m. to 3:00 p.m. Please call the SEC at 1-800-SEC-0330 for information on the Public Reference Room. Additionally, the SEC maintains a website that contains annual, quarterly, and current reports, proxy statements, and other information that issuers (including us) file electronically with the SEC. The SEC’s website address is http://www.sec.gov. You can also obtain copies of materials we file with the SEC from our Internet website found at www.tgtherapeutics.com. Our stock is quoted on the Nasdaq Capital Market under the symbol “TGTX.”</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SEC allows us to “incorporate by reference” into this prospectus the information we file with the SEC. This means that we can disclose important information to you by referring you to those documents without restating that information in this document. The information incorporated by reference into this prospectus is considered to be part of this prospectus, and information we file with the SEC pursuant to Section 13(a), 13(c), 14 or 15(d) of the Securities Exchange Act of 1934, as amended, or the Exchange Act, after the date of this prospectus, will automatically update and supersede the information contained in this prospectus and documents listed below. We incorporate by reference into this prospectus the documents listed below, except to the extent information in those documents differs from information contained in this prospectus, and any future filings made by us with the SEC under Sections 13(a), 13(c), 14 or 15(d) of the Exchange Act, including exhibits:</w:t>
      </w:r>
    </w:p>
    <w:p>
      <w:pPr>
        <w:spacing w:after="0" w:line="20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2019 and June 30, 2019;</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5, 2019, April 1, 2019, May 8, 2019, and June 13, 2019 (excluding any information pursuant to Item 2.02 or Item 9.01);</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April 30, 2019;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description of our common stock contained in our registration statement on Form 8-A filed with the SEC on May 28, 2013 (File No. 001-32639).</w:t>
      </w:r>
    </w:p>
    <w:p>
      <w:pPr>
        <w:spacing w:after="0" w:line="24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will provide to each person, including any beneficial owner, to whom a copy of this prospectus is delivered, a copy of any or all of the information that we have incorporated by reference into this prospectus. We will provide this information upon written or oral request at no cost to the requester. You may request this information by contacting our corporate headquarters at the following address: 2 Gansevoort Street, 9th Floor, New York, New York 10014, Attn: Chief Financial Officer, or by calling (212) 554-4484.</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legality and validity of the securities offered from time to time under this prospectus will be passed upon by Alston &amp; Bird LLP, New York,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543"/>
        <w:spacing w:after="0" w:line="255" w:lineRule="auto"/>
        <w:rPr>
          <w:sz w:val="20"/>
          <w:szCs w:val="20"/>
          <w:color w:val="auto"/>
        </w:rPr>
      </w:pPr>
      <w:r>
        <w:rPr>
          <w:rFonts w:ascii="Arial" w:cs="Arial" w:eastAsia="Arial" w:hAnsi="Arial"/>
          <w:sz w:val="18"/>
          <w:szCs w:val="18"/>
          <w:color w:val="auto"/>
        </w:rPr>
        <w:t>The consolidated financial statements incorporated by reference herein and included in the TG Therapeutics, Inc. and subsidiaries Annual Report on Form 10-K for the year ended December 31, 2018 as well as the effectiveness of the TG Therapeutics, Inc. and subsidiaries internal control over financial reporting have been audited by CohnReznick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2395855</wp:posOffset>
            </wp:positionH>
            <wp:positionV relativeFrom="page">
              <wp:posOffset>791845</wp:posOffset>
            </wp:positionV>
            <wp:extent cx="2769870" cy="805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76987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40"/>
          <w:szCs w:val="40"/>
          <w:b w:val="1"/>
          <w:bCs w:val="1"/>
          <w:color w:val="auto"/>
        </w:rPr>
        <w:t>TG Therapeutics, Inc.</w:t>
      </w:r>
    </w:p>
    <w:p>
      <w:pPr>
        <w:sectPr>
          <w:pgSz w:w="11900" w:h="16838" w:orient="portrait"/>
          <w:cols w:equalWidth="0" w:num="1">
            <w:col w:w="9019"/>
          </w:cols>
          <w:pgMar w:left="1440" w:top="1440" w:right="1440"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September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328295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3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following table sets forth the estimated expenses (all of which will be borne by the registrant) incurred in connection with the issuance and distribution of the securities being registered, other than underwriting discounts and commissions (if any). All of the amounts shown are estimates, except the SEC registration fee.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r>
      <w:tr>
        <w:trPr>
          <w:trHeight w:val="243"/>
        </w:trPr>
        <w:tc>
          <w:tcPr>
            <w:tcW w:w="10200" w:type="dxa"/>
            <w:vAlign w:val="bottom"/>
          </w:tcPr>
          <w:p>
            <w:pPr>
              <w:spacing w:after="0"/>
              <w:rPr>
                <w:sz w:val="20"/>
                <w:szCs w:val="20"/>
                <w:color w:val="auto"/>
              </w:rPr>
            </w:pPr>
            <w:r>
              <w:rPr>
                <w:rFonts w:ascii="Arial" w:cs="Arial" w:eastAsia="Arial" w:hAnsi="Arial"/>
                <w:sz w:val="18"/>
                <w:szCs w:val="18"/>
                <w:color w:val="auto"/>
              </w:rPr>
              <w:t>Trustee fees and expenses .......................................................................................</w:t>
            </w:r>
          </w:p>
        </w:tc>
        <w:tc>
          <w:tcPr>
            <w:tcW w:w="5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r>
      <w:tr>
        <w:trPr>
          <w:trHeight w:val="243"/>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Printing and distributing .........................................................................................</w:t>
            </w:r>
          </w:p>
        </w:tc>
        <w:tc>
          <w:tcPr>
            <w:tcW w:w="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t>
            </w:r>
          </w:p>
        </w:tc>
        <w:tc>
          <w:tcPr>
            <w:tcW w:w="5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Legal fees and expenses .........................................................................................</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 ................................................................................</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43"/>
        </w:trPr>
        <w:tc>
          <w:tcPr>
            <w:tcW w:w="10200" w:type="dxa"/>
            <w:vAlign w:val="bottom"/>
          </w:tcPr>
          <w:p>
            <w:pPr>
              <w:spacing w:after="0"/>
              <w:rPr>
                <w:sz w:val="20"/>
                <w:szCs w:val="20"/>
                <w:color w:val="auto"/>
              </w:rPr>
            </w:pPr>
            <w:r>
              <w:rPr>
                <w:rFonts w:ascii="Arial" w:cs="Arial" w:eastAsia="Arial" w:hAnsi="Arial"/>
                <w:sz w:val="18"/>
                <w:szCs w:val="18"/>
                <w:color w:val="auto"/>
              </w:rPr>
              <w:t>Miscellaneous .........................................................................................................</w:t>
            </w:r>
          </w:p>
        </w:tc>
        <w:tc>
          <w:tcPr>
            <w:tcW w:w="5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5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r>
      <w:tr>
        <w:trPr>
          <w:trHeight w:val="223"/>
        </w:trPr>
        <w:tc>
          <w:tcPr>
            <w:tcW w:w="102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250"/>
        </w:trPr>
        <w:tc>
          <w:tcPr>
            <w:tcW w:w="10200" w:type="dxa"/>
            <w:vAlign w:val="bottom"/>
          </w:tcPr>
          <w:p>
            <w:pPr>
              <w:ind w:left="340"/>
              <w:spacing w:after="0"/>
              <w:rPr>
                <w:sz w:val="20"/>
                <w:szCs w:val="20"/>
                <w:color w:val="auto"/>
              </w:rPr>
            </w:pPr>
            <w:r>
              <w:rPr>
                <w:rFonts w:ascii="Arial" w:cs="Arial" w:eastAsia="Arial" w:hAnsi="Arial"/>
                <w:sz w:val="18"/>
                <w:szCs w:val="18"/>
                <w:color w:val="auto"/>
              </w:rPr>
              <w:t>Total ................................................................................................................</w:t>
            </w:r>
          </w:p>
        </w:tc>
        <w:tc>
          <w:tcPr>
            <w:tcW w:w="500" w:type="dxa"/>
            <w:vAlign w:val="bottom"/>
            <w:tcBorders>
              <w:bottom w:val="single" w:sz="8" w:color="auto"/>
            </w:tcBorders>
          </w:tcPr>
          <w:p>
            <w:pPr>
              <w:spacing w:after="0" w:line="243" w:lineRule="exact"/>
              <w:rPr>
                <w:sz w:val="20"/>
                <w:szCs w:val="20"/>
                <w:color w:val="auto"/>
              </w:rPr>
            </w:pPr>
            <w:r>
              <w:rPr>
                <w:rFonts w:ascii="Arial" w:cs="Arial" w:eastAsia="Arial" w:hAnsi="Arial"/>
                <w:sz w:val="22"/>
                <w:szCs w:val="22"/>
                <w:color w:val="auto"/>
              </w:rPr>
              <w:t>$</w:t>
            </w:r>
          </w:p>
        </w:tc>
        <w:tc>
          <w:tcPr>
            <w:tcW w:w="5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r>
      <w:tr>
        <w:trPr>
          <w:trHeight w:val="214"/>
        </w:trPr>
        <w:tc>
          <w:tcPr>
            <w:tcW w:w="10200" w:type="dxa"/>
            <w:vAlign w:val="bottom"/>
          </w:tcPr>
          <w:p>
            <w:pPr>
              <w:spacing w:after="0"/>
              <w:rPr>
                <w:sz w:val="20"/>
                <w:szCs w:val="20"/>
                <w:color w:val="auto"/>
              </w:rPr>
            </w:pPr>
            <w:r>
              <w:rPr>
                <w:rFonts w:ascii="Arial" w:cs="Arial" w:eastAsia="Arial" w:hAnsi="Arial"/>
                <w:sz w:val="18"/>
                <w:szCs w:val="18"/>
                <w:b w:val="1"/>
                <w:bCs w:val="1"/>
                <w:color w:val="auto"/>
              </w:rPr>
              <w:t>_______________</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Deferred in reliance on Rule 456(b) and 457(r).</w:t>
      </w:r>
    </w:p>
    <w:p>
      <w:pPr>
        <w:spacing w:after="0" w:line="9"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be filed as an exhibit to a document to be incorporated by reference herein.</w:t>
      </w:r>
    </w:p>
    <w:p>
      <w:pPr>
        <w:spacing w:after="0" w:line="2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Under the General Corporation Law of the State of Delaware, or DGCL,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Registrant’s Amended and Restated Certificate of Incorporation eliminates the personal liability of directors to the Registrant or its stockholders for monetary damages for breach of fiduciary duty as a director with certain limited exceptions set forth in the DGCL.</w:t>
      </w:r>
    </w:p>
    <w:p>
      <w:pPr>
        <w:spacing w:after="0" w:line="17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Section 145 of the DGCL grants to corporations the power to indemnify each officer and director against liabilities and expenses incurred by reason of the fact that he or she is or was an officer or director of the corporation if he or she acted in good faith and in a manner he or she reasonably believed to be in or not opposed to the best interests of the corporation and, with respect to any criminal action or proceeding, had no reasonable cause to believe his or her conduct was unlawful. The Registrant’s Amended and Restated Certificate of Incorporation and Restated Bylaws provide for indemnification of each officer and director of the Registrant to the fullest extent permitted by the DGCL. Section 145 of the DGCL also empowers corporations to purchase and maintain insurance on behalf of any person who is or was an officer or director of the corporation against liability asserted against or incurred by him in any such capacity, whether or not the corporation would have the power to indemnify such officer or director against such liability under the provisions of Section 145 of the DGCL.</w:t>
      </w:r>
    </w:p>
    <w:p>
      <w:pPr>
        <w:spacing w:after="0" w:line="3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52"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See the Exhibit Index, which is incorporated into this registration statement by reference.</w:t>
      </w:r>
    </w:p>
    <w:p>
      <w:pPr>
        <w:spacing w:after="0" w:line="219" w:lineRule="exact"/>
        <w:rPr>
          <w:rFonts w:ascii="Arial" w:cs="Arial" w:eastAsia="Arial" w:hAnsi="Arial"/>
          <w:sz w:val="18"/>
          <w:szCs w:val="18"/>
          <w:b w:val="1"/>
          <w:bCs w:val="1"/>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31"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Schedules for which provision is made in the applicable accounting regulations of the SEC are either not required under the related instructions, are inapplicable or not material, or the information called for thereby is otherwise included in the financial statements incorporated by reference and therefore has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spacing w:after="0"/>
        <w:tabs>
          <w:tab w:leader="none" w:pos="9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31"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RULE 415 OFFERING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700" w:hanging="206"/>
        <w:spacing w:after="0"/>
        <w:tabs>
          <w:tab w:leader="none" w:pos="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500" w:hanging="6"/>
        <w:spacing w:after="0" w:line="291" w:lineRule="auto"/>
        <w:tabs>
          <w:tab w:leader="none" w:pos="759" w:val="left"/>
        </w:tabs>
        <w:numPr>
          <w:ilvl w:val="1"/>
          <w:numId w:val="1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74" w:lineRule="exact"/>
        <w:rPr>
          <w:rFonts w:ascii="Arial" w:cs="Arial" w:eastAsia="Arial" w:hAnsi="Arial"/>
          <w:sz w:val="16"/>
          <w:szCs w:val="16"/>
          <w:color w:val="auto"/>
        </w:rPr>
      </w:pPr>
    </w:p>
    <w:p>
      <w:pPr>
        <w:ind w:left="500" w:hanging="6"/>
        <w:spacing w:after="0" w:line="268" w:lineRule="auto"/>
        <w:tabs>
          <w:tab w:leader="none" w:pos="8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5" w:lineRule="exact"/>
        <w:rPr>
          <w:rFonts w:ascii="Arial" w:cs="Arial" w:eastAsia="Arial" w:hAnsi="Arial"/>
          <w:sz w:val="18"/>
          <w:szCs w:val="18"/>
          <w:color w:val="auto"/>
        </w:rPr>
      </w:pPr>
    </w:p>
    <w:p>
      <w:pPr>
        <w:jc w:val="both"/>
        <w:ind w:left="340" w:hanging="8"/>
        <w:spacing w:after="0" w:line="259" w:lineRule="auto"/>
        <w:tabs>
          <w:tab w:leader="none" w:pos="6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initial bona fide offering thereof.</w:t>
      </w:r>
    </w:p>
    <w:p>
      <w:pPr>
        <w:spacing w:after="0" w:line="194" w:lineRule="exact"/>
        <w:rPr>
          <w:rFonts w:ascii="Arial" w:cs="Arial" w:eastAsia="Arial" w:hAnsi="Arial"/>
          <w:sz w:val="18"/>
          <w:szCs w:val="18"/>
          <w:color w:val="auto"/>
        </w:rPr>
      </w:pPr>
    </w:p>
    <w:p>
      <w:pPr>
        <w:ind w:left="340" w:hanging="8"/>
        <w:spacing w:after="0" w:line="268" w:lineRule="auto"/>
        <w:tabs>
          <w:tab w:leader="none" w:pos="5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left="500" w:right="20" w:hanging="6"/>
        <w:spacing w:after="0" w:line="268" w:lineRule="auto"/>
        <w:tabs>
          <w:tab w:leader="none" w:pos="8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jc w:val="both"/>
        <w:ind w:left="500" w:hanging="6"/>
        <w:spacing w:after="0" w:line="286" w:lineRule="auto"/>
        <w:tabs>
          <w:tab w:leader="none" w:pos="784"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the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1" w:lineRule="exact"/>
        <w:rPr>
          <w:rFonts w:ascii="Arial" w:cs="Arial" w:eastAsia="Arial" w:hAnsi="Arial"/>
          <w:sz w:val="16"/>
          <w:szCs w:val="16"/>
          <w:color w:val="auto"/>
        </w:rPr>
      </w:pPr>
    </w:p>
    <w:p>
      <w:pPr>
        <w:ind w:left="580" w:hanging="248"/>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w:t>
      </w:r>
    </w:p>
    <w:p>
      <w:pPr>
        <w:spacing w:after="0" w:line="248"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 Any preliminary prospectus or prospectus of the undersigned registrant relating to the offering required to be filed pursuant to Rule 424;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left="500" w:hanging="6"/>
        <w:spacing w:after="0" w:line="268" w:lineRule="auto"/>
        <w:tabs>
          <w:tab w:leader="none" w:pos="77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500" w:hanging="6"/>
        <w:spacing w:after="0" w:line="268" w:lineRule="auto"/>
        <w:tabs>
          <w:tab w:leader="none" w:pos="83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portion of any other free writing prospectuses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right="2980" w:firstLine="494"/>
        <w:spacing w:after="0" w:line="501" w:lineRule="auto"/>
        <w:tabs>
          <w:tab w:leader="none" w:pos="7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 B. Filings Incorporating Subsequent Exchange Act Documents By Reference</w:t>
      </w:r>
    </w:p>
    <w:p>
      <w:pPr>
        <w:jc w:val="both"/>
        <w:ind w:firstLine="527"/>
        <w:spacing w:after="0" w:line="255"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H. Request for Acceleration of Effective Date or Filing of Registration Statement on Form S-8</w:t>
      </w:r>
    </w:p>
    <w:p>
      <w:pPr>
        <w:spacing w:after="0" w:line="225" w:lineRule="exact"/>
        <w:rPr>
          <w:sz w:val="20"/>
          <w:szCs w:val="20"/>
          <w:color w:val="auto"/>
        </w:rPr>
      </w:pPr>
    </w:p>
    <w:p>
      <w:pPr>
        <w:jc w:val="both"/>
        <w:ind w:firstLine="660"/>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September 5, 2019.</w:t>
      </w:r>
    </w:p>
    <w:p>
      <w:pPr>
        <w:spacing w:after="0" w:line="200" w:lineRule="exact"/>
        <w:rPr>
          <w:sz w:val="20"/>
          <w:szCs w:val="20"/>
          <w:color w:val="auto"/>
        </w:rPr>
      </w:pP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TG Therapeutics, Inc.</w:t>
      </w: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5298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(including pre-effective and post-effective amendments) to this registration statement, and to file the same, with all exhibits thereto and other documents in connection therewith, including any Registration Statement filed pursuant to Rule 462(b) under the Securities Act of 1933,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7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as of September 5, 2019.</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85"/>
              </w:rPr>
              <w:t>Signatures</w:t>
            </w:r>
          </w:p>
        </w:tc>
        <w:tc>
          <w:tcPr>
            <w:tcW w:w="546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Title</w:t>
            </w:r>
          </w:p>
        </w:tc>
      </w:tr>
      <w:tr>
        <w:trPr>
          <w:trHeight w:val="439"/>
        </w:trPr>
        <w:tc>
          <w:tcPr>
            <w:tcW w:w="59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7"/>
              </w:rPr>
              <w:t>/s/ Michael S. Weiss</w:t>
            </w:r>
          </w:p>
        </w:tc>
        <w:tc>
          <w:tcPr>
            <w:tcW w:w="5460" w:type="dxa"/>
            <w:vAlign w:val="bottom"/>
          </w:tcPr>
          <w:p>
            <w:pPr>
              <w:spacing w:after="0"/>
              <w:rPr>
                <w:sz w:val="20"/>
                <w:szCs w:val="20"/>
                <w:color w:val="auto"/>
              </w:rPr>
            </w:pPr>
            <w:r>
              <w:rPr>
                <w:rFonts w:ascii="Arial" w:cs="Arial" w:eastAsia="Arial" w:hAnsi="Arial"/>
                <w:sz w:val="18"/>
                <w:szCs w:val="18"/>
                <w:color w:val="auto"/>
              </w:rPr>
              <w:t>Executive Chairman, Chief Executive Officer and President</w:t>
            </w:r>
          </w:p>
        </w:tc>
      </w:tr>
      <w:tr>
        <w:trPr>
          <w:trHeight w:val="223"/>
        </w:trPr>
        <w:tc>
          <w:tcPr>
            <w:tcW w:w="59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8"/>
              </w:rPr>
              <w:t>Michael S. Weiss</w:t>
            </w:r>
          </w:p>
        </w:tc>
        <w:tc>
          <w:tcPr>
            <w:tcW w:w="5460" w:type="dxa"/>
            <w:vAlign w:val="bottom"/>
          </w:tcPr>
          <w:p>
            <w:pPr>
              <w:spacing w:after="0"/>
              <w:rPr>
                <w:sz w:val="19"/>
                <w:szCs w:val="19"/>
                <w:color w:val="auto"/>
              </w:rPr>
            </w:pPr>
          </w:p>
        </w:tc>
      </w:tr>
      <w:tr>
        <w:trPr>
          <w:trHeight w:val="439"/>
        </w:trPr>
        <w:tc>
          <w:tcPr>
            <w:tcW w:w="59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7"/>
              </w:rPr>
              <w:t>/s/ Sean A. Power</w:t>
            </w:r>
          </w:p>
        </w:tc>
        <w:tc>
          <w:tcPr>
            <w:tcW w:w="5460" w:type="dxa"/>
            <w:vAlign w:val="bottom"/>
          </w:tcPr>
          <w:p>
            <w:pPr>
              <w:spacing w:after="0"/>
              <w:rPr>
                <w:sz w:val="20"/>
                <w:szCs w:val="20"/>
                <w:color w:val="auto"/>
              </w:rPr>
            </w:pPr>
            <w:r>
              <w:rPr>
                <w:rFonts w:ascii="Arial" w:cs="Arial" w:eastAsia="Arial" w:hAnsi="Arial"/>
                <w:sz w:val="18"/>
                <w:szCs w:val="18"/>
                <w:color w:val="auto"/>
              </w:rPr>
              <w:t>Chief Financial Officer, Treasurer and Corporate Secretary</w:t>
            </w:r>
          </w:p>
        </w:tc>
      </w:tr>
      <w:tr>
        <w:trPr>
          <w:trHeight w:val="223"/>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6"/>
              </w:rPr>
              <w:t>Sean A. Power</w:t>
            </w:r>
          </w:p>
        </w:tc>
        <w:tc>
          <w:tcPr>
            <w:tcW w:w="5460" w:type="dxa"/>
            <w:vAlign w:val="bottom"/>
          </w:tcPr>
          <w:p>
            <w:pPr>
              <w:spacing w:after="0"/>
              <w:rPr>
                <w:sz w:val="19"/>
                <w:szCs w:val="19"/>
                <w:color w:val="auto"/>
              </w:rPr>
            </w:pPr>
          </w:p>
        </w:tc>
      </w:tr>
      <w:tr>
        <w:trPr>
          <w:trHeight w:val="439"/>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/s/ Laurence N. Charney</w:t>
            </w: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3"/>
        </w:trPr>
        <w:tc>
          <w:tcPr>
            <w:tcW w:w="59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7"/>
              </w:rPr>
              <w:t>Laurence N. Charney</w:t>
            </w:r>
          </w:p>
        </w:tc>
        <w:tc>
          <w:tcPr>
            <w:tcW w:w="5460" w:type="dxa"/>
            <w:vAlign w:val="bottom"/>
          </w:tcPr>
          <w:p>
            <w:pPr>
              <w:spacing w:after="0"/>
              <w:rPr>
                <w:sz w:val="19"/>
                <w:szCs w:val="19"/>
                <w:color w:val="auto"/>
              </w:rPr>
            </w:pPr>
          </w:p>
        </w:tc>
      </w:tr>
      <w:tr>
        <w:trPr>
          <w:trHeight w:val="439"/>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7"/>
              </w:rPr>
              <w:t>/s/ Yann Echelard</w:t>
            </w: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3"/>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Yann Echelard</w:t>
            </w:r>
          </w:p>
        </w:tc>
        <w:tc>
          <w:tcPr>
            <w:tcW w:w="5460" w:type="dxa"/>
            <w:vAlign w:val="bottom"/>
          </w:tcPr>
          <w:p>
            <w:pPr>
              <w:spacing w:after="0"/>
              <w:rPr>
                <w:sz w:val="19"/>
                <w:szCs w:val="19"/>
                <w:color w:val="auto"/>
              </w:rPr>
            </w:pPr>
          </w:p>
        </w:tc>
      </w:tr>
      <w:tr>
        <w:trPr>
          <w:trHeight w:val="439"/>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0"/>
              </w:rPr>
              <w:t>/s/ Daniel Hume</w:t>
            </w: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3"/>
        </w:trPr>
        <w:tc>
          <w:tcPr>
            <w:tcW w:w="59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90"/>
              </w:rPr>
              <w:t>Daniel Hume</w:t>
            </w:r>
          </w:p>
        </w:tc>
        <w:tc>
          <w:tcPr>
            <w:tcW w:w="5460" w:type="dxa"/>
            <w:vAlign w:val="bottom"/>
          </w:tcPr>
          <w:p>
            <w:pPr>
              <w:spacing w:after="0"/>
              <w:rPr>
                <w:sz w:val="19"/>
                <w:szCs w:val="19"/>
                <w:color w:val="auto"/>
              </w:rPr>
            </w:pPr>
          </w:p>
        </w:tc>
      </w:tr>
      <w:tr>
        <w:trPr>
          <w:trHeight w:val="439"/>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8"/>
              </w:rPr>
              <w:t>/s/ Kenneth Hoberman</w:t>
            </w: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3"/>
        </w:trPr>
        <w:tc>
          <w:tcPr>
            <w:tcW w:w="596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8"/>
              </w:rPr>
              <w:t>Kenneth Hoberman</w:t>
            </w:r>
          </w:p>
        </w:tc>
        <w:tc>
          <w:tcPr>
            <w:tcW w:w="5460" w:type="dxa"/>
            <w:vAlign w:val="bottom"/>
          </w:tcPr>
          <w:p>
            <w:pPr>
              <w:spacing w:after="0"/>
              <w:rPr>
                <w:sz w:val="19"/>
                <w:szCs w:val="19"/>
                <w:color w:val="auto"/>
              </w:rPr>
            </w:pPr>
          </w:p>
        </w:tc>
      </w:tr>
      <w:tr>
        <w:trPr>
          <w:trHeight w:val="439"/>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0"/>
              </w:rPr>
              <w:t>/s/ William J. Kennedy</w:t>
            </w: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23"/>
        </w:trPr>
        <w:tc>
          <w:tcPr>
            <w:tcW w:w="596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1"/>
              </w:rPr>
              <w:t>William J. Kennedy</w:t>
            </w:r>
          </w:p>
        </w:tc>
        <w:tc>
          <w:tcPr>
            <w:tcW w:w="5460" w:type="dxa"/>
            <w:vAlign w:val="bottom"/>
          </w:tcPr>
          <w:p>
            <w:pPr>
              <w:spacing w:after="0"/>
              <w:rPr>
                <w:sz w:val="19"/>
                <w:szCs w:val="19"/>
                <w:color w:val="auto"/>
              </w:rPr>
            </w:pPr>
          </w:p>
        </w:tc>
      </w:tr>
      <w:tr>
        <w:trPr>
          <w:trHeight w:val="648"/>
        </w:trPr>
        <w:tc>
          <w:tcPr>
            <w:tcW w:w="59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4" w:name="page25"/>
    <w:bookmarkEnd w:id="24"/>
    <w:p>
      <w:pPr>
        <w:jc w:val="center"/>
        <w:ind w:right="-131"/>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72"/>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32"/>
        <w:spacing w:after="0"/>
        <w:tabs>
          <w:tab w:leader="none" w:pos="892"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6985</wp:posOffset>
            </wp:positionV>
            <wp:extent cx="66636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10" w:lineRule="exact"/>
        <w:rPr>
          <w:sz w:val="20"/>
          <w:szCs w:val="20"/>
          <w:color w:val="auto"/>
        </w:rPr>
      </w:pPr>
    </w:p>
    <w:p>
      <w:pPr>
        <w:ind w:left="232"/>
        <w:spacing w:after="0"/>
        <w:tabs>
          <w:tab w:leader="none" w:pos="892"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232"/>
        <w:spacing w:after="0"/>
        <w:tabs>
          <w:tab w:leader="none" w:pos="892" w:val="left"/>
        </w:tabs>
        <w:rPr>
          <w:sz w:val="20"/>
          <w:szCs w:val="20"/>
          <w:color w:val="auto"/>
        </w:rPr>
      </w:pPr>
      <w:r>
        <w:rPr>
          <w:rFonts w:ascii="Arial" w:cs="Arial" w:eastAsia="Arial" w:hAnsi="Arial"/>
          <w:sz w:val="18"/>
          <w:szCs w:val="18"/>
          <w:u w:val="single" w:color="auto"/>
          <w:color w:val="0000EE"/>
        </w:rPr>
        <w:t>4.1</w:t>
      </w:r>
      <w:r>
        <w:rPr>
          <w:sz w:val="20"/>
          <w:szCs w:val="20"/>
          <w:color w:val="auto"/>
        </w:rPr>
        <w:tab/>
      </w:r>
      <w:r>
        <w:rPr>
          <w:rFonts w:ascii="Arial" w:cs="Arial" w:eastAsia="Arial" w:hAnsi="Arial"/>
          <w:sz w:val="15"/>
          <w:szCs w:val="15"/>
          <w:color w:val="auto"/>
        </w:rPr>
        <w:t>Specimen common stock certificate (incorporated by reference to Exhibit 4.1 to the Registrant’s Form 10-K for the year ended December 31, 2011.</w:t>
      </w:r>
    </w:p>
    <w:p>
      <w:pPr>
        <w:spacing w:after="0" w:line="9" w:lineRule="exact"/>
        <w:rPr>
          <w:sz w:val="20"/>
          <w:szCs w:val="20"/>
          <w:color w:val="auto"/>
        </w:rPr>
      </w:pPr>
    </w:p>
    <w:p>
      <w:pPr>
        <w:ind w:left="232"/>
        <w:spacing w:after="0"/>
        <w:tabs>
          <w:tab w:leader="none" w:pos="89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Preferred Stock Certificate*</w:t>
      </w:r>
    </w:p>
    <w:p>
      <w:pPr>
        <w:spacing w:after="0" w:line="9" w:lineRule="exact"/>
        <w:rPr>
          <w:sz w:val="20"/>
          <w:szCs w:val="20"/>
          <w:color w:val="auto"/>
        </w:rPr>
      </w:pPr>
    </w:p>
    <w:p>
      <w:pPr>
        <w:ind w:left="232"/>
        <w:spacing w:after="0"/>
        <w:tabs>
          <w:tab w:leader="none" w:pos="89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Indenture†</w:t>
      </w:r>
    </w:p>
    <w:p>
      <w:pPr>
        <w:spacing w:after="0" w:line="9" w:lineRule="exact"/>
        <w:rPr>
          <w:sz w:val="20"/>
          <w:szCs w:val="20"/>
          <w:color w:val="auto"/>
        </w:rPr>
      </w:pPr>
    </w:p>
    <w:p>
      <w:pPr>
        <w:ind w:left="232"/>
        <w:spacing w:after="0"/>
        <w:tabs>
          <w:tab w:leader="none" w:pos="89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Warrant Agreement*</w:t>
      </w:r>
    </w:p>
    <w:p>
      <w:pPr>
        <w:spacing w:after="0" w:line="9" w:lineRule="exact"/>
        <w:rPr>
          <w:sz w:val="20"/>
          <w:szCs w:val="20"/>
          <w:color w:val="auto"/>
        </w:rPr>
      </w:pPr>
    </w:p>
    <w:p>
      <w:pPr>
        <w:ind w:left="232"/>
        <w:spacing w:after="0"/>
        <w:tabs>
          <w:tab w:leader="none" w:pos="892"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Warrant Certificate*</w:t>
      </w:r>
    </w:p>
    <w:p>
      <w:pPr>
        <w:spacing w:after="0" w:line="9" w:lineRule="exact"/>
        <w:rPr>
          <w:sz w:val="20"/>
          <w:szCs w:val="20"/>
          <w:color w:val="auto"/>
        </w:rPr>
      </w:pPr>
    </w:p>
    <w:p>
      <w:pPr>
        <w:ind w:left="232"/>
        <w:spacing w:after="0"/>
        <w:tabs>
          <w:tab w:leader="none" w:pos="892"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Unit Agreement*</w:t>
      </w:r>
    </w:p>
    <w:p>
      <w:pPr>
        <w:spacing w:after="0" w:line="9" w:lineRule="exact"/>
        <w:rPr>
          <w:sz w:val="20"/>
          <w:szCs w:val="20"/>
          <w:color w:val="auto"/>
        </w:rPr>
      </w:pPr>
    </w:p>
    <w:p>
      <w:pPr>
        <w:ind w:left="232"/>
        <w:spacing w:after="0"/>
        <w:tabs>
          <w:tab w:leader="none" w:pos="892"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Unit Certificate*</w:t>
      </w:r>
    </w:p>
    <w:p>
      <w:pPr>
        <w:spacing w:after="0" w:line="9" w:lineRule="exact"/>
        <w:rPr>
          <w:sz w:val="20"/>
          <w:szCs w:val="20"/>
          <w:color w:val="auto"/>
        </w:rPr>
      </w:pPr>
    </w:p>
    <w:p>
      <w:pPr>
        <w:ind w:left="232"/>
        <w:spacing w:after="0"/>
        <w:tabs>
          <w:tab w:leader="none" w:pos="892" w:val="left"/>
        </w:tabs>
        <w:rPr>
          <w:sz w:val="20"/>
          <w:szCs w:val="20"/>
          <w:color w:val="auto"/>
        </w:rPr>
      </w:pPr>
      <w:r>
        <w:rPr>
          <w:rFonts w:ascii="Arial" w:cs="Arial" w:eastAsia="Arial" w:hAnsi="Arial"/>
          <w:sz w:val="18"/>
          <w:szCs w:val="18"/>
          <w:u w:val="single" w:color="auto"/>
          <w:color w:val="0000EE"/>
        </w:rPr>
        <w:t>5.1</w:t>
      </w:r>
      <w:r>
        <w:rPr>
          <w:sz w:val="20"/>
          <w:szCs w:val="20"/>
          <w:color w:val="auto"/>
        </w:rPr>
        <w:tab/>
      </w:r>
      <w:r>
        <w:rPr>
          <w:rFonts w:ascii="Arial" w:cs="Arial" w:eastAsia="Arial" w:hAnsi="Arial"/>
          <w:sz w:val="16"/>
          <w:szCs w:val="16"/>
          <w:color w:val="auto"/>
        </w:rPr>
        <w:t>Opinion of Alston &amp; Bird LLP†</w:t>
      </w:r>
    </w:p>
    <w:p>
      <w:pPr>
        <w:spacing w:after="0" w:line="9" w:lineRule="exact"/>
        <w:rPr>
          <w:sz w:val="20"/>
          <w:szCs w:val="20"/>
          <w:color w:val="auto"/>
        </w:rPr>
      </w:pPr>
    </w:p>
    <w:p>
      <w:pPr>
        <w:ind w:left="192"/>
        <w:spacing w:after="0"/>
        <w:tabs>
          <w:tab w:leader="none" w:pos="892" w:val="left"/>
        </w:tabs>
        <w:rPr>
          <w:sz w:val="20"/>
          <w:szCs w:val="20"/>
          <w:color w:val="auto"/>
        </w:rPr>
      </w:pPr>
      <w:r>
        <w:rPr>
          <w:rFonts w:ascii="Arial" w:cs="Arial" w:eastAsia="Arial" w:hAnsi="Arial"/>
          <w:sz w:val="18"/>
          <w:szCs w:val="18"/>
          <w:u w:val="single" w:color="auto"/>
          <w:color w:val="0000EE"/>
        </w:rPr>
        <w:t>23.1</w:t>
      </w:r>
      <w:r>
        <w:rPr>
          <w:sz w:val="20"/>
          <w:szCs w:val="20"/>
          <w:color w:val="auto"/>
        </w:rPr>
        <w:tab/>
      </w:r>
      <w:r>
        <w:rPr>
          <w:rFonts w:ascii="Arial" w:cs="Arial" w:eastAsia="Arial" w:hAnsi="Arial"/>
          <w:sz w:val="16"/>
          <w:szCs w:val="16"/>
          <w:color w:val="auto"/>
        </w:rPr>
        <w:t>Consent of CohnReznick LLP†</w:t>
      </w:r>
    </w:p>
    <w:p>
      <w:pPr>
        <w:spacing w:after="0" w:line="9" w:lineRule="exact"/>
        <w:rPr>
          <w:sz w:val="20"/>
          <w:szCs w:val="20"/>
          <w:color w:val="auto"/>
        </w:rPr>
      </w:pPr>
    </w:p>
    <w:p>
      <w:pPr>
        <w:ind w:left="192"/>
        <w:spacing w:after="0"/>
        <w:tabs>
          <w:tab w:leader="none" w:pos="892"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Alston &amp; Bird LLP (included in Exhibit 5.1)†</w:t>
      </w:r>
    </w:p>
    <w:p>
      <w:pPr>
        <w:spacing w:after="0" w:line="9" w:lineRule="exact"/>
        <w:rPr>
          <w:sz w:val="20"/>
          <w:szCs w:val="20"/>
          <w:color w:val="auto"/>
        </w:rPr>
      </w:pPr>
    </w:p>
    <w:p>
      <w:pPr>
        <w:ind w:left="192"/>
        <w:spacing w:after="0"/>
        <w:tabs>
          <w:tab w:leader="none" w:pos="892"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the signature page to this Registration Statement)</w:t>
      </w:r>
    </w:p>
    <w:p>
      <w:pPr>
        <w:spacing w:after="0" w:line="9" w:lineRule="exact"/>
        <w:rPr>
          <w:sz w:val="20"/>
          <w:szCs w:val="20"/>
          <w:color w:val="auto"/>
        </w:rPr>
      </w:pPr>
    </w:p>
    <w:p>
      <w:pPr>
        <w:ind w:left="192"/>
        <w:spacing w:after="0"/>
        <w:tabs>
          <w:tab w:leader="none" w:pos="892"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Statement of Eligibility of Trust Under Debt Indenture**</w:t>
      </w:r>
    </w:p>
    <w:p>
      <w:pPr>
        <w:spacing w:after="0" w:line="200" w:lineRule="exact"/>
        <w:rPr>
          <w:sz w:val="20"/>
          <w:szCs w:val="20"/>
          <w:color w:val="auto"/>
        </w:rPr>
      </w:pPr>
    </w:p>
    <w:p>
      <w:pPr>
        <w:spacing w:after="0" w:line="262"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652" w:hanging="652"/>
        <w:spacing w:after="0"/>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ind w:left="652" w:right="420" w:hanging="652"/>
        <w:spacing w:after="0" w:line="268"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 to the extent applicable.</w:t>
      </w:r>
    </w:p>
    <w:p>
      <w:pPr>
        <w:spacing w:after="0" w:line="186" w:lineRule="exact"/>
        <w:rPr>
          <w:sz w:val="20"/>
          <w:szCs w:val="20"/>
          <w:color w:val="auto"/>
        </w:rPr>
      </w:pPr>
    </w:p>
    <w:p>
      <w:pPr>
        <w:ind w:left="652" w:hanging="652"/>
        <w:spacing w:after="0"/>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697230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72"/>
          </w:cols>
          <w:pgMar w:left="248" w:top="773" w:right="37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color w:val="auto"/>
        </w:rPr>
        <w:t>Exhibit 4.1</w:t>
      </w:r>
    </w:p>
    <w:p>
      <w:pPr>
        <w:spacing w:after="0" w:line="200" w:lineRule="exact"/>
        <w:rPr>
          <w:sz w:val="20"/>
          <w:szCs w:val="20"/>
          <w:color w:val="auto"/>
        </w:rPr>
      </w:pPr>
    </w:p>
    <w:p>
      <w:pPr>
        <w:spacing w:after="0" w:line="228"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TG THERAPEUTICS, INC.</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FORM OF</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INDENTURE</w:t>
      </w:r>
    </w:p>
    <w:p>
      <w:pPr>
        <w:spacing w:after="0" w:line="221"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Dated as of</w:t>
      </w:r>
    </w:p>
    <w:p>
      <w:pPr>
        <w:spacing w:after="0" w:line="221" w:lineRule="exact"/>
        <w:rPr>
          <w:sz w:val="20"/>
          <w:szCs w:val="20"/>
          <w:color w:val="auto"/>
        </w:rPr>
      </w:pPr>
    </w:p>
    <w:p>
      <w:pPr>
        <w:ind w:left="4340" w:hanging="96"/>
        <w:spacing w:after="0"/>
        <w:tabs>
          <w:tab w:leader="none" w:pos="4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20[ ]</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6" w:lineRule="exact"/>
        <w:rPr>
          <w:rFonts w:ascii="Arial" w:cs="Arial" w:eastAsia="Arial" w:hAnsi="Arial"/>
          <w:sz w:val="16"/>
          <w:szCs w:val="16"/>
          <w:color w:val="auto"/>
        </w:rPr>
      </w:pPr>
    </w:p>
    <w:p>
      <w:pPr>
        <w:ind w:left="3820"/>
        <w:spacing w:after="0"/>
        <w:rPr>
          <w:rFonts w:ascii="Arial" w:cs="Arial" w:eastAsia="Arial" w:hAnsi="Arial"/>
          <w:sz w:val="16"/>
          <w:szCs w:val="16"/>
          <w:color w:val="auto"/>
        </w:rPr>
      </w:pPr>
      <w:r>
        <w:rPr>
          <w:rFonts w:ascii="Arial" w:cs="Arial" w:eastAsia="Arial" w:hAnsi="Arial"/>
          <w:sz w:val="16"/>
          <w:szCs w:val="16"/>
          <w:color w:val="auto"/>
        </w:rPr>
        <w:t>DEBT SECURITIES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[___]</w:t>
      </w:r>
    </w:p>
    <w:p>
      <w:pPr>
        <w:spacing w:after="0" w:line="221"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789940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60" w:type="dxa"/>
            <w:vAlign w:val="bottom"/>
            <w:gridSpan w:val="2"/>
          </w:tcPr>
          <w:p>
            <w:pPr>
              <w:ind w:left="4140"/>
              <w:spacing w:after="0"/>
              <w:rPr>
                <w:sz w:val="20"/>
                <w:szCs w:val="20"/>
                <w:color w:val="auto"/>
              </w:rPr>
            </w:pPr>
            <w:r>
              <w:rPr>
                <w:rFonts w:ascii="Arial" w:cs="Arial" w:eastAsia="Arial" w:hAnsi="Arial"/>
                <w:sz w:val="16"/>
                <w:szCs w:val="16"/>
                <w:b w:val="1"/>
                <w:bCs w:val="1"/>
                <w:color w:val="auto"/>
              </w:rPr>
              <w:t>CROSS REFERENCE SHEET</w:t>
            </w:r>
          </w:p>
        </w:tc>
        <w:tc>
          <w:tcPr>
            <w:tcW w:w="4560" w:type="dxa"/>
            <w:vAlign w:val="bottom"/>
          </w:tcPr>
          <w:p>
            <w:pPr>
              <w:spacing w:after="0"/>
              <w:rPr>
                <w:sz w:val="18"/>
                <w:szCs w:val="18"/>
                <w:color w:val="auto"/>
              </w:rPr>
            </w:pPr>
          </w:p>
        </w:tc>
      </w:tr>
      <w:tr>
        <w:trPr>
          <w:trHeight w:val="40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60" w:type="dxa"/>
            <w:vAlign w:val="bottom"/>
            <w:gridSpan w:val="2"/>
          </w:tcPr>
          <w:p>
            <w:pPr>
              <w:ind w:left="160"/>
              <w:spacing w:after="0"/>
              <w:rPr>
                <w:sz w:val="20"/>
                <w:szCs w:val="20"/>
                <w:color w:val="auto"/>
              </w:rPr>
            </w:pPr>
            <w:r>
              <w:rPr>
                <w:rFonts w:ascii="Arial" w:cs="Arial" w:eastAsia="Arial" w:hAnsi="Arial"/>
                <w:sz w:val="16"/>
                <w:szCs w:val="16"/>
                <w:color w:val="auto"/>
                <w:w w:val="97"/>
              </w:rPr>
              <w:t>Cross-reference sheet of provisions of the Trust Indenture Act of 1939 and this indenture*</w:t>
            </w:r>
          </w:p>
        </w:tc>
        <w:tc>
          <w:tcPr>
            <w:tcW w:w="4560" w:type="dxa"/>
            <w:vAlign w:val="bottom"/>
          </w:tcPr>
          <w:p>
            <w:pPr>
              <w:spacing w:after="0"/>
              <w:rPr>
                <w:sz w:val="24"/>
                <w:szCs w:val="24"/>
                <w:color w:val="auto"/>
              </w:rPr>
            </w:pPr>
          </w:p>
        </w:tc>
      </w:tr>
      <w:tr>
        <w:trPr>
          <w:trHeight w:val="209"/>
        </w:trPr>
        <w:tc>
          <w:tcPr>
            <w:tcW w:w="6860" w:type="dxa"/>
            <w:vAlign w:val="bottom"/>
            <w:gridSpan w:val="4"/>
          </w:tcPr>
          <w:p>
            <w:pPr>
              <w:spacing w:after="0"/>
              <w:rPr>
                <w:sz w:val="18"/>
                <w:szCs w:val="18"/>
                <w:color w:val="auto"/>
              </w:rPr>
            </w:pPr>
          </w:p>
        </w:tc>
        <w:tc>
          <w:tcPr>
            <w:tcW w:w="45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6"/>
                <w:szCs w:val="16"/>
                <w:color w:val="auto"/>
              </w:rPr>
              <w:t>Trust Indenture Act Section</w:t>
            </w:r>
          </w:p>
        </w:tc>
        <w:tc>
          <w:tcPr>
            <w:tcW w:w="220" w:type="dxa"/>
            <w:vAlign w:val="bottom"/>
          </w:tcPr>
          <w:p>
            <w:pPr>
              <w:spacing w:after="0"/>
              <w:rPr>
                <w:sz w:val="17"/>
                <w:szCs w:val="17"/>
                <w:color w:val="auto"/>
              </w:rPr>
            </w:pPr>
          </w:p>
        </w:tc>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Indenture Section</w:t>
            </w:r>
          </w:p>
        </w:tc>
      </w:tr>
      <w:tr>
        <w:trPr>
          <w:trHeight w:val="21"/>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6"/>
                <w:szCs w:val="16"/>
                <w:color w:val="auto"/>
              </w:rPr>
              <w:t>§310</w:t>
            </w:r>
          </w:p>
        </w:tc>
        <w:tc>
          <w:tcPr>
            <w:tcW w:w="63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(a)</w:t>
            </w: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11.04(a), 16.02</w:t>
            </w:r>
          </w:p>
        </w:tc>
      </w:tr>
      <w:tr>
        <w:trPr>
          <w:trHeight w:val="203"/>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60" w:type="dxa"/>
            <w:vAlign w:val="bottom"/>
            <w:gridSpan w:val="2"/>
          </w:tcPr>
          <w:p>
            <w:pPr>
              <w:ind w:left="660"/>
              <w:spacing w:after="0"/>
              <w:rPr>
                <w:sz w:val="20"/>
                <w:szCs w:val="20"/>
                <w:color w:val="auto"/>
              </w:rPr>
            </w:pPr>
            <w:r>
              <w:rPr>
                <w:rFonts w:ascii="Arial" w:cs="Arial" w:eastAsia="Arial" w:hAnsi="Arial"/>
                <w:sz w:val="16"/>
                <w:szCs w:val="16"/>
                <w:color w:val="auto"/>
              </w:rPr>
              <w:t>(b)</w:t>
            </w:r>
          </w:p>
        </w:tc>
        <w:tc>
          <w:tcPr>
            <w:tcW w:w="4560" w:type="dxa"/>
            <w:vAlign w:val="bottom"/>
          </w:tcPr>
          <w:p>
            <w:pPr>
              <w:spacing w:after="0"/>
              <w:rPr>
                <w:sz w:val="20"/>
                <w:szCs w:val="20"/>
                <w:color w:val="auto"/>
              </w:rPr>
            </w:pPr>
            <w:r>
              <w:rPr>
                <w:rFonts w:ascii="Arial" w:cs="Arial" w:eastAsia="Arial" w:hAnsi="Arial"/>
                <w:sz w:val="16"/>
                <w:szCs w:val="16"/>
                <w:color w:val="auto"/>
              </w:rPr>
              <w:t>11.01(f), 11.04(b), 11.05(1), 16.02</w:t>
            </w:r>
          </w:p>
        </w:tc>
      </w:tr>
      <w:tr>
        <w:trPr>
          <w:trHeight w:val="203"/>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3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(b)(1)</w:t>
            </w: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11.04(b), 16.02</w:t>
            </w:r>
          </w:p>
        </w:tc>
      </w:tr>
      <w:tr>
        <w:trPr>
          <w:trHeight w:val="203"/>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§311</w:t>
            </w:r>
          </w:p>
        </w:tc>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11.01(f), 16.02</w:t>
            </w:r>
          </w:p>
        </w:tc>
      </w:tr>
      <w:tr>
        <w:trPr>
          <w:trHeight w:val="203"/>
        </w:trPr>
        <w:tc>
          <w:tcPr>
            <w:tcW w:w="20" w:type="dxa"/>
            <w:vAlign w:val="bottom"/>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6"/>
                <w:szCs w:val="16"/>
                <w:color w:val="auto"/>
              </w:rPr>
              <w:t>§312</w:t>
            </w:r>
          </w:p>
        </w:tc>
        <w:tc>
          <w:tcPr>
            <w:tcW w:w="6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14.02(d), 16.02</w:t>
            </w:r>
          </w:p>
        </w:tc>
      </w:tr>
      <w:tr>
        <w:trPr>
          <w:trHeight w:val="203"/>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60" w:type="dxa"/>
            <w:vAlign w:val="bottom"/>
            <w:gridSpan w:val="2"/>
          </w:tcPr>
          <w:p>
            <w:pPr>
              <w:ind w:left="660"/>
              <w:spacing w:after="0"/>
              <w:rPr>
                <w:sz w:val="20"/>
                <w:szCs w:val="20"/>
                <w:color w:val="auto"/>
              </w:rPr>
            </w:pPr>
            <w:r>
              <w:rPr>
                <w:rFonts w:ascii="Arial" w:cs="Arial" w:eastAsia="Arial" w:hAnsi="Arial"/>
                <w:sz w:val="16"/>
                <w:szCs w:val="16"/>
                <w:color w:val="auto"/>
              </w:rPr>
              <w:t>(b)</w:t>
            </w:r>
          </w:p>
        </w:tc>
        <w:tc>
          <w:tcPr>
            <w:tcW w:w="4560" w:type="dxa"/>
            <w:vAlign w:val="bottom"/>
          </w:tcPr>
          <w:p>
            <w:pPr>
              <w:spacing w:after="0"/>
              <w:rPr>
                <w:sz w:val="20"/>
                <w:szCs w:val="20"/>
                <w:color w:val="auto"/>
              </w:rPr>
            </w:pPr>
            <w:r>
              <w:rPr>
                <w:rFonts w:ascii="Arial" w:cs="Arial" w:eastAsia="Arial" w:hAnsi="Arial"/>
                <w:sz w:val="16"/>
                <w:szCs w:val="16"/>
                <w:color w:val="auto"/>
              </w:rPr>
              <w:t>11.10, 16.02</w:t>
            </w:r>
          </w:p>
        </w:tc>
      </w:tr>
      <w:tr>
        <w:trPr>
          <w:trHeight w:val="203"/>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3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w:t>
            </w: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11.10, 16.02</w:t>
            </w:r>
          </w:p>
        </w:tc>
      </w:tr>
      <w:tr>
        <w:trPr>
          <w:trHeight w:val="203"/>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§313</w:t>
            </w:r>
          </w:p>
        </w:tc>
        <w:tc>
          <w:tcPr>
            <w:tcW w:w="6360" w:type="dxa"/>
            <w:vAlign w:val="bottom"/>
            <w:gridSpan w:val="2"/>
          </w:tcPr>
          <w:p>
            <w:pPr>
              <w:ind w:left="660"/>
              <w:spacing w:after="0"/>
              <w:rPr>
                <w:sz w:val="20"/>
                <w:szCs w:val="20"/>
                <w:color w:val="auto"/>
              </w:rPr>
            </w:pPr>
            <w:r>
              <w:rPr>
                <w:rFonts w:ascii="Arial" w:cs="Arial" w:eastAsia="Arial" w:hAnsi="Arial"/>
                <w:sz w:val="16"/>
                <w:szCs w:val="16"/>
                <w:color w:val="auto"/>
              </w:rPr>
              <w:t>(a)</w:t>
            </w:r>
          </w:p>
        </w:tc>
        <w:tc>
          <w:tcPr>
            <w:tcW w:w="4560" w:type="dxa"/>
            <w:vAlign w:val="bottom"/>
          </w:tcPr>
          <w:p>
            <w:pPr>
              <w:spacing w:after="0"/>
              <w:rPr>
                <w:sz w:val="20"/>
                <w:szCs w:val="20"/>
                <w:color w:val="auto"/>
              </w:rPr>
            </w:pPr>
            <w:r>
              <w:rPr>
                <w:rFonts w:ascii="Arial" w:cs="Arial" w:eastAsia="Arial" w:hAnsi="Arial"/>
                <w:sz w:val="16"/>
                <w:szCs w:val="16"/>
                <w:color w:val="auto"/>
              </w:rPr>
              <w:t>10.01(a), 16.02</w:t>
            </w:r>
          </w:p>
        </w:tc>
      </w:tr>
      <w:tr>
        <w:trPr>
          <w:trHeight w:val="203"/>
        </w:trPr>
        <w:tc>
          <w:tcPr>
            <w:tcW w:w="20" w:type="dxa"/>
            <w:vAlign w:val="bottom"/>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6"/>
                <w:szCs w:val="16"/>
                <w:color w:val="auto"/>
              </w:rPr>
              <w:t>§314</w:t>
            </w:r>
          </w:p>
        </w:tc>
        <w:tc>
          <w:tcPr>
            <w:tcW w:w="6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16.02</w:t>
            </w:r>
          </w:p>
        </w:tc>
      </w:tr>
      <w:tr>
        <w:trPr>
          <w:trHeight w:val="203"/>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§315</w:t>
            </w:r>
          </w:p>
        </w:tc>
        <w:tc>
          <w:tcPr>
            <w:tcW w:w="6360" w:type="dxa"/>
            <w:vAlign w:val="bottom"/>
            <w:gridSpan w:val="2"/>
          </w:tcPr>
          <w:p>
            <w:pPr>
              <w:ind w:left="660"/>
              <w:spacing w:after="0"/>
              <w:rPr>
                <w:sz w:val="20"/>
                <w:szCs w:val="20"/>
                <w:color w:val="auto"/>
              </w:rPr>
            </w:pPr>
            <w:r>
              <w:rPr>
                <w:rFonts w:ascii="Arial" w:cs="Arial" w:eastAsia="Arial" w:hAnsi="Arial"/>
                <w:sz w:val="16"/>
                <w:szCs w:val="16"/>
                <w:color w:val="auto"/>
              </w:rPr>
              <w:t>(e)</w:t>
            </w:r>
          </w:p>
        </w:tc>
        <w:tc>
          <w:tcPr>
            <w:tcW w:w="4560" w:type="dxa"/>
            <w:vAlign w:val="bottom"/>
          </w:tcPr>
          <w:p>
            <w:pPr>
              <w:spacing w:after="0"/>
              <w:rPr>
                <w:sz w:val="20"/>
                <w:szCs w:val="20"/>
                <w:color w:val="auto"/>
              </w:rPr>
            </w:pPr>
            <w:r>
              <w:rPr>
                <w:rFonts w:ascii="Arial" w:cs="Arial" w:eastAsia="Arial" w:hAnsi="Arial"/>
                <w:sz w:val="16"/>
                <w:szCs w:val="16"/>
                <w:color w:val="auto"/>
              </w:rPr>
              <w:t>11.05, 16.02</w:t>
            </w:r>
          </w:p>
        </w:tc>
      </w:tr>
      <w:tr>
        <w:trPr>
          <w:trHeight w:val="203"/>
        </w:trPr>
        <w:tc>
          <w:tcPr>
            <w:tcW w:w="20" w:type="dxa"/>
            <w:vAlign w:val="bottom"/>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6"/>
                <w:szCs w:val="16"/>
                <w:color w:val="auto"/>
              </w:rPr>
              <w:t>§316</w:t>
            </w:r>
          </w:p>
        </w:tc>
        <w:tc>
          <w:tcPr>
            <w:tcW w:w="6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16.02</w:t>
            </w:r>
          </w:p>
        </w:tc>
      </w:tr>
      <w:tr>
        <w:trPr>
          <w:trHeight w:val="203"/>
        </w:trPr>
        <w:tc>
          <w:tcPr>
            <w:tcW w:w="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§317</w:t>
            </w:r>
          </w:p>
        </w:tc>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16.02</w:t>
            </w:r>
          </w:p>
        </w:tc>
      </w:tr>
      <w:tr>
        <w:trPr>
          <w:trHeight w:val="203"/>
        </w:trPr>
        <w:tc>
          <w:tcPr>
            <w:tcW w:w="20" w:type="dxa"/>
            <w:vAlign w:val="bottom"/>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6"/>
                <w:szCs w:val="16"/>
                <w:color w:val="auto"/>
              </w:rPr>
              <w:t>§317</w:t>
            </w:r>
          </w:p>
        </w:tc>
        <w:tc>
          <w:tcPr>
            <w:tcW w:w="6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16.02</w:t>
            </w:r>
          </w:p>
        </w:tc>
      </w:tr>
    </w:tbl>
    <w:p>
      <w:pPr>
        <w:spacing w:after="0" w:line="395" w:lineRule="exact"/>
        <w:rPr>
          <w:sz w:val="20"/>
          <w:szCs w:val="20"/>
          <w:color w:val="auto"/>
        </w:rPr>
      </w:pPr>
    </w:p>
    <w:p>
      <w:pPr>
        <w:jc w:val="both"/>
        <w:ind w:firstLine="8"/>
        <w:spacing w:after="0" w:line="278" w:lineRule="auto"/>
        <w:tabs>
          <w:tab w:leader="none" w:pos="12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reconciliation and tie shall not, for any purpose, be deemed to be a part of the Indenture. Attention should also be directed to Section 318(c) of the Trust Indenture Act of 1939, which provides that the provisions of Sections 310 to and including 317 of the Trust Indenture Act of 1939 are a part of and govern every qualified indenture, whether or not physically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580" w:type="dxa"/>
            <w:vAlign w:val="bottom"/>
          </w:tcPr>
          <w:p>
            <w:pPr>
              <w:jc w:val="right"/>
              <w:ind w:right="4759"/>
              <w:spacing w:after="0"/>
              <w:rPr>
                <w:sz w:val="20"/>
                <w:szCs w:val="20"/>
                <w:color w:val="auto"/>
              </w:rPr>
            </w:pPr>
            <w:r>
              <w:rPr>
                <w:rFonts w:ascii="Arial" w:cs="Arial" w:eastAsia="Arial" w:hAnsi="Arial"/>
                <w:sz w:val="16"/>
                <w:szCs w:val="16"/>
                <w:b w:val="1"/>
                <w:bCs w:val="1"/>
                <w:color w:val="auto"/>
                <w:w w:val="99"/>
              </w:rPr>
              <w:t>TABLE OF CONTENTS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20" w:type="dxa"/>
            <w:vAlign w:val="bottom"/>
            <w:gridSpan w:val="2"/>
          </w:tcPr>
          <w:p>
            <w:pPr>
              <w:spacing w:after="0"/>
              <w:rPr>
                <w:sz w:val="18"/>
                <w:szCs w:val="18"/>
                <w:color w:val="auto"/>
              </w:rPr>
            </w:pPr>
          </w:p>
        </w:tc>
        <w:tc>
          <w:tcPr>
            <w:tcW w:w="6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 DEFINITIONS</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w w:val="96"/>
              </w:rPr>
              <w:t>Section 1.01</w:t>
            </w:r>
          </w:p>
        </w:tc>
        <w:tc>
          <w:tcPr>
            <w:tcW w:w="3780" w:type="dxa"/>
            <w:vAlign w:val="bottom"/>
          </w:tcPr>
          <w:p>
            <w:pPr>
              <w:ind w:left="80"/>
              <w:spacing w:after="0"/>
              <w:rPr>
                <w:sz w:val="20"/>
                <w:szCs w:val="20"/>
                <w:color w:val="auto"/>
              </w:rPr>
            </w:pPr>
            <w:r>
              <w:rPr>
                <w:rFonts w:ascii="Arial" w:cs="Arial" w:eastAsia="Arial" w:hAnsi="Arial"/>
                <w:sz w:val="16"/>
                <w:szCs w:val="16"/>
                <w:color w:val="auto"/>
              </w:rPr>
              <w:t>Definitions</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20" w:type="dxa"/>
            <w:vAlign w:val="bottom"/>
            <w:gridSpan w:val="2"/>
            <w:shd w:val="clear" w:color="auto" w:fill="CCEEFF"/>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gridSpan w:val="2"/>
          </w:tcPr>
          <w:p>
            <w:pPr>
              <w:spacing w:after="0"/>
              <w:rPr>
                <w:sz w:val="20"/>
                <w:szCs w:val="20"/>
                <w:color w:val="auto"/>
              </w:rPr>
            </w:pPr>
            <w:r>
              <w:rPr>
                <w:rFonts w:ascii="Arial" w:cs="Arial" w:eastAsia="Arial" w:hAnsi="Arial"/>
                <w:sz w:val="16"/>
                <w:szCs w:val="16"/>
                <w:color w:val="auto"/>
              </w:rPr>
              <w:t>Article II FORMS OF SECURITIES</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2.01  Terms of the Securities</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160"/>
              <w:spacing w:after="0"/>
              <w:rPr>
                <w:sz w:val="20"/>
                <w:szCs w:val="20"/>
                <w:color w:val="auto"/>
              </w:rPr>
            </w:pPr>
            <w:r>
              <w:rPr>
                <w:rFonts w:ascii="Arial" w:cs="Arial" w:eastAsia="Arial" w:hAnsi="Arial"/>
                <w:sz w:val="16"/>
                <w:szCs w:val="16"/>
                <w:color w:val="auto"/>
              </w:rPr>
              <w:t>Section 2.02  Form of Trustee’s Certificate of Authentication</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20" w:type="dxa"/>
            <w:vAlign w:val="bottom"/>
            <w:gridSpan w:val="2"/>
            <w:shd w:val="clear" w:color="auto" w:fill="CCEEFF"/>
          </w:tcPr>
          <w:p>
            <w:pPr>
              <w:spacing w:after="0"/>
              <w:rPr>
                <w:sz w:val="17"/>
                <w:szCs w:val="17"/>
                <w:color w:val="auto"/>
              </w:rPr>
            </w:pPr>
          </w:p>
        </w:tc>
        <w:tc>
          <w:tcPr>
            <w:tcW w:w="6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gridSpan w:val="2"/>
          </w:tcPr>
          <w:p>
            <w:pPr>
              <w:spacing w:after="0"/>
              <w:rPr>
                <w:sz w:val="20"/>
                <w:szCs w:val="20"/>
                <w:color w:val="auto"/>
              </w:rPr>
            </w:pPr>
            <w:r>
              <w:rPr>
                <w:rFonts w:ascii="Arial" w:cs="Arial" w:eastAsia="Arial" w:hAnsi="Arial"/>
                <w:sz w:val="16"/>
                <w:szCs w:val="16"/>
                <w:color w:val="auto"/>
              </w:rPr>
              <w:t>Article III THE DEBT SECURITIES</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3.01  Amount Unlimited; Issuable in Series</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w w:val="96"/>
              </w:rPr>
              <w:t>Section 3.02</w:t>
            </w:r>
          </w:p>
        </w:tc>
        <w:tc>
          <w:tcPr>
            <w:tcW w:w="3780" w:type="dxa"/>
            <w:vAlign w:val="bottom"/>
          </w:tcPr>
          <w:p>
            <w:pPr>
              <w:ind w:left="80"/>
              <w:spacing w:after="0"/>
              <w:rPr>
                <w:sz w:val="20"/>
                <w:szCs w:val="20"/>
                <w:color w:val="auto"/>
              </w:rPr>
            </w:pPr>
            <w:r>
              <w:rPr>
                <w:rFonts w:ascii="Arial" w:cs="Arial" w:eastAsia="Arial" w:hAnsi="Arial"/>
                <w:sz w:val="16"/>
                <w:szCs w:val="16"/>
                <w:color w:val="auto"/>
              </w:rPr>
              <w:t>Denominations</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3.03  Execution, Authentication, Delivery and Dating</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w w:val="96"/>
              </w:rPr>
              <w:t>Section 3.04</w:t>
            </w:r>
          </w:p>
        </w:tc>
        <w:tc>
          <w:tcPr>
            <w:tcW w:w="3780" w:type="dxa"/>
            <w:vAlign w:val="bottom"/>
          </w:tcPr>
          <w:p>
            <w:pPr>
              <w:ind w:left="80"/>
              <w:spacing w:after="0"/>
              <w:rPr>
                <w:sz w:val="20"/>
                <w:szCs w:val="20"/>
                <w:color w:val="auto"/>
              </w:rPr>
            </w:pPr>
            <w:r>
              <w:rPr>
                <w:rFonts w:ascii="Arial" w:cs="Arial" w:eastAsia="Arial" w:hAnsi="Arial"/>
                <w:sz w:val="16"/>
                <w:szCs w:val="16"/>
                <w:color w:val="auto"/>
              </w:rPr>
              <w:t>Temporary Securities</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3.05  Registrar and Paying Agent</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160"/>
              <w:spacing w:after="0"/>
              <w:rPr>
                <w:sz w:val="20"/>
                <w:szCs w:val="20"/>
                <w:color w:val="auto"/>
              </w:rPr>
            </w:pPr>
            <w:r>
              <w:rPr>
                <w:rFonts w:ascii="Arial" w:cs="Arial" w:eastAsia="Arial" w:hAnsi="Arial"/>
                <w:sz w:val="16"/>
                <w:szCs w:val="16"/>
                <w:color w:val="auto"/>
              </w:rPr>
              <w:t>Section 3.06  Transfer and Exchange</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3.07  Mutilated, Destroyed, Lost and Stolen Securities</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160"/>
              <w:spacing w:after="0"/>
              <w:rPr>
                <w:sz w:val="20"/>
                <w:szCs w:val="20"/>
                <w:color w:val="auto"/>
              </w:rPr>
            </w:pPr>
            <w:r>
              <w:rPr>
                <w:rFonts w:ascii="Arial" w:cs="Arial" w:eastAsia="Arial" w:hAnsi="Arial"/>
                <w:sz w:val="16"/>
                <w:szCs w:val="16"/>
                <w:color w:val="auto"/>
              </w:rPr>
              <w:t>Section 3.08  Payment of Interest; Interest Rights Preserved</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Section 3.09</w:t>
            </w:r>
          </w:p>
        </w:tc>
        <w:tc>
          <w:tcPr>
            <w:tcW w:w="3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Cancellation</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160"/>
              <w:spacing w:after="0"/>
              <w:rPr>
                <w:sz w:val="20"/>
                <w:szCs w:val="20"/>
                <w:color w:val="auto"/>
              </w:rPr>
            </w:pPr>
            <w:r>
              <w:rPr>
                <w:rFonts w:ascii="Arial" w:cs="Arial" w:eastAsia="Arial" w:hAnsi="Arial"/>
                <w:sz w:val="16"/>
                <w:szCs w:val="16"/>
                <w:color w:val="auto"/>
              </w:rPr>
              <w:t>Section 3.10  Computation of Interest</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3.11  Currency of Payments in Respect of Securities</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w w:val="96"/>
              </w:rPr>
              <w:t>Section 3.12</w:t>
            </w:r>
          </w:p>
        </w:tc>
        <w:tc>
          <w:tcPr>
            <w:tcW w:w="3780" w:type="dxa"/>
            <w:vAlign w:val="bottom"/>
          </w:tcPr>
          <w:p>
            <w:pPr>
              <w:ind w:left="80"/>
              <w:spacing w:after="0"/>
              <w:rPr>
                <w:sz w:val="20"/>
                <w:szCs w:val="20"/>
                <w:color w:val="auto"/>
              </w:rPr>
            </w:pPr>
            <w:r>
              <w:rPr>
                <w:rFonts w:ascii="Arial" w:cs="Arial" w:eastAsia="Arial" w:hAnsi="Arial"/>
                <w:sz w:val="16"/>
                <w:szCs w:val="16"/>
                <w:color w:val="auto"/>
              </w:rPr>
              <w:t>Judgments</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Section 3.13</w:t>
            </w:r>
          </w:p>
        </w:tc>
        <w:tc>
          <w:tcPr>
            <w:tcW w:w="3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CUSIP Numbers</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20" w:type="dxa"/>
            <w:vAlign w:val="bottom"/>
            <w:gridSpan w:val="2"/>
          </w:tcPr>
          <w:p>
            <w:pPr>
              <w:spacing w:after="0"/>
              <w:rPr>
                <w:sz w:val="17"/>
                <w:szCs w:val="17"/>
                <w:color w:val="auto"/>
              </w:rPr>
            </w:pPr>
          </w:p>
        </w:tc>
        <w:tc>
          <w:tcPr>
            <w:tcW w:w="6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IV REDEMPTION OF SECURITIES</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160"/>
              <w:spacing w:after="0"/>
              <w:rPr>
                <w:sz w:val="20"/>
                <w:szCs w:val="20"/>
                <w:color w:val="auto"/>
              </w:rPr>
            </w:pPr>
            <w:r>
              <w:rPr>
                <w:rFonts w:ascii="Arial" w:cs="Arial" w:eastAsia="Arial" w:hAnsi="Arial"/>
                <w:sz w:val="16"/>
                <w:szCs w:val="16"/>
                <w:color w:val="auto"/>
              </w:rPr>
              <w:t>Section 4.01  Applicability of Right of Redemption</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4.02  Selection of Securities to be Redeemed</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160"/>
              <w:spacing w:after="0"/>
              <w:rPr>
                <w:sz w:val="20"/>
                <w:szCs w:val="20"/>
                <w:color w:val="auto"/>
              </w:rPr>
            </w:pPr>
            <w:r>
              <w:rPr>
                <w:rFonts w:ascii="Arial" w:cs="Arial" w:eastAsia="Arial" w:hAnsi="Arial"/>
                <w:sz w:val="16"/>
                <w:szCs w:val="16"/>
                <w:color w:val="auto"/>
              </w:rPr>
              <w:t>Section 4.03  Notice of Redemption</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4.04  Deposit of Redemption Price</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160"/>
              <w:spacing w:after="0"/>
              <w:rPr>
                <w:sz w:val="20"/>
                <w:szCs w:val="20"/>
                <w:color w:val="auto"/>
              </w:rPr>
            </w:pPr>
            <w:r>
              <w:rPr>
                <w:rFonts w:ascii="Arial" w:cs="Arial" w:eastAsia="Arial" w:hAnsi="Arial"/>
                <w:sz w:val="16"/>
                <w:szCs w:val="16"/>
                <w:color w:val="auto"/>
              </w:rPr>
              <w:t>Section 4.05  Securities Payable on Redemption Date</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4.06  Securities Redeemed in Part</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20" w:type="dxa"/>
            <w:vAlign w:val="bottom"/>
            <w:gridSpan w:val="2"/>
          </w:tcPr>
          <w:p>
            <w:pPr>
              <w:spacing w:after="0"/>
              <w:rPr>
                <w:sz w:val="17"/>
                <w:szCs w:val="17"/>
                <w:color w:val="auto"/>
              </w:rPr>
            </w:pPr>
          </w:p>
        </w:tc>
        <w:tc>
          <w:tcPr>
            <w:tcW w:w="6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 SINKING FUNDS</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160"/>
              <w:spacing w:after="0"/>
              <w:rPr>
                <w:sz w:val="20"/>
                <w:szCs w:val="20"/>
                <w:color w:val="auto"/>
              </w:rPr>
            </w:pPr>
            <w:r>
              <w:rPr>
                <w:rFonts w:ascii="Arial" w:cs="Arial" w:eastAsia="Arial" w:hAnsi="Arial"/>
                <w:sz w:val="16"/>
                <w:szCs w:val="16"/>
                <w:color w:val="auto"/>
              </w:rPr>
              <w:t>Section 5.01  Applicability of Sinking Fund</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5.02  Mandatory Sinking Fund Obligation</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160"/>
              <w:spacing w:after="0"/>
              <w:rPr>
                <w:sz w:val="20"/>
                <w:szCs w:val="20"/>
                <w:color w:val="auto"/>
              </w:rPr>
            </w:pPr>
            <w:r>
              <w:rPr>
                <w:rFonts w:ascii="Arial" w:cs="Arial" w:eastAsia="Arial" w:hAnsi="Arial"/>
                <w:sz w:val="16"/>
                <w:szCs w:val="16"/>
                <w:color w:val="auto"/>
                <w:w w:val="93"/>
              </w:rPr>
              <w:t>Section 5.03  Optional Redemption at Sinking Fund Redemption Price</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5.04  Application of Sinking Fund Payment</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20" w:type="dxa"/>
            <w:vAlign w:val="bottom"/>
            <w:gridSpan w:val="2"/>
          </w:tcPr>
          <w:p>
            <w:pPr>
              <w:spacing w:after="0"/>
              <w:rPr>
                <w:sz w:val="17"/>
                <w:szCs w:val="17"/>
                <w:color w:val="auto"/>
              </w:rPr>
            </w:pPr>
          </w:p>
        </w:tc>
        <w:tc>
          <w:tcPr>
            <w:tcW w:w="6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VI PARTICULAR COVENANTS OF THE COMPANY</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160"/>
              <w:spacing w:after="0"/>
              <w:rPr>
                <w:sz w:val="20"/>
                <w:szCs w:val="20"/>
                <w:color w:val="auto"/>
              </w:rPr>
            </w:pPr>
            <w:r>
              <w:rPr>
                <w:rFonts w:ascii="Arial" w:cs="Arial" w:eastAsia="Arial" w:hAnsi="Arial"/>
                <w:sz w:val="16"/>
                <w:szCs w:val="16"/>
                <w:color w:val="auto"/>
              </w:rPr>
              <w:t>Section 6.01  Payments of Securities</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Section 6.02</w:t>
            </w:r>
          </w:p>
        </w:tc>
        <w:tc>
          <w:tcPr>
            <w:tcW w:w="3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Paying Agent</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160"/>
              <w:spacing w:after="0"/>
              <w:rPr>
                <w:sz w:val="20"/>
                <w:szCs w:val="20"/>
                <w:color w:val="auto"/>
              </w:rPr>
            </w:pPr>
            <w:r>
              <w:rPr>
                <w:rFonts w:ascii="Arial" w:cs="Arial" w:eastAsia="Arial" w:hAnsi="Arial"/>
                <w:sz w:val="16"/>
                <w:szCs w:val="16"/>
                <w:color w:val="auto"/>
              </w:rPr>
              <w:t>Section 6.03  To Hold Payment in Trust</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6.04  Merger, Consolidation and Sale of Assets</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6"/>
                <w:szCs w:val="16"/>
                <w:color w:val="auto"/>
                <w:w w:val="96"/>
              </w:rPr>
              <w:t>Section 6.05</w:t>
            </w:r>
          </w:p>
        </w:tc>
        <w:tc>
          <w:tcPr>
            <w:tcW w:w="3780" w:type="dxa"/>
            <w:vAlign w:val="bottom"/>
          </w:tcPr>
          <w:p>
            <w:pPr>
              <w:ind w:left="80"/>
              <w:spacing w:after="0"/>
              <w:rPr>
                <w:sz w:val="20"/>
                <w:szCs w:val="20"/>
                <w:color w:val="auto"/>
              </w:rPr>
            </w:pPr>
            <w:r>
              <w:rPr>
                <w:rFonts w:ascii="Arial" w:cs="Arial" w:eastAsia="Arial" w:hAnsi="Arial"/>
                <w:sz w:val="16"/>
                <w:szCs w:val="16"/>
                <w:color w:val="auto"/>
              </w:rPr>
              <w:t>Compliance Certificate</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6.06  Conditional Waiver by Holders of Securities</w:t>
            </w:r>
          </w:p>
        </w:tc>
        <w:tc>
          <w:tcPr>
            <w:tcW w:w="6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20" w:type="dxa"/>
            <w:vAlign w:val="bottom"/>
            <w:gridSpan w:val="2"/>
          </w:tcPr>
          <w:p>
            <w:pPr>
              <w:ind w:left="160"/>
              <w:spacing w:after="0"/>
              <w:rPr>
                <w:sz w:val="20"/>
                <w:szCs w:val="20"/>
                <w:color w:val="auto"/>
              </w:rPr>
            </w:pPr>
            <w:r>
              <w:rPr>
                <w:rFonts w:ascii="Arial" w:cs="Arial" w:eastAsia="Arial" w:hAnsi="Arial"/>
                <w:sz w:val="16"/>
                <w:szCs w:val="16"/>
                <w:color w:val="auto"/>
              </w:rPr>
              <w:t>Section 6.07  Statement by Officers as to Default</w:t>
            </w:r>
          </w:p>
        </w:tc>
        <w:tc>
          <w:tcPr>
            <w:tcW w:w="658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VII REMEDIES OF TRUSTEE AND SECURITYHOLDERS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7.01  Events of Default</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7.02  Acceleration;Rescission and Annulment</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Arial" w:cs="Arial" w:eastAsia="Arial" w:hAnsi="Arial"/>
                <w:sz w:val="16"/>
                <w:szCs w:val="16"/>
                <w:color w:val="auto"/>
              </w:rPr>
              <w:t>Section 7.03</w:t>
            </w:r>
          </w:p>
        </w:tc>
        <w:tc>
          <w:tcPr>
            <w:tcW w:w="7820" w:type="dxa"/>
            <w:vAlign w:val="bottom"/>
          </w:tcPr>
          <w:p>
            <w:pPr>
              <w:ind w:left="40"/>
              <w:spacing w:after="0"/>
              <w:rPr>
                <w:sz w:val="20"/>
                <w:szCs w:val="20"/>
                <w:color w:val="auto"/>
              </w:rPr>
            </w:pPr>
            <w:r>
              <w:rPr>
                <w:rFonts w:ascii="Arial" w:cs="Arial" w:eastAsia="Arial" w:hAnsi="Arial"/>
                <w:sz w:val="16"/>
                <w:szCs w:val="16"/>
                <w:color w:val="auto"/>
              </w:rPr>
              <w:t>Other Remedies</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7.04  Trustee as Attorney-in-Fact</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Arial" w:cs="Arial" w:eastAsia="Arial" w:hAnsi="Arial"/>
                <w:sz w:val="16"/>
                <w:szCs w:val="16"/>
                <w:color w:val="auto"/>
              </w:rPr>
              <w:t>Section 7.05</w:t>
            </w:r>
          </w:p>
        </w:tc>
        <w:tc>
          <w:tcPr>
            <w:tcW w:w="7820" w:type="dxa"/>
            <w:vAlign w:val="bottom"/>
          </w:tcPr>
          <w:p>
            <w:pPr>
              <w:ind w:left="40"/>
              <w:spacing w:after="0"/>
              <w:rPr>
                <w:sz w:val="20"/>
                <w:szCs w:val="20"/>
                <w:color w:val="auto"/>
              </w:rPr>
            </w:pPr>
            <w:r>
              <w:rPr>
                <w:rFonts w:ascii="Arial" w:cs="Arial" w:eastAsia="Arial" w:hAnsi="Arial"/>
                <w:sz w:val="16"/>
                <w:szCs w:val="16"/>
                <w:color w:val="auto"/>
              </w:rPr>
              <w:t>Priorities</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7.06  Control by Securityholders; Waiver of Past Defaults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7.07  Limitation on Suits</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7.08  Undertaking for Costs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Arial" w:cs="Arial" w:eastAsia="Arial" w:hAnsi="Arial"/>
                <w:sz w:val="16"/>
                <w:szCs w:val="16"/>
                <w:color w:val="auto"/>
              </w:rPr>
              <w:t>Section 7.09</w:t>
            </w:r>
          </w:p>
        </w:tc>
        <w:tc>
          <w:tcPr>
            <w:tcW w:w="7820" w:type="dxa"/>
            <w:vAlign w:val="bottom"/>
          </w:tcPr>
          <w:p>
            <w:pPr>
              <w:ind w:left="40"/>
              <w:spacing w:after="0"/>
              <w:rPr>
                <w:sz w:val="20"/>
                <w:szCs w:val="20"/>
                <w:color w:val="auto"/>
              </w:rPr>
            </w:pPr>
            <w:r>
              <w:rPr>
                <w:rFonts w:ascii="Arial" w:cs="Arial" w:eastAsia="Arial" w:hAnsi="Arial"/>
                <w:sz w:val="16"/>
                <w:szCs w:val="16"/>
                <w:color w:val="auto"/>
              </w:rPr>
              <w:t>Remedies Cumulative</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900" w:type="dxa"/>
            <w:vAlign w:val="bottom"/>
            <w:gridSpan w:val="2"/>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00" w:type="dxa"/>
            <w:vAlign w:val="bottom"/>
            <w:gridSpan w:val="2"/>
          </w:tcPr>
          <w:p>
            <w:pPr>
              <w:spacing w:after="0"/>
              <w:rPr>
                <w:sz w:val="20"/>
                <w:szCs w:val="20"/>
                <w:color w:val="auto"/>
              </w:rPr>
            </w:pPr>
            <w:r>
              <w:rPr>
                <w:rFonts w:ascii="Arial" w:cs="Arial" w:eastAsia="Arial" w:hAnsi="Arial"/>
                <w:sz w:val="16"/>
                <w:szCs w:val="16"/>
                <w:color w:val="auto"/>
              </w:rPr>
              <w:t>Article VIII CONCERNING THE SECURITYHOLDERS</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8.01  Evidence of Action of Securityholders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8.02  Proof of Execution or Holding of Securities</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8.03  Persons Deemed Owners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8.04  Effect of Consents</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900" w:type="dxa"/>
            <w:vAlign w:val="bottom"/>
            <w:gridSpan w:val="2"/>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00" w:type="dxa"/>
            <w:vAlign w:val="bottom"/>
            <w:gridSpan w:val="2"/>
          </w:tcPr>
          <w:p>
            <w:pPr>
              <w:spacing w:after="0"/>
              <w:rPr>
                <w:sz w:val="20"/>
                <w:szCs w:val="20"/>
                <w:color w:val="auto"/>
              </w:rPr>
            </w:pPr>
            <w:r>
              <w:rPr>
                <w:rFonts w:ascii="Arial" w:cs="Arial" w:eastAsia="Arial" w:hAnsi="Arial"/>
                <w:sz w:val="16"/>
                <w:szCs w:val="16"/>
                <w:color w:val="auto"/>
              </w:rPr>
              <w:t>Article IX SECURITYHOLDERS’ MEETINGS</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9.01  Purposes of Meetings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9.02  Call of Meetings by Trustee</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9.03  Call of Meetings by Company or Securityholders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9.04  Qualifications for Voting</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9.05  Regulation of Meetings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Arial" w:cs="Arial" w:eastAsia="Arial" w:hAnsi="Arial"/>
                <w:sz w:val="16"/>
                <w:szCs w:val="16"/>
                <w:color w:val="auto"/>
              </w:rPr>
              <w:t>Section 9.06</w:t>
            </w:r>
          </w:p>
        </w:tc>
        <w:tc>
          <w:tcPr>
            <w:tcW w:w="7820" w:type="dxa"/>
            <w:vAlign w:val="bottom"/>
          </w:tcPr>
          <w:p>
            <w:pPr>
              <w:ind w:left="40"/>
              <w:spacing w:after="0"/>
              <w:rPr>
                <w:sz w:val="20"/>
                <w:szCs w:val="20"/>
                <w:color w:val="auto"/>
              </w:rPr>
            </w:pPr>
            <w:r>
              <w:rPr>
                <w:rFonts w:ascii="Arial" w:cs="Arial" w:eastAsia="Arial" w:hAnsi="Arial"/>
                <w:sz w:val="16"/>
                <w:szCs w:val="16"/>
                <w:color w:val="auto"/>
              </w:rPr>
              <w:t>Voting</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9.07  No Delay of Rights by Meeting</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900" w:type="dxa"/>
            <w:vAlign w:val="bottom"/>
            <w:gridSpan w:val="2"/>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X REPORTS BY THE COMPANY AND THE TRUSTEE AND SECURITYHOLDERS’ LISTS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10.01  Reports by Trustee</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10.02  Reports by the Company</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Arial" w:cs="Arial" w:eastAsia="Arial" w:hAnsi="Arial"/>
                <w:sz w:val="16"/>
                <w:szCs w:val="16"/>
                <w:color w:val="auto"/>
                <w:w w:val="91"/>
              </w:rPr>
              <w:t>Section 10.03</w:t>
            </w:r>
          </w:p>
        </w:tc>
        <w:tc>
          <w:tcPr>
            <w:tcW w:w="7820" w:type="dxa"/>
            <w:vAlign w:val="bottom"/>
          </w:tcPr>
          <w:p>
            <w:pPr>
              <w:ind w:left="120"/>
              <w:spacing w:after="0"/>
              <w:rPr>
                <w:sz w:val="20"/>
                <w:szCs w:val="20"/>
                <w:color w:val="auto"/>
              </w:rPr>
            </w:pPr>
            <w:r>
              <w:rPr>
                <w:rFonts w:ascii="Arial" w:cs="Arial" w:eastAsia="Arial" w:hAnsi="Arial"/>
                <w:sz w:val="16"/>
                <w:szCs w:val="16"/>
                <w:color w:val="auto"/>
              </w:rPr>
              <w:t>Securityholders’ Lists</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900" w:type="dxa"/>
            <w:vAlign w:val="bottom"/>
            <w:gridSpan w:val="2"/>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00" w:type="dxa"/>
            <w:vAlign w:val="bottom"/>
            <w:gridSpan w:val="2"/>
          </w:tcPr>
          <w:p>
            <w:pPr>
              <w:spacing w:after="0"/>
              <w:rPr>
                <w:sz w:val="20"/>
                <w:szCs w:val="20"/>
                <w:color w:val="auto"/>
              </w:rPr>
            </w:pPr>
            <w:r>
              <w:rPr>
                <w:rFonts w:ascii="Arial" w:cs="Arial" w:eastAsia="Arial" w:hAnsi="Arial"/>
                <w:sz w:val="16"/>
                <w:szCs w:val="16"/>
                <w:color w:val="auto"/>
              </w:rPr>
              <w:t>Article XI CONCERNING THE TRUSTEE</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11.01  Rights of Trustees; Compensation and Indemnity</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11.02  Duties of Trustee</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11.03  Notice of Defaults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tcPr>
          <w:p>
            <w:pPr>
              <w:ind w:left="160"/>
              <w:spacing w:after="0"/>
              <w:rPr>
                <w:sz w:val="20"/>
                <w:szCs w:val="20"/>
                <w:color w:val="auto"/>
              </w:rPr>
            </w:pPr>
            <w:r>
              <w:rPr>
                <w:rFonts w:ascii="Arial" w:cs="Arial" w:eastAsia="Arial" w:hAnsi="Arial"/>
                <w:sz w:val="16"/>
                <w:szCs w:val="16"/>
                <w:color w:val="auto"/>
                <w:w w:val="91"/>
              </w:rPr>
              <w:t>Section 11.04</w:t>
            </w:r>
          </w:p>
        </w:tc>
        <w:tc>
          <w:tcPr>
            <w:tcW w:w="7820" w:type="dxa"/>
            <w:vAlign w:val="bottom"/>
          </w:tcPr>
          <w:p>
            <w:pPr>
              <w:ind w:left="120"/>
              <w:spacing w:after="0"/>
              <w:rPr>
                <w:sz w:val="20"/>
                <w:szCs w:val="20"/>
                <w:color w:val="auto"/>
              </w:rPr>
            </w:pPr>
            <w:r>
              <w:rPr>
                <w:rFonts w:ascii="Arial" w:cs="Arial" w:eastAsia="Arial" w:hAnsi="Arial"/>
                <w:sz w:val="16"/>
                <w:szCs w:val="16"/>
                <w:color w:val="auto"/>
              </w:rPr>
              <w:t>Eligibility; Disqualification</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11.05  Registration and Notice; Removal</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11.06  Successor Trustee by Appointment</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11.07  Successor Trustee by Merger, Conversion, Consolidation or Succession to Business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11.08  Right to Rely on Officer’s Certificate</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11.09  Appointment of Authenticating Agent</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11.10  Communications by Securityholders with Other Securityholders</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900" w:type="dxa"/>
            <w:vAlign w:val="bottom"/>
            <w:gridSpan w:val="2"/>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00" w:type="dxa"/>
            <w:vAlign w:val="bottom"/>
            <w:gridSpan w:val="2"/>
          </w:tcPr>
          <w:p>
            <w:pPr>
              <w:spacing w:after="0"/>
              <w:rPr>
                <w:sz w:val="20"/>
                <w:szCs w:val="20"/>
                <w:color w:val="auto"/>
              </w:rPr>
            </w:pPr>
            <w:r>
              <w:rPr>
                <w:rFonts w:ascii="Arial" w:cs="Arial" w:eastAsia="Arial" w:hAnsi="Arial"/>
                <w:sz w:val="16"/>
                <w:szCs w:val="16"/>
                <w:color w:val="auto"/>
              </w:rPr>
              <w:t>Article XII SATISFACTION AND DISCHARGE; DEFEASANCE</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12.01  Applicability of Article</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12.02  Satisfaction and Discharge of Indenture</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12.03  Defeasance upon Deposit of Moneys or U.S. Government Obligations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12.04  Repayment to Company</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12.05  Indemnity for U.S. Government Obligations</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12.06  Deposits to Be Held in Escrow</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12.07  Application of Trust Money</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tcPr>
          <w:p>
            <w:pPr>
              <w:ind w:left="160"/>
              <w:spacing w:after="0"/>
              <w:rPr>
                <w:sz w:val="20"/>
                <w:szCs w:val="20"/>
                <w:color w:val="auto"/>
              </w:rPr>
            </w:pPr>
            <w:r>
              <w:rPr>
                <w:rFonts w:ascii="Arial" w:cs="Arial" w:eastAsia="Arial" w:hAnsi="Arial"/>
                <w:sz w:val="16"/>
                <w:szCs w:val="16"/>
                <w:color w:val="auto"/>
              </w:rPr>
              <w:t>Section 12.08  Deposits of Non-U.S. Currencies</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900" w:type="dxa"/>
            <w:vAlign w:val="bottom"/>
            <w:gridSpan w:val="2"/>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00" w:type="dxa"/>
            <w:vAlign w:val="bottom"/>
            <w:gridSpan w:val="2"/>
          </w:tcPr>
          <w:p>
            <w:pPr>
              <w:spacing w:after="0"/>
              <w:rPr>
                <w:sz w:val="20"/>
                <w:szCs w:val="20"/>
                <w:color w:val="auto"/>
              </w:rPr>
            </w:pPr>
            <w:r>
              <w:rPr>
                <w:rFonts w:ascii="Arial" w:cs="Arial" w:eastAsia="Arial" w:hAnsi="Arial"/>
                <w:sz w:val="16"/>
                <w:szCs w:val="16"/>
                <w:color w:val="auto"/>
              </w:rPr>
              <w:t>Article XIII IMMUNITY OF CERTAIN PERSONS</w:t>
            </w:r>
          </w:p>
        </w:tc>
        <w:tc>
          <w:tcPr>
            <w:tcW w:w="250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13.01  No Personal Liability</w:t>
            </w:r>
          </w:p>
        </w:tc>
        <w:tc>
          <w:tcPr>
            <w:tcW w:w="2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XIV SUPPLEMENTAL INDENTURES</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tcPr>
          <w:p>
            <w:pPr>
              <w:ind w:left="160"/>
              <w:spacing w:after="0"/>
              <w:rPr>
                <w:sz w:val="20"/>
                <w:szCs w:val="20"/>
                <w:color w:val="auto"/>
              </w:rPr>
            </w:pPr>
            <w:r>
              <w:rPr>
                <w:rFonts w:ascii="Arial" w:cs="Arial" w:eastAsia="Arial" w:hAnsi="Arial"/>
                <w:sz w:val="16"/>
                <w:szCs w:val="16"/>
                <w:color w:val="auto"/>
              </w:rPr>
              <w:t>Section 14.01  Without Consent of Securityholders</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14.02  With Consent of Securityholders; Limitations</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ind w:left="160"/>
              <w:spacing w:after="0"/>
              <w:rPr>
                <w:sz w:val="20"/>
                <w:szCs w:val="20"/>
                <w:color w:val="auto"/>
              </w:rPr>
            </w:pPr>
            <w:r>
              <w:rPr>
                <w:rFonts w:ascii="Arial" w:cs="Arial" w:eastAsia="Arial" w:hAnsi="Arial"/>
                <w:sz w:val="16"/>
                <w:szCs w:val="16"/>
                <w:color w:val="auto"/>
                <w:w w:val="96"/>
              </w:rPr>
              <w:t>Section 14.03</w:t>
            </w:r>
          </w:p>
        </w:tc>
        <w:tc>
          <w:tcPr>
            <w:tcW w:w="7820" w:type="dxa"/>
            <w:vAlign w:val="bottom"/>
          </w:tcPr>
          <w:p>
            <w:pPr>
              <w:ind w:left="80"/>
              <w:spacing w:after="0"/>
              <w:rPr>
                <w:sz w:val="20"/>
                <w:szCs w:val="20"/>
                <w:color w:val="auto"/>
              </w:rPr>
            </w:pPr>
            <w:r>
              <w:rPr>
                <w:rFonts w:ascii="Arial" w:cs="Arial" w:eastAsia="Arial" w:hAnsi="Arial"/>
                <w:sz w:val="16"/>
                <w:szCs w:val="16"/>
                <w:color w:val="auto"/>
              </w:rPr>
              <w:t>Trustee Protected</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14.04  Effect of Execution of Supplemental Indenture</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tcPr>
          <w:p>
            <w:pPr>
              <w:ind w:left="160"/>
              <w:spacing w:after="0"/>
              <w:rPr>
                <w:sz w:val="20"/>
                <w:szCs w:val="20"/>
                <w:color w:val="auto"/>
              </w:rPr>
            </w:pPr>
            <w:r>
              <w:rPr>
                <w:rFonts w:ascii="Arial" w:cs="Arial" w:eastAsia="Arial" w:hAnsi="Arial"/>
                <w:sz w:val="16"/>
                <w:szCs w:val="16"/>
                <w:color w:val="auto"/>
              </w:rPr>
              <w:t>Section 14.05  Notation on or Exchange of Securities</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14.06  Conformity with TIA</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940" w:type="dxa"/>
            <w:vAlign w:val="bottom"/>
            <w:gridSpan w:val="2"/>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XV SUBORDINATION OF SECURITIES</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tcPr>
          <w:p>
            <w:pPr>
              <w:ind w:left="160"/>
              <w:spacing w:after="0"/>
              <w:rPr>
                <w:sz w:val="20"/>
                <w:szCs w:val="20"/>
                <w:color w:val="auto"/>
              </w:rPr>
            </w:pPr>
            <w:r>
              <w:rPr>
                <w:rFonts w:ascii="Arial" w:cs="Arial" w:eastAsia="Arial" w:hAnsi="Arial"/>
                <w:sz w:val="16"/>
                <w:szCs w:val="16"/>
                <w:color w:val="auto"/>
              </w:rPr>
              <w:t>Section 15.01  Agreement to Subordinate</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15.02  Distribution on Dissolution, Liquidation and Reorganization; Subrogation of Securities</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tcPr>
          <w:p>
            <w:pPr>
              <w:ind w:left="160"/>
              <w:spacing w:after="0"/>
              <w:rPr>
                <w:sz w:val="20"/>
                <w:szCs w:val="20"/>
                <w:color w:val="auto"/>
              </w:rPr>
            </w:pPr>
            <w:r>
              <w:rPr>
                <w:rFonts w:ascii="Arial" w:cs="Arial" w:eastAsia="Arial" w:hAnsi="Arial"/>
                <w:sz w:val="16"/>
                <w:szCs w:val="16"/>
                <w:color w:val="auto"/>
              </w:rPr>
              <w:t>Section 15.03  No Payment on Securities in Event of Default on Senior Indebtedness</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15.04  Payments on Securities Permitted</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tcPr>
          <w:p>
            <w:pPr>
              <w:ind w:left="160"/>
              <w:spacing w:after="0"/>
              <w:rPr>
                <w:sz w:val="20"/>
                <w:szCs w:val="20"/>
                <w:color w:val="auto"/>
              </w:rPr>
            </w:pPr>
            <w:r>
              <w:rPr>
                <w:rFonts w:ascii="Arial" w:cs="Arial" w:eastAsia="Arial" w:hAnsi="Arial"/>
                <w:sz w:val="16"/>
                <w:szCs w:val="16"/>
                <w:color w:val="auto"/>
              </w:rPr>
              <w:t>Section 15.05  Authorization of Securityholders to Trustee to Effect Subordination</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15.06  Notices to Trustee</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tcPr>
          <w:p>
            <w:pPr>
              <w:ind w:left="160"/>
              <w:spacing w:after="0"/>
              <w:rPr>
                <w:sz w:val="20"/>
                <w:szCs w:val="20"/>
                <w:color w:val="auto"/>
              </w:rPr>
            </w:pPr>
            <w:r>
              <w:rPr>
                <w:rFonts w:ascii="Arial" w:cs="Arial" w:eastAsia="Arial" w:hAnsi="Arial"/>
                <w:sz w:val="16"/>
                <w:szCs w:val="16"/>
                <w:color w:val="auto"/>
              </w:rPr>
              <w:t>Section 15.07  Trustee as Holder of Senior Indebtedness</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15.08  Modifications of Terms of Senior Indebtedness</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tcPr>
          <w:p>
            <w:pPr>
              <w:ind w:left="160"/>
              <w:spacing w:after="0"/>
              <w:rPr>
                <w:sz w:val="20"/>
                <w:szCs w:val="20"/>
                <w:color w:val="auto"/>
              </w:rPr>
            </w:pPr>
            <w:r>
              <w:rPr>
                <w:rFonts w:ascii="Arial" w:cs="Arial" w:eastAsia="Arial" w:hAnsi="Arial"/>
                <w:sz w:val="16"/>
                <w:szCs w:val="16"/>
                <w:color w:val="auto"/>
              </w:rPr>
              <w:t>Section 15.09  Reliance on Judicial Order or Certificate of Liquidating Agent</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15.10  Satisfaction and Discharge; Defeasance and Covenant Defeasance</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tcPr>
          <w:p>
            <w:pPr>
              <w:ind w:left="160"/>
              <w:spacing w:after="0"/>
              <w:rPr>
                <w:sz w:val="20"/>
                <w:szCs w:val="20"/>
                <w:color w:val="auto"/>
              </w:rPr>
            </w:pPr>
            <w:r>
              <w:rPr>
                <w:rFonts w:ascii="Arial" w:cs="Arial" w:eastAsia="Arial" w:hAnsi="Arial"/>
                <w:sz w:val="16"/>
                <w:szCs w:val="16"/>
                <w:color w:val="auto"/>
              </w:rPr>
              <w:t>Section 15.11  Trustee Not Fiduciary for Holders of Senior Indebtedness</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940" w:type="dxa"/>
            <w:vAlign w:val="bottom"/>
            <w:gridSpan w:val="2"/>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40" w:type="dxa"/>
            <w:vAlign w:val="bottom"/>
            <w:gridSpan w:val="2"/>
          </w:tcPr>
          <w:p>
            <w:pPr>
              <w:spacing w:after="0"/>
              <w:rPr>
                <w:sz w:val="20"/>
                <w:szCs w:val="20"/>
                <w:color w:val="auto"/>
              </w:rPr>
            </w:pPr>
            <w:r>
              <w:rPr>
                <w:rFonts w:ascii="Arial" w:cs="Arial" w:eastAsia="Arial" w:hAnsi="Arial"/>
                <w:sz w:val="16"/>
                <w:szCs w:val="16"/>
                <w:color w:val="auto"/>
              </w:rPr>
              <w:t>Article XVI MISCELLANEOUS PROVISIONS</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16.01  Certificates and Opinions as to Conditions Precedent</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tcPr>
          <w:p>
            <w:pPr>
              <w:ind w:left="160"/>
              <w:spacing w:after="0"/>
              <w:rPr>
                <w:sz w:val="20"/>
                <w:szCs w:val="20"/>
                <w:color w:val="auto"/>
              </w:rPr>
            </w:pPr>
            <w:r>
              <w:rPr>
                <w:rFonts w:ascii="Arial" w:cs="Arial" w:eastAsia="Arial" w:hAnsi="Arial"/>
                <w:sz w:val="16"/>
                <w:szCs w:val="16"/>
                <w:color w:val="auto"/>
              </w:rPr>
              <w:t>Section 16.02  Trust Indenture Act Controls</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16.03  Notices to the Company and Trustee</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tcPr>
          <w:p>
            <w:pPr>
              <w:ind w:left="160"/>
              <w:spacing w:after="0"/>
              <w:rPr>
                <w:sz w:val="20"/>
                <w:szCs w:val="20"/>
                <w:color w:val="auto"/>
              </w:rPr>
            </w:pPr>
            <w:r>
              <w:rPr>
                <w:rFonts w:ascii="Arial" w:cs="Arial" w:eastAsia="Arial" w:hAnsi="Arial"/>
                <w:sz w:val="16"/>
                <w:szCs w:val="16"/>
                <w:color w:val="auto"/>
              </w:rPr>
              <w:t>Section 16.04  Notices to Securityholders; Waiver</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Section 16.05</w:t>
            </w:r>
          </w:p>
        </w:tc>
        <w:tc>
          <w:tcPr>
            <w:tcW w:w="7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Legal Holiday</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tcPr>
          <w:p>
            <w:pPr>
              <w:ind w:left="160"/>
              <w:spacing w:after="0"/>
              <w:rPr>
                <w:sz w:val="20"/>
                <w:szCs w:val="20"/>
                <w:color w:val="auto"/>
              </w:rPr>
            </w:pPr>
            <w:r>
              <w:rPr>
                <w:rFonts w:ascii="Arial" w:cs="Arial" w:eastAsia="Arial" w:hAnsi="Arial"/>
                <w:sz w:val="16"/>
                <w:szCs w:val="16"/>
                <w:color w:val="auto"/>
              </w:rPr>
              <w:t>Section 16.06  Effects of Headings and Table of Contents</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16.07  Successors and Assigns</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ind w:left="160"/>
              <w:spacing w:after="0"/>
              <w:rPr>
                <w:sz w:val="20"/>
                <w:szCs w:val="20"/>
                <w:color w:val="auto"/>
              </w:rPr>
            </w:pPr>
            <w:r>
              <w:rPr>
                <w:rFonts w:ascii="Arial" w:cs="Arial" w:eastAsia="Arial" w:hAnsi="Arial"/>
                <w:sz w:val="16"/>
                <w:szCs w:val="16"/>
                <w:color w:val="auto"/>
                <w:w w:val="96"/>
              </w:rPr>
              <w:t>Section 16.08</w:t>
            </w:r>
          </w:p>
        </w:tc>
        <w:tc>
          <w:tcPr>
            <w:tcW w:w="7820" w:type="dxa"/>
            <w:vAlign w:val="bottom"/>
          </w:tcPr>
          <w:p>
            <w:pPr>
              <w:ind w:left="80"/>
              <w:spacing w:after="0"/>
              <w:rPr>
                <w:sz w:val="20"/>
                <w:szCs w:val="20"/>
                <w:color w:val="auto"/>
              </w:rPr>
            </w:pPr>
            <w:r>
              <w:rPr>
                <w:rFonts w:ascii="Arial" w:cs="Arial" w:eastAsia="Arial" w:hAnsi="Arial"/>
                <w:sz w:val="16"/>
                <w:szCs w:val="16"/>
                <w:color w:val="auto"/>
              </w:rPr>
              <w:t>Separability Clause</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16.09  Benefits of Indenture</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ind w:left="160"/>
              <w:spacing w:after="0"/>
              <w:rPr>
                <w:sz w:val="20"/>
                <w:szCs w:val="20"/>
                <w:color w:val="auto"/>
              </w:rPr>
            </w:pPr>
            <w:r>
              <w:rPr>
                <w:rFonts w:ascii="Arial" w:cs="Arial" w:eastAsia="Arial" w:hAnsi="Arial"/>
                <w:sz w:val="16"/>
                <w:szCs w:val="16"/>
                <w:color w:val="auto"/>
                <w:w w:val="96"/>
              </w:rPr>
              <w:t>Section 16.10</w:t>
            </w:r>
          </w:p>
        </w:tc>
        <w:tc>
          <w:tcPr>
            <w:tcW w:w="7820" w:type="dxa"/>
            <w:vAlign w:val="bottom"/>
          </w:tcPr>
          <w:p>
            <w:pPr>
              <w:ind w:left="80"/>
              <w:spacing w:after="0"/>
              <w:rPr>
                <w:sz w:val="20"/>
                <w:szCs w:val="20"/>
                <w:color w:val="auto"/>
              </w:rPr>
            </w:pPr>
            <w:r>
              <w:rPr>
                <w:rFonts w:ascii="Arial" w:cs="Arial" w:eastAsia="Arial" w:hAnsi="Arial"/>
                <w:sz w:val="16"/>
                <w:szCs w:val="16"/>
                <w:color w:val="auto"/>
              </w:rPr>
              <w:t>Counterparts Originals</w:t>
            </w:r>
          </w:p>
        </w:tc>
        <w:tc>
          <w:tcPr>
            <w:tcW w:w="246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Section 16.11  Governing Law; Waiver of Trial by Jury</w:t>
            </w:r>
          </w:p>
        </w:tc>
        <w:tc>
          <w:tcPr>
            <w:tcW w:w="2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5"/>
          <w:szCs w:val="15"/>
          <w:b w:val="1"/>
          <w:bCs w:val="1"/>
          <w:color w:val="auto"/>
        </w:rPr>
        <w:t xml:space="preserve">INDENTURE </w:t>
      </w:r>
      <w:r>
        <w:rPr>
          <w:rFonts w:ascii="Arial" w:cs="Arial" w:eastAsia="Arial" w:hAnsi="Arial"/>
          <w:sz w:val="15"/>
          <w:szCs w:val="15"/>
          <w:color w:val="auto"/>
        </w:rPr>
        <w:t>dated as of _____________, 20__, among TG Therapeutics, Inc., a Delaware corporation (the “Company”), and _____________, as trustee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“Trustee”).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WITNESSETH:</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duly authorized the execution and delivery of this Indenture to provide for the issuance of secured or unsecured debentures, notes,</w:t>
      </w:r>
      <w:r>
        <w:rPr>
          <w:rFonts w:ascii="Arial" w:cs="Arial" w:eastAsia="Arial" w:hAnsi="Arial"/>
          <w:sz w:val="16"/>
          <w:szCs w:val="16"/>
          <w:b w:val="1"/>
          <w:bCs w:val="1"/>
          <w:color w:val="auto"/>
        </w:rPr>
        <w:t xml:space="preserve"> </w:t>
      </w:r>
      <w:r>
        <w:rPr>
          <w:rFonts w:ascii="Arial" w:cs="Arial" w:eastAsia="Arial" w:hAnsi="Arial"/>
          <w:sz w:val="16"/>
          <w:szCs w:val="16"/>
          <w:color w:val="auto"/>
        </w:rPr>
        <w:t>bonds or other evidences of indebtedness (the “Securities”) in an unlimited aggregate principal amount to be issued from time to time in one or more series as provided in this Indenture; and</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all things necessary to make this Indenture a valid and legally binding agreement of the Company, in accordance with its terms, have been done.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NOW, THEREFORE, THIS INDENTURE 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That, in consideration of the premises and the purchase of the Securities by the Holders thereof for the equal and proportionate benefit of all of the present and future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Securities, each party agrees and covenants as follows:</w:t>
      </w:r>
    </w:p>
    <w:p>
      <w:pPr>
        <w:spacing w:after="0" w:line="213"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ARTICLE I</w:t>
      </w:r>
    </w:p>
    <w:p>
      <w:pPr>
        <w:spacing w:after="0" w:line="26"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DEFINITIONS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all purposes of this Indenture, except as otherwise expressly provided or unless the context otherwise requires:</w:t>
      </w:r>
    </w:p>
    <w:p>
      <w:pPr>
        <w:spacing w:after="0" w:line="221"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221" w:lineRule="exact"/>
        <w:rPr>
          <w:rFonts w:ascii="Arial" w:cs="Arial" w:eastAsia="Arial" w:hAnsi="Arial"/>
          <w:sz w:val="16"/>
          <w:szCs w:val="16"/>
          <w:color w:val="auto"/>
        </w:rPr>
      </w:pPr>
    </w:p>
    <w:p>
      <w:pPr>
        <w:ind w:left="1300" w:hanging="644"/>
        <w:spacing w:after="0" w:line="293"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unless otherwise defined in this Indenture or the context otherwise requires, all terms used herein without definition which are defined in the Trust Indenture Act, either directly or by reference therein, have the meanings assigned to them therein; and</w:t>
      </w:r>
    </w:p>
    <w:p>
      <w:pPr>
        <w:spacing w:after="0" w:line="158" w:lineRule="exact"/>
        <w:rPr>
          <w:rFonts w:ascii="Arial" w:cs="Arial" w:eastAsia="Arial" w:hAnsi="Arial"/>
          <w:sz w:val="16"/>
          <w:szCs w:val="16"/>
          <w:color w:val="auto"/>
        </w:rPr>
      </w:pPr>
    </w:p>
    <w:p>
      <w:pPr>
        <w:ind w:left="1300" w:right="20" w:hanging="644"/>
        <w:spacing w:after="0" w:line="293"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words “herein”, “hereof” and “hereunder” and other words of similar import refer to this Indenture as a whole and not to any particular Article, Section or other subdivision;</w:t>
      </w:r>
    </w:p>
    <w:p>
      <w:pPr>
        <w:spacing w:after="0" w:line="158" w:lineRule="exact"/>
        <w:rPr>
          <w:rFonts w:ascii="Arial" w:cs="Arial" w:eastAsia="Arial" w:hAnsi="Arial"/>
          <w:sz w:val="16"/>
          <w:szCs w:val="16"/>
          <w:color w:val="auto"/>
        </w:rPr>
      </w:pPr>
    </w:p>
    <w:p>
      <w:pPr>
        <w:ind w:left="1300" w:hanging="644"/>
        <w:spacing w:after="0" w:line="293"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references to “Article” or “Section” or other subdivision herein are references to an Article, Section or other subdivision of the Indenture, unless the context otherwise requires.</w:t>
      </w:r>
    </w:p>
    <w:p>
      <w:pPr>
        <w:spacing w:after="0" w:line="15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1.01</w:t>
      </w:r>
      <w:r>
        <w:rPr>
          <w:sz w:val="20"/>
          <w:szCs w:val="20"/>
          <w:color w:val="auto"/>
        </w:rPr>
        <w:tab/>
      </w:r>
      <w:r>
        <w:rPr>
          <w:rFonts w:ascii="Arial" w:cs="Arial" w:eastAsia="Arial" w:hAnsi="Arial"/>
          <w:sz w:val="15"/>
          <w:szCs w:val="15"/>
          <w:u w:val="single" w:color="auto"/>
          <w:color w:val="auto"/>
        </w:rPr>
        <w:t>Definitions.</w:t>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Unless the context otherwise requires, the terms defined in this Section 1.01 shall for all purposes of this Indenture have the meanings hereinafter set forth:</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Affiliate</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The term “Affiliate” with respect to any specified Person shall mean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Authenticating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“Authenticating Agent” shall have the meaning assigned to it in Section 11.09.</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term “Board of Directors” shall mean the board of directors of the Company or any committee thereof duly authorized to act on behalf of such board.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Resolution:</w:t>
      </w:r>
    </w:p>
    <w:p>
      <w:pPr>
        <w:spacing w:after="0" w:line="225"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5"/>
          <w:szCs w:val="15"/>
          <w:color w:val="auto"/>
        </w:rPr>
        <w:t>The term “Board Resolution” shall mean a copy of a resolution or resolutions certified by the Secretary or an Assistant Secretary of the Company to have been duly adopted by the Board of Directors (or by a committee of the Board of Directors to the extent that any such other committee has been authorized by the Board of Directors to establish or approve the matters contemplated) and to be in full force and effect on the date of such certification and delivered to the Trustee.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Day:</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term “Business Day” shall mean each day which is not a Saturday, a Sunday or a day on which banking institutions are not required to be open in the State of New York.</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Capital Stock:</w:t>
      </w:r>
    </w:p>
    <w:p>
      <w:pPr>
        <w:spacing w:after="0" w:line="225" w:lineRule="exact"/>
        <w:rPr>
          <w:sz w:val="20"/>
          <w:szCs w:val="20"/>
          <w:color w:val="auto"/>
        </w:rPr>
      </w:pPr>
    </w:p>
    <w:p>
      <w:pPr>
        <w:jc w:val="both"/>
        <w:ind w:right="20" w:firstLine="648"/>
        <w:spacing w:after="0" w:line="369" w:lineRule="auto"/>
        <w:rPr>
          <w:sz w:val="20"/>
          <w:szCs w:val="20"/>
          <w:color w:val="auto"/>
        </w:rPr>
      </w:pPr>
      <w:r>
        <w:rPr>
          <w:rFonts w:ascii="Arial" w:cs="Arial" w:eastAsia="Arial" w:hAnsi="Arial"/>
          <w:sz w:val="14"/>
          <w:szCs w:val="14"/>
          <w:color w:val="auto"/>
        </w:rPr>
        <w:t>The term “Capital Stock” of any Person shall mean any and all shares, interests (including partnership interests), rights to purchase, warrants, options, participations or other equivalents of or interests in (however designated) equity of such Person, including any Preferred Stock, but excluding any debt securities convertible into such equity.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“Code” shall mean the Internal Revenue Code of 1986 as in effect on the date hereof.</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term “Company” shall mean the Person named as the “Company” in the first paragraph of this Indenture until a successor Person shall have become such pursuant to the applicable provisions of this Indenture, and thereafter “Company” shall mean such successor Person.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Order:</w:t>
      </w:r>
    </w:p>
    <w:p>
      <w:pPr>
        <w:spacing w:after="0" w:line="22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term “Company Order” shall mean a written order signed in the name of the Company by the Chairman of the Board of Directors, Chief Executive Officer, Chief Financial Officer, President, Executive Vice President, Senior Vice President, Treasurer, Assistant Treasurer, Controller, Assistant Controller, Secretary or Assistant Secretary of the Company, and delivered to the Trustee.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Trust Office: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The term “Corporate Trust Office,” or other similar term, shall mean the principal office of the Trustee at which at any particular time its corporate trust business shall be administered, which office at the date hereof is located at , or such other address as the Trustee may designate from time to time by notice to the Holders and the Company, or the principal corporate trust officer of any successor Trustee (or such other address as such successor Trustee may designate from time to time by notice to the Holders and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“Currency” shall mean U.S. Dollars or Foreign Currency.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“Default” shall have the meaning assigned to it in Section 11.03.</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Defaulted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“Defaulted Interest” shall have the same meaning assigned to it in Section 3.08(b).</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Depositary: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5"/>
          <w:szCs w:val="15"/>
          <w:color w:val="auto"/>
        </w:rPr>
        <w:t>The term “Depositary” shall mean, with respect to the Securities of any series issuable in whole or in part in the form of one or more Global Securities, the Person designated as Depositary by the Company pursuant to Section 3.01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Designated Currency: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“Designated Currency” shall have the same meaning assigned to it in Section 3.12.</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Discharged: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“Discharged” shall have the meaning assigned to it in Section 12.03.</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“Event of Default” shall have the meaning specified in Section 7.01.</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Act: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term “Exchange Act” shall mean the United States Securities Exchange Act of 1934, and the rules and regulations promulgated by the SEC thereunder and any statute successor thereto, in each case as amended from time to time.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Exchange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“Exchange Rate” shall have the meaning assigned to it in Section 7.01.</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Floating Rate Security: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term “Floating Rate Security” shall mean a Security that provides for the payment of interest at a variable rate determined periodically by reference to an interest rate index specified pursuant to Section 3.01.</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term “Foreign Currency” shall mean a currency issued by the government of any country other than the United States or a composite currency, the value of which is determined by reference to the values of the currencies of any group of countries.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term “GAAP” shall mean generally accepted accounting principles in the United States of America as in effect as of the date of issuance of any series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Securities, including those set forth in:</w:t>
      </w:r>
    </w:p>
    <w:p>
      <w:pPr>
        <w:spacing w:after="0" w:line="217"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opinions and pronouncements of the Accounting Principles Board of the American Institute of Certified Public Accountants;</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statements and pronouncements of the Financial Accounting Standards Board;</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such other statements by such other entity as approved by a significant segment of the accounting profession; and</w:t>
      </w:r>
    </w:p>
    <w:p>
      <w:pPr>
        <w:spacing w:after="0" w:line="221" w:lineRule="exact"/>
        <w:rPr>
          <w:rFonts w:ascii="Arial" w:cs="Arial" w:eastAsia="Arial" w:hAnsi="Arial"/>
          <w:sz w:val="16"/>
          <w:szCs w:val="16"/>
          <w:color w:val="auto"/>
        </w:rPr>
      </w:pPr>
    </w:p>
    <w:p>
      <w:pPr>
        <w:jc w:val="both"/>
        <w:ind w:left="1300" w:hanging="644"/>
        <w:spacing w:after="0" w:line="278"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rules and regulations of the SEC governing the inclusion of financial statements (including pro forma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Security:</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term “Global Security” shall mean any Security that evidences all or part of a series of Securities, issued in fully-registered certificated form to the Depositary for such series in accordance with Section 3.03 and bearing the legend prescribed in Section 3.03(g).</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 Holder of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terms “Holder” and “Holder of Securities” are defined under “Security holder; Holder of Securities; Holder.”</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Indebtedness:</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term “Indebtedness” shall mean any and all obligations of a Person for money borrowed which, in accordance with GAAP, would be reflected on the balance sheet of such Person as a liability on the date as of which Indebtedness is to be determined.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The term “Indenture” or “this Indenture” shall mean this instrument as originally executed or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Individual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“Individual Securities” shall have the meaning specified in Section 3.01(p).</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term “interest” shall mean, unless the context otherwise requires, interest payable on any Securities, and with respect to an Original Issue Discount Security that by its terms bears interest only after Maturity, interest payable after Maturity.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Interest Payment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“Interest Payment Date” shall mean, with respect to any Security, the Stated Maturity of an installment of interest on such Security.</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Mandatory Sinking Fund Payment: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“Mandatory Sinking Fund Payment” shall have the meaning assigned to it in Section 5.01(b).</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Maturity:</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term “Maturity,” with respect to any Security, shall mean the date on which the principal of such Security shall become due and payable as therein and herein provided, whether by declaration, call for redemption or otherwise.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“Members” shall have the meaning assigned to it in Section 3.03(i).</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Officer’s Certificate:</w:t>
      </w:r>
    </w:p>
    <w:p>
      <w:pPr>
        <w:spacing w:after="0" w:line="22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term “Officer’s Certificate” shall mean a certificate signed by any of the Chairman of the Board of Directors, Chief Executive Officer, Chief Financial Officer, President or a Vice President, Treasurer, an Assistant Treasurer, Controller, Secretary or an Assistant Secretary of the Company and delivered to the Trustee. Each such certificate shall include the statements provided for in Section 16.01 if and to the extent required by the provisions of such Section.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of Counsel:</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term “Opinion of Counsel” shall mean an opinion in writing signed by legal counsel, who may be an employee of or of counsel to the Company, or may be other counsel that meets the requirements provided for in Section 16.01, each reasonably acceptable to the Trustee.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Optional Sinking Fund Payment: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“Optional Sinking Fund Payment” shall have the meaning assigned to it in Section 5.01(b).</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Original Issue Discount Security:</w:t>
      </w:r>
    </w:p>
    <w:p>
      <w:pPr>
        <w:spacing w:after="0" w:line="225" w:lineRule="exact"/>
        <w:rPr>
          <w:sz w:val="20"/>
          <w:szCs w:val="20"/>
          <w:color w:val="auto"/>
        </w:rPr>
      </w:pPr>
    </w:p>
    <w:p>
      <w:pPr>
        <w:jc w:val="both"/>
        <w:ind w:right="20" w:firstLine="648"/>
        <w:spacing w:after="0" w:line="329" w:lineRule="auto"/>
        <w:rPr>
          <w:sz w:val="20"/>
          <w:szCs w:val="20"/>
          <w:color w:val="auto"/>
        </w:rPr>
      </w:pPr>
      <w:r>
        <w:rPr>
          <w:rFonts w:ascii="Arial" w:cs="Arial" w:eastAsia="Arial" w:hAnsi="Arial"/>
          <w:sz w:val="15"/>
          <w:szCs w:val="15"/>
          <w:color w:val="auto"/>
        </w:rPr>
        <w:t>The term “Original Issue Discount Security” shall mean any Security that is issued with “original issue discount” within the meaning of Section 1273(a) of the Code and the regulations thereunder and any other Security designated by the Company as issued with original issue discount for United States federal income tax purposes.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term “Outstanding,” when used with respect to Securities means, as of the date of determination, all Securities theretofore authenticated and delivered under this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Indenture, except:</w:t>
      </w:r>
    </w:p>
    <w:p>
      <w:pPr>
        <w:spacing w:after="0" w:line="217"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Securities theretofore canceled by the Trustee or delivered to the Trustee for cancellation;</w:t>
      </w:r>
    </w:p>
    <w:p>
      <w:pPr>
        <w:spacing w:after="0" w:line="221" w:lineRule="exact"/>
        <w:rPr>
          <w:rFonts w:ascii="Arial" w:cs="Arial" w:eastAsia="Arial" w:hAnsi="Arial"/>
          <w:sz w:val="16"/>
          <w:szCs w:val="16"/>
          <w:color w:val="auto"/>
        </w:rPr>
      </w:pPr>
    </w:p>
    <w:p>
      <w:pPr>
        <w:jc w:val="both"/>
        <w:ind w:left="1300" w:hanging="644"/>
        <w:spacing w:after="0" w:line="271"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Securities or portions thereof for which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or Securities as to which the Company’s obligations have been Discharged; provided, however, that if such Securities or portions thereof are to be redeemed, notice of such redemption has been duly given pursuant to this Indenture or provision therefor satisfactory to the Trustee has been made; and</w:t>
      </w:r>
    </w:p>
    <w:p>
      <w:pPr>
        <w:spacing w:after="0" w:line="176" w:lineRule="exact"/>
        <w:rPr>
          <w:rFonts w:ascii="Arial" w:cs="Arial" w:eastAsia="Arial" w:hAnsi="Arial"/>
          <w:sz w:val="16"/>
          <w:szCs w:val="16"/>
          <w:color w:val="auto"/>
        </w:rPr>
      </w:pPr>
    </w:p>
    <w:p>
      <w:pPr>
        <w:jc w:val="both"/>
        <w:ind w:left="1300" w:hanging="644"/>
        <w:spacing w:after="0" w:line="285" w:lineRule="auto"/>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Securities that have been paid pursuant to Section 3.07(b) or in exchange for or in lieu of which other Securities have been authenticated and delivered pursuant to this Indenture, other than any such Securities in respect of which there shall have been presented to a Responsible Officer of the Trustee proof satisfactory to it that such Securities are held by a protected purchaser in whose hands such Securities are valid obligations of the Company; provided, however, that in determining whether the Holders of the requisite principal amount of Securities of a series Outstanding have performed any action hereunder, Securities owned by the Company or any other obligor upon the Securities of such series or any Affiliate of the Company or of such other obligor shall be disregarded and deemed not to be Outstanding, except that, in determining whether the Trustee shall be protected in relying upon any such action, only Securities of such series that a Responsible Officer of the Trustee actually knows to be so owned shall be so disregarded. Securities so owned that have been pledged in good faith may be regarded as Outstanding if the pledgee establishes to the satisfaction of the Trustee the pledgee’s right to act with respect to such Securities and that the pledgee is not the Company or any other obligor upon such Securities or any Affiliate of the Company or of such other obligor. In determining whether the Holders of the requisite principal amount of Outstanding Securities of a series have performed any action hereunder, the principal amount of an Original Issue Discount Security that shall be deemed to be Outstanding for such purpose shall be the amount of the principal thereof that would be due and payable as of the date of such determination upon a declaration of acceleration of the Maturity thereof pursuant to Section 7.02 and the principal amount of a Security denominated in a Foreign Currency that shall be deemed to be Outstanding for such purpose shall be the amount calculated pursuant to Section 3.11(b).</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“Paying Agent” shall have the meaning assigned to it in Section 6.02(a).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Person: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term “Person” shall mean an individual, a corporation, a limited liability company, a partnership, an association, a joint stock company, a trust, an unincorporated organization or a government or an agency or political subdivision thereof.</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Place of Payment: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term “Place of Payment” shall mean, when used with respect to the Securities of any series, the place or places where the principal of and premium, if any, and interest on the Securities of that series are payable as specified pursuant to Section 3.01.</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Predecessor Security:</w:t>
      </w:r>
    </w:p>
    <w:p>
      <w:pPr>
        <w:spacing w:after="0" w:line="22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term “Predecessor Security” shall mean, with respect to any Security, every previous Security evidencing all or a portion of the same debt as that evidenced by such particular Security, and, for the purposes of this definition, any Security authenticated and delivered under Section 3.07 in lieu of a lost, destroyed or stolen Security shall be deemed to evidence the same debt as the lost, destroyed or stolen Security.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2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term “Preferred Stock”, as applied to the Capital Stock of any Person, shall mean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term “Record Date” shall mean, with respect to any interest payable on any Security on any Interest Payment Date, the close of business on any date specified in such Security for the payment of interest pursuant to Section 3.01.</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 Date:</w:t>
      </w:r>
    </w:p>
    <w:p>
      <w:pPr>
        <w:spacing w:after="0" w:line="225"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The term “Redemption Date” shall mean, when used with respect to any Security to be redeemed, in whole or in part, the date fixed for such redemption by or pursuant to this Indenture and the terms of such Security, which, in the case of a Floating Rate Security, unless otherwise specified pursuant to Section 3.01, shall be an Interest Payment Date only.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 Price:</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term “Redemption Price,” when used with respect to any Security to be redeemed, in whole or in part, shall mean the price at which it is to be redeemed pursuant to the terms of the Security and this Indenture.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“Register” shall have the meaning assigned to it in Section 3.05(a).</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“Registrar” shall have the meaning assigned to it in Section 3.05(a).</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Responsible Officers: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5"/>
          <w:szCs w:val="15"/>
          <w:color w:val="auto"/>
        </w:rPr>
        <w:t>The term “Responsible Officers” of the Trustee hereunder shall mean any vice president, any assistant vice president, any trust officer, any assistant trust officer or any other officer associated with the corporate trust department of the Trustee customarily performing functions similar to those performed by any of the above designated officers, and also means, with respect to a particular corporate trust matter, any other officer of the Trustee to whom such matter is referred because of such person’s knowledge of and familiarity with the particular subject and who shall have direct responsibility for the administration of this Indenture.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“SEC” shall mean the United States Securities and Exchange Commission, as constituted from time to time.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Act:</w:t>
      </w:r>
    </w:p>
    <w:p>
      <w:pPr>
        <w:spacing w:after="0" w:line="22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The term “Securities Act” shall mean the United States Securities Act of 1933 and the rules and regulations promulgated by the SEC thereunder and any statute successor thereto, in each case as amended from time to time.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term “Security” or “Securities” shall have the meaning stated in the recitals and shall more particularly mean one or more of the Securities duly authenticated by the Trustee and delivered pursuant to the provisions of this Indenture.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Security Custodian: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term “Security Custodian” shall mean the custodian with respect to any Global Security appointed by the Depositary, or any successor Person thereto, and shall initially be the Paying Agent.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Securityholder; Holder of Securities; Holder:</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term “Securityholder” or “Holder of Securities” or “Holder,” shall mean the Person in whose name Securities shall be registered in the Register kept for that purpose hereunder.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Indebtedness: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4"/>
          <w:szCs w:val="14"/>
          <w:color w:val="auto"/>
        </w:rPr>
        <w:t>The term “Senior Indebtedness” means the principal of (and premium, if any) and unpaid interest on (x) Indebtedness of the Company, whether outstanding on the date hereof or thereafter created, incurred, assumed or guaranteed, for money borrowed other than (a) any Indebtedness of the Company which when incurred, and without respect to any election under Section 1111(b) of the Federal Bankruptcy Code, was without recourse to the Company, (b) any Indebtedness of the Company to any of its Subsidiaries, (c) Indebtedness to any employee of the Company, (d) any liability for taxes, (e) Trade Payables and (f) any Indebtedness of the Company which is expressly subordinate in right of payment to any other Indebtedness of the Company, and (y) renewals, extensions, modifications and refundings of any such Indebtedness. For purposes of the foregoing and the definition of “Senior Indebtedness,” the phrase “subordinated in right of payment” means debt subordination only and not lien subordination, and accordingly, (i) unsecured indebtedness shall not be deemed to be subordinated in right of payment to secured indebtedness merely by virtue of the fact that it is unsecured, and</w:t>
      </w:r>
    </w:p>
    <w:p>
      <w:pPr>
        <w:spacing w:after="0" w:line="4" w:lineRule="exact"/>
        <w:rPr>
          <w:sz w:val="20"/>
          <w:szCs w:val="20"/>
          <w:color w:val="auto"/>
        </w:rPr>
      </w:pPr>
    </w:p>
    <w:p>
      <w:pPr>
        <w:ind w:firstLine="8"/>
        <w:spacing w:after="0" w:line="323" w:lineRule="auto"/>
        <w:tabs>
          <w:tab w:leader="none" w:pos="247" w:val="left"/>
        </w:tabs>
        <w:numPr>
          <w:ilvl w:val="0"/>
          <w:numId w:val="29"/>
        </w:numPr>
        <w:rPr>
          <w:rFonts w:ascii="Arial" w:cs="Arial" w:eastAsia="Arial" w:hAnsi="Arial"/>
          <w:sz w:val="15"/>
          <w:szCs w:val="15"/>
          <w:color w:val="auto"/>
        </w:rPr>
      </w:pPr>
      <w:r>
        <w:rPr>
          <w:rFonts w:ascii="Arial" w:cs="Arial" w:eastAsia="Arial" w:hAnsi="Arial"/>
          <w:sz w:val="15"/>
          <w:szCs w:val="15"/>
          <w:color w:val="auto"/>
        </w:rPr>
        <w:t>junior liens, second liens and other contractual arrangements that provide for priorities among Holders of the same or different issues of indebtedness with respect to any collateral or the proceeds of collateral shall not constitute subordination in right of payment. This definition may be modified or superseded by a supplemental indenture.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Special Record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“Special Record Date” shall have the meaning assigned to it in Section 3.08(b)(i).</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Stated Maturity: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term “Stated Maturity” when used with respect to any Security or any installment of interest thereon, shall mean the date specified in such Security as the fixed date on which the principal (or any portion thereof) of or premium, if any, on such Security or such installment of interest is due and payable.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Subsidiary:</w:t>
      </w:r>
    </w:p>
    <w:p>
      <w:pPr>
        <w:spacing w:after="0" w:line="22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term “Subsidiary” shall mean, with respect to any Person, any corporation, association, partnership or other business entity of which more than 50% of the total voting power of all classes of Capital Stock of such Person then outstanding and normally entitled (without regard to the occurrence of any contingency) to vote in the election of directors, managers or trustees is at the time owned or controlled, directly or indirectly, by:</w:t>
      </w:r>
    </w:p>
    <w:p>
      <w:pPr>
        <w:spacing w:after="0" w:line="171"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such Person;</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such Person and one or more Subsidiaries of such Person; or</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one or more Subsidiaries of such Person.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Successor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“Successor Company” shall have the meaning assigned to it in Section 3.06(i).</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Payables: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term “Trade Payables” means accounts payable or any other Indebtedness or monetary obligations to trade creditors created or assumed by the Company or any Subsidiary of the Company in the ordinary course of business (including guarantees thereof or instruments evidencing such liabilities).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 Indenture Act; TIA:</w:t>
      </w:r>
    </w:p>
    <w:p>
      <w:pPr>
        <w:spacing w:after="0" w:line="22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term “Trust Indenture Act” or “TIA” shall mean the Trust Indenture Act of 1939, as amended, and the rules and regulations thereunder as in effect on the date of this Indenture, except as provided in Section 14.06 and except to the extent any amendment to the Trust Indenture Act expressly provides for application of the Trust Indenture Act as in effect on another date.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Trustee: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6"/>
          <w:szCs w:val="16"/>
          <w:color w:val="auto"/>
        </w:rPr>
        <w:t>The term “Trustee” shall mean the Person named as the “Trustee” in the first paragraph of this Indenture until a successor Trustee shall have become such with respect to one or more series of Securities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U.S. Dollars: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term “U.S. Dollars” shall mean such currency of the United States as at the time of payment shall be legal tender for the payment of public and private debts.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Government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 “U.S. Government Obligations” shall have the meaning assigned to it in Section 12.03.</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States: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term “United States” shall mean the United States of America (including the States and the District of Columbia), its territories and its possessions and other areas subject to its jurisdiction.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II</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FORMS OF SECURITIES</w:t>
      </w:r>
    </w:p>
    <w:p>
      <w:pPr>
        <w:spacing w:after="0" w:line="21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2.01</w:t>
      </w:r>
      <w:r>
        <w:rPr>
          <w:sz w:val="20"/>
          <w:szCs w:val="20"/>
          <w:color w:val="auto"/>
        </w:rPr>
        <w:tab/>
      </w:r>
      <w:r>
        <w:rPr>
          <w:rFonts w:ascii="Arial" w:cs="Arial" w:eastAsia="Arial" w:hAnsi="Arial"/>
          <w:sz w:val="14"/>
          <w:szCs w:val="14"/>
          <w:u w:val="single" w:color="auto"/>
          <w:color w:val="auto"/>
        </w:rPr>
        <w:t>Terms of the Securities</w:t>
      </w:r>
      <w:r>
        <w:rPr>
          <w:rFonts w:ascii="Arial" w:cs="Arial" w:eastAsia="Arial" w:hAnsi="Arial"/>
          <w:sz w:val="14"/>
          <w:szCs w:val="14"/>
          <w:color w:val="auto"/>
        </w:rPr>
        <w:t>.</w:t>
      </w:r>
    </w:p>
    <w:p>
      <w:pPr>
        <w:spacing w:after="0" w:line="221" w:lineRule="exact"/>
        <w:rPr>
          <w:sz w:val="20"/>
          <w:szCs w:val="20"/>
          <w:color w:val="auto"/>
        </w:rPr>
      </w:pPr>
    </w:p>
    <w:p>
      <w:pPr>
        <w:ind w:right="40" w:firstLine="1305"/>
        <w:spacing w:after="0" w:line="291" w:lineRule="auto"/>
        <w:tabs>
          <w:tab w:leader="none" w:pos="1679"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Securities of each series shall be substantially in the form set forth in a Company Order or in one or more indentures supplemental hereto, and shall have such appropriate insertions, omissions, substitutions and other variations as are required or permitted by this Indenture,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securities exchange on which any series of the Securities may be listed or of any automated quotation system on which any such series may be quoted, or to conform to usage, all as determined by the officers executing such Securities as conclusively evidenced by their execution of such Securities.</w:t>
      </w:r>
    </w:p>
    <w:p>
      <w:pPr>
        <w:spacing w:after="0" w:line="163" w:lineRule="exact"/>
        <w:rPr>
          <w:rFonts w:ascii="Arial" w:cs="Arial" w:eastAsia="Arial" w:hAnsi="Arial"/>
          <w:sz w:val="15"/>
          <w:szCs w:val="15"/>
          <w:color w:val="auto"/>
        </w:rPr>
      </w:pPr>
    </w:p>
    <w:p>
      <w:pPr>
        <w:ind w:right="140" w:firstLine="1305"/>
        <w:spacing w:after="0" w:line="329" w:lineRule="auto"/>
        <w:tabs>
          <w:tab w:leader="none" w:pos="1688"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terms and provisions of the Securities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35"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2.02</w:t>
      </w:r>
      <w:r>
        <w:rPr>
          <w:sz w:val="20"/>
          <w:szCs w:val="20"/>
          <w:color w:val="auto"/>
        </w:rPr>
        <w:tab/>
      </w:r>
      <w:r>
        <w:rPr>
          <w:rFonts w:ascii="Arial" w:cs="Arial" w:eastAsia="Arial" w:hAnsi="Arial"/>
          <w:sz w:val="15"/>
          <w:szCs w:val="15"/>
          <w:u w:val="single" w:color="auto"/>
          <w:color w:val="auto"/>
        </w:rPr>
        <w:t>Form of Trustee’s Certificate of Authentication</w:t>
      </w:r>
      <w:r>
        <w:rPr>
          <w:rFonts w:ascii="Arial" w:cs="Arial" w:eastAsia="Arial" w:hAnsi="Arial"/>
          <w:sz w:val="15"/>
          <w:szCs w:val="15"/>
          <w:color w:val="auto"/>
        </w:rPr>
        <w:t>.</w:t>
      </w:r>
    </w:p>
    <w:p>
      <w:pPr>
        <w:spacing w:after="0" w:line="221" w:lineRule="exact"/>
        <w:rPr>
          <w:sz w:val="20"/>
          <w:szCs w:val="20"/>
          <w:color w:val="auto"/>
        </w:rPr>
      </w:pPr>
    </w:p>
    <w:p>
      <w:pPr>
        <w:ind w:right="40" w:firstLine="1305"/>
        <w:spacing w:after="0" w:line="369" w:lineRule="auto"/>
        <w:tabs>
          <w:tab w:leader="none" w:pos="1679" w:val="left"/>
        </w:tabs>
        <w:numPr>
          <w:ilvl w:val="0"/>
          <w:numId w:val="32"/>
        </w:numPr>
        <w:rPr>
          <w:rFonts w:ascii="Arial" w:cs="Arial" w:eastAsia="Arial" w:hAnsi="Arial"/>
          <w:sz w:val="14"/>
          <w:szCs w:val="14"/>
          <w:color w:val="auto"/>
        </w:rPr>
      </w:pPr>
      <w:r>
        <w:rPr>
          <w:rFonts w:ascii="Arial" w:cs="Arial" w:eastAsia="Arial" w:hAnsi="Arial"/>
          <w:sz w:val="14"/>
          <w:szCs w:val="14"/>
          <w:color w:val="auto"/>
        </w:rPr>
        <w:t>Only such of the Securities as shall bear thereon a certificate substantially in the form of the Trustee’s certificate of authentication hereinafter recited, executed by the Trustee by manual signature, shall be valid or become obligatory for any purpose or entitle the Holder thereof to any right or benefit under this Indenture.</w:t>
      </w:r>
    </w:p>
    <w:p>
      <w:pPr>
        <w:spacing w:after="0" w:line="112" w:lineRule="exact"/>
        <w:rPr>
          <w:rFonts w:ascii="Arial" w:cs="Arial" w:eastAsia="Arial" w:hAnsi="Arial"/>
          <w:sz w:val="14"/>
          <w:szCs w:val="14"/>
          <w:color w:val="auto"/>
        </w:rPr>
      </w:pPr>
    </w:p>
    <w:p>
      <w:pPr>
        <w:ind w:left="1700" w:hanging="395"/>
        <w:spacing w:after="0"/>
        <w:tabs>
          <w:tab w:leader="none" w:pos="17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Each Security shall be dated the date of its authentication, except that any Global Security shall be dated as of the date specified as contemplated in</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Section 3.01.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III</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THE DEBT SECURITIES</w:t>
      </w:r>
    </w:p>
    <w:p>
      <w:pPr>
        <w:spacing w:after="0" w:line="21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3.01</w:t>
      </w:r>
      <w:r>
        <w:rPr>
          <w:sz w:val="20"/>
          <w:szCs w:val="20"/>
          <w:color w:val="auto"/>
        </w:rPr>
        <w:tab/>
      </w:r>
      <w:r>
        <w:rPr>
          <w:rFonts w:ascii="Arial" w:cs="Arial" w:eastAsia="Arial" w:hAnsi="Arial"/>
          <w:sz w:val="15"/>
          <w:szCs w:val="15"/>
          <w:u w:val="single" w:color="auto"/>
          <w:color w:val="auto"/>
        </w:rPr>
        <w:t>Amount Unlimited; Issuable in Series</w:t>
      </w:r>
      <w:r>
        <w:rPr>
          <w:rFonts w:ascii="Arial" w:cs="Arial" w:eastAsia="Arial" w:hAnsi="Arial"/>
          <w:sz w:val="15"/>
          <w:szCs w:val="15"/>
          <w:color w:val="auto"/>
        </w:rPr>
        <w:t>.</w:t>
      </w:r>
    </w:p>
    <w:p>
      <w:pPr>
        <w:spacing w:after="0" w:line="221" w:lineRule="exact"/>
        <w:rPr>
          <w:sz w:val="20"/>
          <w:szCs w:val="20"/>
          <w:color w:val="auto"/>
        </w:rPr>
      </w:pPr>
    </w:p>
    <w:p>
      <w:pPr>
        <w:ind w:firstLine="648"/>
        <w:spacing w:after="0" w:line="329" w:lineRule="auto"/>
        <w:rPr>
          <w:sz w:val="20"/>
          <w:szCs w:val="20"/>
          <w:color w:val="auto"/>
        </w:rPr>
      </w:pPr>
      <w:r>
        <w:rPr>
          <w:rFonts w:ascii="Arial" w:cs="Arial" w:eastAsia="Arial" w:hAnsi="Arial"/>
          <w:sz w:val="15"/>
          <w:szCs w:val="15"/>
          <w:color w:val="auto"/>
        </w:rPr>
        <w:t>The aggregate principal amount of Securities that may be authenticated and delivered under this Indenture is unlimited. The Securities may be issued in one or more series. There shall be set forth in a Company Order or in one or more indentures supplemental hereto, prior to the issuance of Securities of any series:</w:t>
      </w:r>
    </w:p>
    <w:p>
      <w:pPr>
        <w:spacing w:after="0" w:line="135" w:lineRule="exact"/>
        <w:rPr>
          <w:sz w:val="20"/>
          <w:szCs w:val="20"/>
          <w:color w:val="auto"/>
        </w:rPr>
      </w:pPr>
    </w:p>
    <w:p>
      <w:pPr>
        <w:ind w:right="100" w:firstLine="1305"/>
        <w:spacing w:after="0" w:line="293" w:lineRule="auto"/>
        <w:tabs>
          <w:tab w:leader="none" w:pos="1679"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title of the Securities of the series (which shall distinguish the Securities of such series from the Securities of all other series, except to the extent that additional Securities of an existing series are being issued);</w:t>
      </w:r>
    </w:p>
    <w:p>
      <w:pPr>
        <w:spacing w:after="0" w:line="158" w:lineRule="exact"/>
        <w:rPr>
          <w:rFonts w:ascii="Arial" w:cs="Arial" w:eastAsia="Arial" w:hAnsi="Arial"/>
          <w:sz w:val="16"/>
          <w:szCs w:val="16"/>
          <w:color w:val="auto"/>
        </w:rPr>
      </w:pPr>
    </w:p>
    <w:p>
      <w:pPr>
        <w:ind w:right="80" w:firstLine="1305"/>
        <w:spacing w:after="0" w:line="369" w:lineRule="auto"/>
        <w:tabs>
          <w:tab w:leader="none" w:pos="1688"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limit upon the aggregate principal amount of the Securities of the series that may be authenticated and delivered under this Indenture (except for Securities authenticated and delivered upon transfer of, or in exchange for, or in lieu of, other Securities of such series pursuant to Section 3.04, 3.06, 3.07, 4.06, or 14.05);</w:t>
      </w:r>
    </w:p>
    <w:p>
      <w:pPr>
        <w:spacing w:after="0" w:line="112" w:lineRule="exact"/>
        <w:rPr>
          <w:rFonts w:ascii="Arial" w:cs="Arial" w:eastAsia="Arial" w:hAnsi="Arial"/>
          <w:sz w:val="14"/>
          <w:szCs w:val="14"/>
          <w:color w:val="auto"/>
        </w:rPr>
      </w:pPr>
    </w:p>
    <w:p>
      <w:pPr>
        <w:ind w:right="500" w:firstLine="1305"/>
        <w:spacing w:after="0" w:line="369" w:lineRule="auto"/>
        <w:tabs>
          <w:tab w:leader="none" w:pos="1679"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dates on which or periods during which the Securities of the series may be issued, and the dates on, or the range of dates within, which the principal of and premium, if any, on the Securities of such series are or may be payable or the method by which such date or dates shall be determined or extended;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37" w:name="page38"/>
    <w:bookmarkEnd w:id="37"/>
    <w:p>
      <w:pPr>
        <w:ind w:right="40" w:firstLine="1305"/>
        <w:spacing w:after="0" w:line="270" w:lineRule="auto"/>
        <w:tabs>
          <w:tab w:leader="none" w:pos="168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or the method by which such rate or rates shall be determined, whether such interest shall be payable in cash or additional Securities of the same series or shall accrue and increase the aggregate principal amount outstanding of such series (including if such Securities were originally issued at a discount), the date or dates from which such interest shall accrue, or the method by which such date or dates shall be determined, the Interest Payment Dates on which any such interest shall be payable, and the Record Dates for the determination of Holders to whom interest is payable on such Interest Payment Dates or the method by which such date or dates shall be determined, the right, if any, to extend or defer interest payments and the duration of such extension or deferral;</w:t>
      </w:r>
    </w:p>
    <w:p>
      <w:pPr>
        <w:spacing w:after="0" w:line="176" w:lineRule="exact"/>
        <w:rPr>
          <w:rFonts w:ascii="Arial" w:cs="Arial" w:eastAsia="Arial" w:hAnsi="Arial"/>
          <w:sz w:val="16"/>
          <w:szCs w:val="16"/>
          <w:color w:val="auto"/>
        </w:rPr>
      </w:pPr>
    </w:p>
    <w:p>
      <w:pPr>
        <w:ind w:right="620" w:firstLine="1305"/>
        <w:spacing w:after="0" w:line="293" w:lineRule="auto"/>
        <w:tabs>
          <w:tab w:leader="none" w:pos="1679"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than U.S. Dollars, the Foreign Currency in which Securities of the series shall be denominated or in which payment of the principal of, premium, if any, or interest on the Securities of the series shall be payable and any other terms concerning such payment;</w:t>
      </w:r>
    </w:p>
    <w:p>
      <w:pPr>
        <w:spacing w:after="0" w:line="158" w:lineRule="exact"/>
        <w:rPr>
          <w:rFonts w:ascii="Arial" w:cs="Arial" w:eastAsia="Arial" w:hAnsi="Arial"/>
          <w:sz w:val="16"/>
          <w:szCs w:val="16"/>
          <w:color w:val="auto"/>
        </w:rPr>
      </w:pPr>
    </w:p>
    <w:p>
      <w:pPr>
        <w:ind w:right="20" w:firstLine="1305"/>
        <w:spacing w:after="0" w:line="278" w:lineRule="auto"/>
        <w:tabs>
          <w:tab w:leader="none" w:pos="166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amount of payment of principal of, premium, if any, or interest on the Securities of the series may be determined with reference to an index, formula or other method including, but not limited to, an index based on a Currency or Currencies other than that in which the Securities are stated to be payable, the manner in which such amounts shall be determined;</w:t>
      </w:r>
    </w:p>
    <w:p>
      <w:pPr>
        <w:spacing w:after="0" w:line="170" w:lineRule="exact"/>
        <w:rPr>
          <w:rFonts w:ascii="Arial" w:cs="Arial" w:eastAsia="Arial" w:hAnsi="Arial"/>
          <w:sz w:val="16"/>
          <w:szCs w:val="16"/>
          <w:color w:val="auto"/>
        </w:rPr>
      </w:pPr>
    </w:p>
    <w:p>
      <w:pPr>
        <w:ind w:firstLine="1305"/>
        <w:spacing w:after="0" w:line="273" w:lineRule="auto"/>
        <w:tabs>
          <w:tab w:leader="none" w:pos="168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principal of, premium, if any, or interest on Securities of the series are to be payable, at the election of the Company or a Holder thereof, in a Currency other than that in which the Securities are denominated or stated to be payable without such election, the period or periods within which, and the terms and conditions upon which, such election may be made and the time and the manner of determining the exchange rate between the Currency in which the Securities are denominated or payable without such election and the Currency in which the Securities are to be paid if such election is made;</w:t>
      </w:r>
    </w:p>
    <w:p>
      <w:pPr>
        <w:spacing w:after="0" w:line="175" w:lineRule="exact"/>
        <w:rPr>
          <w:rFonts w:ascii="Arial" w:cs="Arial" w:eastAsia="Arial" w:hAnsi="Arial"/>
          <w:sz w:val="16"/>
          <w:szCs w:val="16"/>
          <w:color w:val="auto"/>
        </w:rPr>
      </w:pPr>
    </w:p>
    <w:p>
      <w:pPr>
        <w:ind w:right="180" w:firstLine="1305"/>
        <w:spacing w:after="0" w:line="278" w:lineRule="auto"/>
        <w:tabs>
          <w:tab w:leader="none" w:pos="168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place or places, if any, in addition to or instead of the Corporate Trust Office of the Trustee where the principal of, premium, if any, and interest on Securities of the series shall be payable, and where Securities of any series may be presented for registration of transfer, exchange or conversion, and the place or places where notices and demands to or upon the Company in respect of the Securities of such series may be made;</w:t>
      </w:r>
    </w:p>
    <w:p>
      <w:pPr>
        <w:spacing w:after="0" w:line="170" w:lineRule="exact"/>
        <w:rPr>
          <w:rFonts w:ascii="Arial" w:cs="Arial" w:eastAsia="Arial" w:hAnsi="Arial"/>
          <w:sz w:val="16"/>
          <w:szCs w:val="16"/>
          <w:color w:val="auto"/>
        </w:rPr>
      </w:pPr>
    </w:p>
    <w:p>
      <w:pPr>
        <w:ind w:right="160" w:firstLine="1305"/>
        <w:spacing w:after="0" w:line="293" w:lineRule="auto"/>
        <w:tabs>
          <w:tab w:leader="none" w:pos="16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price or prices at which, the period or periods within which or the date or dates on which, and the terms and conditions upon which Securities of the series may be redeemed, in whole or in part, at the option of the Company, if the Company is to have that option;</w:t>
      </w:r>
    </w:p>
    <w:p>
      <w:pPr>
        <w:spacing w:after="0" w:line="158" w:lineRule="exact"/>
        <w:rPr>
          <w:rFonts w:ascii="Arial" w:cs="Arial" w:eastAsia="Arial" w:hAnsi="Arial"/>
          <w:sz w:val="16"/>
          <w:szCs w:val="16"/>
          <w:color w:val="auto"/>
        </w:rPr>
      </w:pPr>
    </w:p>
    <w:p>
      <w:pPr>
        <w:jc w:val="both"/>
        <w:ind w:right="160" w:firstLine="1305"/>
        <w:spacing w:after="0" w:line="335" w:lineRule="auto"/>
        <w:tabs>
          <w:tab w:leader="none" w:pos="1652"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obligation or right, if any, of the Company to redeem, purchase or repay Securities of the series pursuant to any sinking fund, amortization or analogous provisions or at the option of a Holder thereof and the price or prices at which, the period or periods within which or the date or dates on which, the Currency or Currencies in which and the terms and conditions upon which Securities of the series shall be redeemed, purchased or repaid, in whole or in part, pursuant to such obligation;</w:t>
      </w:r>
    </w:p>
    <w:p>
      <w:pPr>
        <w:spacing w:after="0" w:line="136" w:lineRule="exact"/>
        <w:rPr>
          <w:rFonts w:ascii="Arial" w:cs="Arial" w:eastAsia="Arial" w:hAnsi="Arial"/>
          <w:sz w:val="14"/>
          <w:szCs w:val="14"/>
          <w:color w:val="auto"/>
        </w:rPr>
      </w:pPr>
    </w:p>
    <w:p>
      <w:pPr>
        <w:ind w:left="1700" w:hanging="395"/>
        <w:spacing w:after="0"/>
        <w:tabs>
          <w:tab w:leader="none" w:pos="1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than denominations of $2,000 or any integral multiple thereof, the denominations in which Securities of the series shall be issuable;</w:t>
      </w:r>
    </w:p>
    <w:p>
      <w:pPr>
        <w:spacing w:after="0" w:line="221" w:lineRule="exact"/>
        <w:rPr>
          <w:rFonts w:ascii="Arial" w:cs="Arial" w:eastAsia="Arial" w:hAnsi="Arial"/>
          <w:sz w:val="16"/>
          <w:szCs w:val="16"/>
          <w:color w:val="auto"/>
        </w:rPr>
      </w:pPr>
    </w:p>
    <w:p>
      <w:pPr>
        <w:ind w:right="140" w:firstLine="1305"/>
        <w:spacing w:after="0" w:line="293" w:lineRule="auto"/>
        <w:tabs>
          <w:tab w:leader="none" w:pos="16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than the principal amount thereof, the portion of the principal amount of the Securities of the series which shall be payable upon declaration of acceleration of the Maturity thereof pursuant to Section 7.02;</w:t>
      </w:r>
    </w:p>
    <w:p>
      <w:pPr>
        <w:spacing w:after="0" w:line="158" w:lineRule="exact"/>
        <w:rPr>
          <w:rFonts w:ascii="Arial" w:cs="Arial" w:eastAsia="Arial" w:hAnsi="Arial"/>
          <w:sz w:val="16"/>
          <w:szCs w:val="16"/>
          <w:color w:val="auto"/>
        </w:rPr>
      </w:pPr>
    </w:p>
    <w:p>
      <w:pPr>
        <w:ind w:right="200" w:firstLine="1305"/>
        <w:spacing w:after="0" w:line="293" w:lineRule="auto"/>
        <w:tabs>
          <w:tab w:leader="none" w:pos="1733"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guarantors, if any, of the Securities of the series, and the extent of the guarantees (including provisions relating to seniority, subordination, and the release of the guarantors), if any, and any additions or changes to permit or facilitate guarantees of such Securities;</w:t>
      </w:r>
    </w:p>
    <w:p>
      <w:pPr>
        <w:spacing w:after="0" w:line="158" w:lineRule="exact"/>
        <w:rPr>
          <w:rFonts w:ascii="Arial" w:cs="Arial" w:eastAsia="Arial" w:hAnsi="Arial"/>
          <w:sz w:val="16"/>
          <w:szCs w:val="16"/>
          <w:color w:val="auto"/>
        </w:rPr>
      </w:pPr>
    </w:p>
    <w:p>
      <w:pPr>
        <w:ind w:left="1700" w:hanging="395"/>
        <w:spacing w:after="0"/>
        <w:tabs>
          <w:tab w:leader="none" w:pos="17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Whether the Securities of the series are to be issued as Original Issue Discount Securities and the amount of discount with which such Securities may</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be issued;</w:t>
      </w:r>
    </w:p>
    <w:p>
      <w:pPr>
        <w:spacing w:after="0" w:line="217" w:lineRule="exact"/>
        <w:rPr>
          <w:rFonts w:ascii="Arial" w:cs="Arial" w:eastAsia="Arial" w:hAnsi="Arial"/>
          <w:sz w:val="14"/>
          <w:szCs w:val="14"/>
          <w:color w:val="auto"/>
        </w:rPr>
      </w:pPr>
    </w:p>
    <w:p>
      <w:pPr>
        <w:ind w:left="1700" w:hanging="395"/>
        <w:spacing w:after="0"/>
        <w:tabs>
          <w:tab w:leader="none" w:pos="17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provisions, if any, for the defeasance of Securities of the series in whole or in part and any addition or change in the provisions related to satisfaction</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and discharge;</w:t>
      </w:r>
    </w:p>
    <w:p>
      <w:pPr>
        <w:spacing w:after="0" w:line="217" w:lineRule="exact"/>
        <w:rPr>
          <w:rFonts w:ascii="Arial" w:cs="Arial" w:eastAsia="Arial" w:hAnsi="Arial"/>
          <w:sz w:val="14"/>
          <w:szCs w:val="14"/>
          <w:color w:val="auto"/>
        </w:rPr>
      </w:pPr>
    </w:p>
    <w:p>
      <w:pPr>
        <w:ind w:right="80" w:firstLine="1305"/>
        <w:spacing w:after="0" w:line="273" w:lineRule="auto"/>
        <w:tabs>
          <w:tab w:leader="none" w:pos="1688"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 (“Individual Securities”);</w:t>
      </w:r>
    </w:p>
    <w:p>
      <w:pPr>
        <w:spacing w:after="0" w:line="175" w:lineRule="exact"/>
        <w:rPr>
          <w:rFonts w:ascii="Arial" w:cs="Arial" w:eastAsia="Arial" w:hAnsi="Arial"/>
          <w:sz w:val="16"/>
          <w:szCs w:val="16"/>
          <w:color w:val="auto"/>
        </w:rPr>
      </w:pPr>
    </w:p>
    <w:p>
      <w:pPr>
        <w:ind w:left="1700" w:hanging="395"/>
        <w:spacing w:after="0"/>
        <w:tabs>
          <w:tab w:leader="none" w:pos="17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date as of which any Global Security of the series shall be dated if other than the original issuance of the first Security of the series to be issued;</w:t>
      </w:r>
    </w:p>
    <w:p>
      <w:pPr>
        <w:spacing w:after="0" w:line="244" w:lineRule="exact"/>
        <w:rPr>
          <w:rFonts w:ascii="Arial" w:cs="Arial" w:eastAsia="Arial" w:hAnsi="Arial"/>
          <w:sz w:val="14"/>
          <w:szCs w:val="14"/>
          <w:color w:val="auto"/>
        </w:rPr>
      </w:pPr>
    </w:p>
    <w:p>
      <w:pPr>
        <w:ind w:left="1660" w:hanging="355"/>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form of the Securities of the series;</w:t>
      </w:r>
    </w:p>
    <w:p>
      <w:pPr>
        <w:spacing w:after="0" w:line="221" w:lineRule="exact"/>
        <w:rPr>
          <w:rFonts w:ascii="Arial" w:cs="Arial" w:eastAsia="Arial" w:hAnsi="Arial"/>
          <w:sz w:val="16"/>
          <w:szCs w:val="16"/>
          <w:color w:val="auto"/>
        </w:rPr>
      </w:pPr>
    </w:p>
    <w:p>
      <w:pPr>
        <w:ind w:right="80" w:firstLine="1305"/>
        <w:spacing w:after="0" w:line="369" w:lineRule="auto"/>
        <w:tabs>
          <w:tab w:leader="none" w:pos="167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Securities of the series are to be convertible into or exchangeable for any securities or property of any Person (including the Company), the terms and conditions upon which such Securities will be so convertible or exchangeable, and any additions or changes, if any, to permit or facilitate such conversion or exchange;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38" w:name="page39"/>
    <w:bookmarkEnd w:id="38"/>
    <w:p>
      <w:pPr>
        <w:ind w:left="1660" w:hanging="355"/>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whether the Securities of such series are subject to subordination and the terms of such subordination;</w:t>
      </w:r>
    </w:p>
    <w:p>
      <w:pPr>
        <w:spacing w:after="0" w:line="221" w:lineRule="exact"/>
        <w:rPr>
          <w:rFonts w:ascii="Arial" w:cs="Arial" w:eastAsia="Arial" w:hAnsi="Arial"/>
          <w:sz w:val="16"/>
          <w:szCs w:val="16"/>
          <w:color w:val="auto"/>
        </w:rPr>
      </w:pPr>
    </w:p>
    <w:p>
      <w:pPr>
        <w:ind w:left="1700" w:hanging="395"/>
        <w:spacing w:after="0"/>
        <w:tabs>
          <w:tab w:leader="none" w:pos="1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restriction or condition on the transferability of the Securities of such series;</w:t>
      </w:r>
    </w:p>
    <w:p>
      <w:pPr>
        <w:spacing w:after="0" w:line="221" w:lineRule="exact"/>
        <w:rPr>
          <w:rFonts w:ascii="Arial" w:cs="Arial" w:eastAsia="Arial" w:hAnsi="Arial"/>
          <w:sz w:val="16"/>
          <w:szCs w:val="16"/>
          <w:color w:val="auto"/>
        </w:rPr>
      </w:pPr>
    </w:p>
    <w:p>
      <w:pPr>
        <w:ind w:left="1700" w:hanging="395"/>
        <w:spacing w:after="0"/>
        <w:tabs>
          <w:tab w:leader="none" w:pos="17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any addition or change in the provisions related to compensation and reimbursement of the Trustee which applies to Securities of such series;</w:t>
      </w:r>
    </w:p>
    <w:p>
      <w:pPr>
        <w:spacing w:after="0" w:line="232" w:lineRule="exact"/>
        <w:rPr>
          <w:rFonts w:ascii="Arial" w:cs="Arial" w:eastAsia="Arial" w:hAnsi="Arial"/>
          <w:sz w:val="15"/>
          <w:szCs w:val="15"/>
          <w:color w:val="auto"/>
        </w:rPr>
      </w:pPr>
    </w:p>
    <w:p>
      <w:pPr>
        <w:ind w:left="1740" w:hanging="435"/>
        <w:spacing w:after="0"/>
        <w:tabs>
          <w:tab w:leader="none" w:pos="1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any addition or change in the provisions related to supplemental indentures set forth in Sections 14.02 and 14.04 which applies to Securities of such</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series;</w:t>
      </w:r>
    </w:p>
    <w:p>
      <w:pPr>
        <w:spacing w:after="0" w:line="217" w:lineRule="exact"/>
        <w:rPr>
          <w:sz w:val="20"/>
          <w:szCs w:val="20"/>
          <w:color w:val="auto"/>
        </w:rPr>
      </w:pPr>
    </w:p>
    <w:p>
      <w:pPr>
        <w:ind w:left="1700" w:hanging="395"/>
        <w:spacing w:after="0"/>
        <w:tabs>
          <w:tab w:leader="none" w:pos="1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provisions, if any, granting special rights to Holders upon the occurrence of specified events;</w:t>
      </w:r>
    </w:p>
    <w:p>
      <w:pPr>
        <w:spacing w:after="0" w:line="221" w:lineRule="exact"/>
        <w:rPr>
          <w:rFonts w:ascii="Arial" w:cs="Arial" w:eastAsia="Arial" w:hAnsi="Arial"/>
          <w:sz w:val="16"/>
          <w:szCs w:val="16"/>
          <w:color w:val="auto"/>
        </w:rPr>
      </w:pPr>
    </w:p>
    <w:p>
      <w:pPr>
        <w:ind w:right="160" w:firstLine="1305"/>
        <w:spacing w:after="0" w:line="278" w:lineRule="auto"/>
        <w:tabs>
          <w:tab w:leader="none" w:pos="16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7.02 and any addition or change in the provisions set forth in Article VII which applies to Securities of the series;</w:t>
      </w:r>
    </w:p>
    <w:p>
      <w:pPr>
        <w:spacing w:after="0" w:line="170" w:lineRule="exact"/>
        <w:rPr>
          <w:rFonts w:ascii="Arial" w:cs="Arial" w:eastAsia="Arial" w:hAnsi="Arial"/>
          <w:sz w:val="16"/>
          <w:szCs w:val="16"/>
          <w:color w:val="auto"/>
        </w:rPr>
      </w:pPr>
    </w:p>
    <w:p>
      <w:pPr>
        <w:ind w:left="1680" w:hanging="375"/>
        <w:spacing w:after="0"/>
        <w:tabs>
          <w:tab w:leader="none" w:pos="1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addition to or change in the covenants set forth in Article VI which applies to Securities of the series;</w:t>
      </w:r>
    </w:p>
    <w:p>
      <w:pPr>
        <w:spacing w:after="0" w:line="221" w:lineRule="exact"/>
        <w:rPr>
          <w:sz w:val="20"/>
          <w:szCs w:val="20"/>
          <w:color w:val="auto"/>
        </w:rPr>
      </w:pPr>
    </w:p>
    <w:p>
      <w:pPr>
        <w:ind w:right="480" w:firstLine="1305"/>
        <w:spacing w:after="0" w:line="293" w:lineRule="auto"/>
        <w:tabs>
          <w:tab w:leader="none" w:pos="1751"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whether the Securities of the series are to be secured or unsecured, and, if secured, the terms upon which the Securities of such series shall be secured and any other additions or changes relating to such security; and</w:t>
      </w:r>
    </w:p>
    <w:p>
      <w:pPr>
        <w:spacing w:after="0" w:line="158" w:lineRule="exact"/>
        <w:rPr>
          <w:rFonts w:ascii="Arial" w:cs="Arial" w:eastAsia="Arial" w:hAnsi="Arial"/>
          <w:sz w:val="16"/>
          <w:szCs w:val="16"/>
          <w:color w:val="auto"/>
        </w:rPr>
      </w:pPr>
    </w:p>
    <w:p>
      <w:pPr>
        <w:ind w:right="440" w:firstLine="1305"/>
        <w:spacing w:after="0" w:line="293" w:lineRule="auto"/>
        <w:tabs>
          <w:tab w:leader="none" w:pos="176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other terms of the Securities of such series (which terms shall not be inconsistent with the provisions of the TIA, but may modify, amend, supplement or delete any of the terms of this Indenture with respect to such series).</w:t>
      </w:r>
    </w:p>
    <w:p>
      <w:pPr>
        <w:spacing w:after="0" w:line="15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All Securities of any one series shall be substantially identical, except as to denomination and except as may otherwise be provided herein or set forth in a Company Order or in one or more indentures supplemental hereto.</w:t>
      </w:r>
    </w:p>
    <w:p>
      <w:pPr>
        <w:spacing w:after="0" w:line="15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3.02</w:t>
      </w:r>
      <w:r>
        <w:rPr>
          <w:sz w:val="20"/>
          <w:szCs w:val="20"/>
          <w:color w:val="auto"/>
        </w:rPr>
        <w:tab/>
      </w:r>
      <w:r>
        <w:rPr>
          <w:rFonts w:ascii="Arial" w:cs="Arial" w:eastAsia="Arial" w:hAnsi="Arial"/>
          <w:sz w:val="14"/>
          <w:szCs w:val="14"/>
          <w:u w:val="single" w:color="auto"/>
          <w:color w:val="auto"/>
        </w:rPr>
        <w:t>Denominations</w:t>
      </w:r>
      <w:r>
        <w:rPr>
          <w:rFonts w:ascii="Arial" w:cs="Arial" w:eastAsia="Arial" w:hAnsi="Arial"/>
          <w:sz w:val="14"/>
          <w:szCs w:val="14"/>
          <w:color w:val="auto"/>
        </w:rPr>
        <w:t>.</w:t>
      </w:r>
    </w:p>
    <w:p>
      <w:pPr>
        <w:spacing w:after="0" w:line="221" w:lineRule="exact"/>
        <w:rPr>
          <w:sz w:val="20"/>
          <w:szCs w:val="20"/>
          <w:color w:val="auto"/>
        </w:rPr>
      </w:pPr>
    </w:p>
    <w:p>
      <w:pPr>
        <w:ind w:right="180" w:firstLine="486"/>
        <w:spacing w:after="0" w:line="293" w:lineRule="auto"/>
        <w:rPr>
          <w:sz w:val="20"/>
          <w:szCs w:val="20"/>
          <w:color w:val="auto"/>
        </w:rPr>
      </w:pPr>
      <w:r>
        <w:rPr>
          <w:rFonts w:ascii="Arial" w:cs="Arial" w:eastAsia="Arial" w:hAnsi="Arial"/>
          <w:sz w:val="16"/>
          <w:szCs w:val="16"/>
          <w:color w:val="auto"/>
        </w:rPr>
        <w:t>In the absence of any specification pursuant to Section 3.01 with respect to Securities of any series, the Securities of such series shall be issuable only as Securities in denominations of any integral multiple of $1,000, and shall be payable only in U.S. Dollars.</w:t>
      </w:r>
    </w:p>
    <w:p>
      <w:pPr>
        <w:spacing w:after="0" w:line="15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3.03</w:t>
      </w:r>
      <w:r>
        <w:rPr>
          <w:sz w:val="20"/>
          <w:szCs w:val="20"/>
          <w:color w:val="auto"/>
        </w:rPr>
        <w:tab/>
      </w:r>
      <w:r>
        <w:rPr>
          <w:rFonts w:ascii="Arial" w:cs="Arial" w:eastAsia="Arial" w:hAnsi="Arial"/>
          <w:sz w:val="15"/>
          <w:szCs w:val="15"/>
          <w:u w:val="single" w:color="auto"/>
          <w:color w:val="auto"/>
        </w:rPr>
        <w:t>Execution, Authentication, Delivery and Dating</w:t>
      </w:r>
      <w:r>
        <w:rPr>
          <w:rFonts w:ascii="Arial" w:cs="Arial" w:eastAsia="Arial" w:hAnsi="Arial"/>
          <w:sz w:val="15"/>
          <w:szCs w:val="15"/>
          <w:color w:val="auto"/>
        </w:rPr>
        <w:t>.</w:t>
      </w:r>
    </w:p>
    <w:p>
      <w:pPr>
        <w:spacing w:after="0" w:line="221" w:lineRule="exact"/>
        <w:rPr>
          <w:sz w:val="20"/>
          <w:szCs w:val="20"/>
          <w:color w:val="auto"/>
        </w:rPr>
      </w:pPr>
    </w:p>
    <w:p>
      <w:pPr>
        <w:ind w:right="220" w:firstLine="1305"/>
        <w:spacing w:after="0" w:line="278" w:lineRule="auto"/>
        <w:tabs>
          <w:tab w:leader="none" w:pos="167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Securities shall be executed in the name and on behalf of the Company by the manual or facsimile signature of its Chairman of the Board of Directors, its Chief Executive Officer, President, one of its Vice Presidents or Treasurer. If the Person whose signature is on a Security no longer holds that office at the time the Security is authenticated and delivered, the Security shall nevertheless be valid.</w:t>
      </w:r>
    </w:p>
    <w:p>
      <w:pPr>
        <w:spacing w:after="0" w:line="170" w:lineRule="exact"/>
        <w:rPr>
          <w:rFonts w:ascii="Arial" w:cs="Arial" w:eastAsia="Arial" w:hAnsi="Arial"/>
          <w:sz w:val="16"/>
          <w:szCs w:val="16"/>
          <w:color w:val="auto"/>
        </w:rPr>
      </w:pPr>
    </w:p>
    <w:p>
      <w:pPr>
        <w:ind w:firstLine="1305"/>
        <w:spacing w:after="0" w:line="271" w:lineRule="auto"/>
        <w:tabs>
          <w:tab w:leader="none" w:pos="1688" w:val="left"/>
        </w:tabs>
        <w:numPr>
          <w:ilvl w:val="0"/>
          <w:numId w:val="38"/>
        </w:numPr>
        <w:rPr>
          <w:rFonts w:ascii="Arial" w:cs="Arial" w:eastAsia="Arial" w:hAnsi="Arial"/>
          <w:sz w:val="16"/>
          <w:szCs w:val="16"/>
          <w:color w:val="auto"/>
        </w:rPr>
      </w:pPr>
      <w:r>
        <w:rPr>
          <w:rFonts w:ascii="Arial" w:cs="Arial" w:eastAsia="Arial" w:hAnsi="Arial"/>
          <w:sz w:val="16"/>
          <w:szCs w:val="16"/>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if required pursuant to Section 3.01, a supplemental indenture or Company Order setting forth the terms of the Securities of a series. The Trustee shall thereupon authenticate and deliver such Securities without any further action by the Company. The Company Order shall specify the amount of Securities to be authenticated and the date on which the original issue of Securities is to be authenticated.</w:t>
      </w:r>
    </w:p>
    <w:p>
      <w:pPr>
        <w:spacing w:after="0" w:line="176" w:lineRule="exact"/>
        <w:rPr>
          <w:rFonts w:ascii="Arial" w:cs="Arial" w:eastAsia="Arial" w:hAnsi="Arial"/>
          <w:sz w:val="16"/>
          <w:szCs w:val="16"/>
          <w:color w:val="auto"/>
        </w:rPr>
      </w:pPr>
    </w:p>
    <w:p>
      <w:pPr>
        <w:jc w:val="both"/>
        <w:ind w:right="180" w:firstLine="1305"/>
        <w:spacing w:after="0" w:line="278" w:lineRule="auto"/>
        <w:tabs>
          <w:tab w:leader="none" w:pos="1679"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authenticating the first Securities of any series and accepting the additional responsibilities under this Indenture in relation to such Securities the Trustee shall receive, and (subject to Section 11.02) shall be fully protected in relying upon an Officer’s Certificate and an Opinion of Counsel, each prepared in accordance with Section 16.01 stating that the conditions precedent, if any, provided for in the Indenture have been complied with.</w:t>
      </w:r>
    </w:p>
    <w:p>
      <w:pPr>
        <w:spacing w:after="0" w:line="170" w:lineRule="exact"/>
        <w:rPr>
          <w:rFonts w:ascii="Arial" w:cs="Arial" w:eastAsia="Arial" w:hAnsi="Arial"/>
          <w:sz w:val="16"/>
          <w:szCs w:val="16"/>
          <w:color w:val="auto"/>
        </w:rPr>
      </w:pPr>
    </w:p>
    <w:p>
      <w:pPr>
        <w:jc w:val="both"/>
        <w:ind w:right="140" w:firstLine="1305"/>
        <w:spacing w:after="0" w:line="278" w:lineRule="auto"/>
        <w:tabs>
          <w:tab w:leader="none" w:pos="168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Trustee shall have the right to decline to authenticate and deliver the Securities under this Section 3.03 if the issue of the Securities pursuant to this Indenture will affect the Trustee’s own rights, duties or immunities under the Securities and this Indenture or otherwise in a manner which is not reasonably acceptable to the Trustee.</w:t>
      </w:r>
    </w:p>
    <w:p>
      <w:pPr>
        <w:spacing w:after="0" w:line="170" w:lineRule="exact"/>
        <w:rPr>
          <w:rFonts w:ascii="Arial" w:cs="Arial" w:eastAsia="Arial" w:hAnsi="Arial"/>
          <w:sz w:val="16"/>
          <w:szCs w:val="16"/>
          <w:color w:val="auto"/>
        </w:rPr>
      </w:pPr>
    </w:p>
    <w:p>
      <w:pPr>
        <w:ind w:left="1680" w:hanging="375"/>
        <w:spacing w:after="0"/>
        <w:tabs>
          <w:tab w:leader="none" w:pos="16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Each Security shall be dated the date of its authentication, except as otherwise provided pursuant to Section 3.01 with respect to the Securities of such</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series.</w:t>
      </w:r>
    </w:p>
    <w:p>
      <w:pPr>
        <w:spacing w:after="0" w:line="217" w:lineRule="exact"/>
        <w:rPr>
          <w:rFonts w:ascii="Arial" w:cs="Arial" w:eastAsia="Arial" w:hAnsi="Arial"/>
          <w:sz w:val="14"/>
          <w:szCs w:val="14"/>
          <w:color w:val="auto"/>
        </w:rPr>
      </w:pPr>
    </w:p>
    <w:p>
      <w:pPr>
        <w:jc w:val="both"/>
        <w:ind w:right="20" w:firstLine="1305"/>
        <w:spacing w:after="0" w:line="278" w:lineRule="auto"/>
        <w:tabs>
          <w:tab w:leader="none" w:pos="1661"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Notwithstanding the provisions of Section 3.01 and of this Section 3.03, if all of the Securities of any series are not to be originally issued at the same time, then the documents required to be delivered pursuant to this Section 3.03 must be delivered only once prior to the authentication and delivery of the first Security of such series;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39" w:name="page40"/>
    <w:bookmarkEnd w:id="39"/>
    <w:p>
      <w:pPr>
        <w:ind w:right="60" w:firstLine="1305"/>
        <w:spacing w:after="0" w:line="293" w:lineRule="auto"/>
        <w:tabs>
          <w:tab w:leader="none" w:pos="1688" w:val="left"/>
        </w:tabs>
        <w:numPr>
          <w:ilvl w:val="0"/>
          <w:numId w:val="39"/>
        </w:numPr>
        <w:rPr>
          <w:rFonts w:ascii="Arial" w:cs="Arial" w:eastAsia="Arial" w:hAnsi="Arial"/>
          <w:sz w:val="15"/>
          <w:szCs w:val="15"/>
          <w:color w:val="auto"/>
        </w:rPr>
      </w:pPr>
      <w:r>
        <w:rPr>
          <w:rFonts w:ascii="Arial" w:cs="Arial" w:eastAsia="Arial" w:hAnsi="Arial"/>
          <w:sz w:val="15"/>
          <w:szCs w:val="15"/>
          <w:color w:val="auto"/>
        </w:rPr>
        <w:t>If the Company shall establish pursuant to Section 3.01 that the Securities of a series are to be issued in whole or in part in the form of one or more Global Securities, then the Company shall execute and the Trustee shall authenticate and deliver one or more Global Securities that (i) shall represent an aggregate amount equal to the aggregate principal amount of the Outstanding Securities of such series to be represented by such Global Securities, (ii) shall be registered, if in registered form, in the name of the Depositary for such Global Security or Global Securities or the nominee of such Depositary, (iii) shall be delivered by the Trustee to such Depositary or pursuant to such Depositary’s instruction and (iv) shall bear a legend substantially to the following effect:</w:t>
      </w:r>
    </w:p>
    <w:p>
      <w:pPr>
        <w:spacing w:after="0" w:line="163" w:lineRule="exact"/>
        <w:rPr>
          <w:sz w:val="20"/>
          <w:szCs w:val="20"/>
          <w:color w:val="auto"/>
        </w:rPr>
      </w:pPr>
    </w:p>
    <w:p>
      <w:pPr>
        <w:ind w:right="260" w:firstLine="1297"/>
        <w:spacing w:after="0" w:line="278" w:lineRule="auto"/>
        <w:rPr>
          <w:sz w:val="20"/>
          <w:szCs w:val="20"/>
          <w:color w:val="auto"/>
        </w:rPr>
      </w:pPr>
      <w:r>
        <w:rPr>
          <w:rFonts w:ascii="Arial" w:cs="Arial" w:eastAsia="Arial" w:hAnsi="Arial"/>
          <w:sz w:val="16"/>
          <w:szCs w:val="16"/>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71" w:lineRule="exact"/>
        <w:rPr>
          <w:sz w:val="20"/>
          <w:szCs w:val="20"/>
          <w:color w:val="auto"/>
        </w:rPr>
      </w:pPr>
    </w:p>
    <w:p>
      <w:pPr>
        <w:ind w:firstLine="1297"/>
        <w:spacing w:after="0" w:line="270" w:lineRule="auto"/>
        <w:rPr>
          <w:sz w:val="20"/>
          <w:szCs w:val="20"/>
          <w:color w:val="auto"/>
        </w:rPr>
      </w:pPr>
      <w:r>
        <w:rPr>
          <w:rFonts w:ascii="Arial" w:cs="Arial" w:eastAsia="Arial" w:hAnsi="Arial"/>
          <w:sz w:val="16"/>
          <w:szCs w:val="16"/>
          <w:color w:val="auto"/>
        </w:rPr>
        <w:t>UNLESS THIS CERTIFICATE IS PRESENTED BY AN AUTHORIZED REPRESENTATIVE OF THE DEPOSITARY TO THE COMPANY OR ITS AGENT FOR REGISTRATION OF TRANSFER, EXCHANGE OR PAYMENT, AND ANY CERTIFICATE ISSUED IS REGISTERED IN THE NAME OF THE NOMINEE OF THE DEPOSITARY OR IN SUCH OTHER NAME AS IS REQUESTED BY AN AUTHORIZED REPRESENTATIVE OF THE DEPOSITARY (AND ANY PAYMENT HEREON IS MADE TO THE NOMINEE OF THE DEPOSITARY OR TO SUCH OTHER ENTITY AS IS REQUESTED BY AN AUTHORIZED REPRESENTATIVE OF THE DEPOSITARY), ANY TRANSFER, PLEDGE OR OTHER USE HEREOF FOR VALUE OR OTHERWISE BY OR TO ANY PERSON IS WRONGFUL SINCE THE REGISTERED OWNER HEREOF, THE NOMINEE OF THE DEPOSITARY, HAS AN INTEREST HEREIN.</w:t>
      </w:r>
    </w:p>
    <w:p>
      <w:pPr>
        <w:spacing w:after="0" w:line="176" w:lineRule="exact"/>
        <w:rPr>
          <w:sz w:val="20"/>
          <w:szCs w:val="20"/>
          <w:color w:val="auto"/>
        </w:rPr>
      </w:pPr>
    </w:p>
    <w:p>
      <w:pPr>
        <w:jc w:val="both"/>
        <w:ind w:right="60" w:firstLine="1297"/>
        <w:spacing w:after="0" w:line="305" w:lineRule="auto"/>
        <w:rPr>
          <w:sz w:val="20"/>
          <w:szCs w:val="20"/>
          <w:color w:val="auto"/>
        </w:rPr>
      </w:pPr>
      <w:r>
        <w:rPr>
          <w:rFonts w:ascii="Arial" w:cs="Arial" w:eastAsia="Arial" w:hAnsi="Arial"/>
          <w:sz w:val="15"/>
          <w:szCs w:val="15"/>
          <w:color w:val="auto"/>
        </w:rPr>
        <w:t>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53" w:lineRule="exact"/>
        <w:rPr>
          <w:sz w:val="20"/>
          <w:szCs w:val="20"/>
          <w:color w:val="auto"/>
        </w:rPr>
      </w:pPr>
    </w:p>
    <w:p>
      <w:pPr>
        <w:ind w:right="500" w:firstLine="1297"/>
        <w:spacing w:after="0" w:line="293" w:lineRule="auto"/>
        <w:rPr>
          <w:sz w:val="20"/>
          <w:szCs w:val="20"/>
          <w:color w:val="auto"/>
        </w:rPr>
      </w:pPr>
      <w:r>
        <w:rPr>
          <w:rFonts w:ascii="Arial" w:cs="Arial" w:eastAsia="Arial" w:hAnsi="Arial"/>
          <w:sz w:val="16"/>
          <w:szCs w:val="16"/>
          <w:color w:val="auto"/>
        </w:rPr>
        <w:t>The aggregate principal amount of each Global Security may from time to time be increased or decreased by adjustments made on the records of the Security Custodian, as provided in this Indenture.</w:t>
      </w:r>
    </w:p>
    <w:p>
      <w:pPr>
        <w:spacing w:after="0" w:line="159" w:lineRule="exact"/>
        <w:rPr>
          <w:sz w:val="20"/>
          <w:szCs w:val="20"/>
          <w:color w:val="auto"/>
        </w:rPr>
      </w:pPr>
    </w:p>
    <w:p>
      <w:pPr>
        <w:ind w:right="380" w:firstLine="1305"/>
        <w:spacing w:after="0" w:line="293" w:lineRule="auto"/>
        <w:tabs>
          <w:tab w:leader="none" w:pos="1688"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Depositary designated pursuant to Section 3.01 for a Global Security in registered form must, at the time of its designation and at all times while it serves as such Depositary, be a clearing agency registered under the Exchange Act and any other applicable statute or regulation.</w:t>
      </w:r>
    </w:p>
    <w:p>
      <w:pPr>
        <w:spacing w:after="0" w:line="158" w:lineRule="exact"/>
        <w:rPr>
          <w:rFonts w:ascii="Arial" w:cs="Arial" w:eastAsia="Arial" w:hAnsi="Arial"/>
          <w:sz w:val="16"/>
          <w:szCs w:val="16"/>
          <w:color w:val="auto"/>
        </w:rPr>
      </w:pPr>
    </w:p>
    <w:p>
      <w:pPr>
        <w:ind w:right="20" w:firstLine="1305"/>
        <w:spacing w:after="0" w:line="289" w:lineRule="auto"/>
        <w:tabs>
          <w:tab w:leader="none" w:pos="1652" w:val="left"/>
        </w:tabs>
        <w:numPr>
          <w:ilvl w:val="0"/>
          <w:numId w:val="40"/>
        </w:numPr>
        <w:rPr>
          <w:rFonts w:ascii="Arial" w:cs="Arial" w:eastAsia="Arial" w:hAnsi="Arial"/>
          <w:sz w:val="15"/>
          <w:szCs w:val="15"/>
          <w:color w:val="auto"/>
        </w:rPr>
      </w:pPr>
      <w:r>
        <w:rPr>
          <w:rFonts w:ascii="Arial" w:cs="Arial" w:eastAsia="Arial" w:hAnsi="Arial"/>
          <w:sz w:val="15"/>
          <w:szCs w:val="15"/>
          <w:color w:val="auto"/>
        </w:rPr>
        <w:t>Members of, or participants in, the Depositary (“Members”) shall have no rights under this Indenture with respect to any Global Security held on their behalf by the Depositary or by the Security Custodian under such Global Security, and the Depositary may be treated by the Company, the Trustee, the Paying Agent and the Registrar and any of their agents as the absolute owner of such Global Security for all purposes whatsoever. Notwithstanding the foregoing, nothing herein shall prevent the Company, the Trustee, the Paying Agent or the Registrar or any of their agents from giving effect to any written certification, proxy or other authorization furnished by the Depositary or impair, as between the Depositary and its Members, the operation of customary practices of the Depositary governing the exercise of the rights of an owner of a beneficial interest in any Global Security. The Holder of a Global Security may grant proxies and otherwise authorize any Person, including Members and Persons that may hold interests through Members, to take any action that a Holder is entitled to take under this Indenture or the Securities.</w:t>
      </w:r>
    </w:p>
    <w:p>
      <w:pPr>
        <w:spacing w:after="0" w:line="166" w:lineRule="exact"/>
        <w:rPr>
          <w:rFonts w:ascii="Arial" w:cs="Arial" w:eastAsia="Arial" w:hAnsi="Arial"/>
          <w:sz w:val="15"/>
          <w:szCs w:val="15"/>
          <w:color w:val="auto"/>
        </w:rPr>
      </w:pPr>
    </w:p>
    <w:p>
      <w:pPr>
        <w:ind w:right="140" w:firstLine="1305"/>
        <w:spacing w:after="0" w:line="273" w:lineRule="auto"/>
        <w:tabs>
          <w:tab w:leader="none" w:pos="16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Security shall be entitled to any benefit under this Indenture or be valid or obligatory for any purpose unless there appears on such Security a certificate of authentication substantially in one of the forms provided for herein duly executed by the Trustee or by an Authenticating Agent by manual or facsimile signature of an authorized signatory of the Trustee, and such certificate upon any Security shall be conclusive evidence, and the only evidence, that such Security has been duly authenticated and delivered hereunder and is entitled to the benefits of this Indenture.</w:t>
      </w:r>
    </w:p>
    <w:p>
      <w:pPr>
        <w:spacing w:after="0" w:line="176"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3.04</w:t>
      </w:r>
      <w:r>
        <w:rPr>
          <w:sz w:val="20"/>
          <w:szCs w:val="20"/>
          <w:color w:val="auto"/>
        </w:rPr>
        <w:tab/>
      </w:r>
      <w:r>
        <w:rPr>
          <w:rFonts w:ascii="Arial" w:cs="Arial" w:eastAsia="Arial" w:hAnsi="Arial"/>
          <w:sz w:val="14"/>
          <w:szCs w:val="14"/>
          <w:u w:val="single" w:color="auto"/>
          <w:color w:val="auto"/>
        </w:rPr>
        <w:t>Temporary Securities</w:t>
      </w:r>
      <w:r>
        <w:rPr>
          <w:rFonts w:ascii="Arial" w:cs="Arial" w:eastAsia="Arial" w:hAnsi="Arial"/>
          <w:sz w:val="14"/>
          <w:szCs w:val="14"/>
          <w:color w:val="auto"/>
        </w:rPr>
        <w:t>.</w:t>
      </w:r>
    </w:p>
    <w:p>
      <w:pPr>
        <w:spacing w:after="0" w:line="221" w:lineRule="exact"/>
        <w:rPr>
          <w:sz w:val="20"/>
          <w:szCs w:val="20"/>
          <w:color w:val="auto"/>
        </w:rPr>
      </w:pPr>
    </w:p>
    <w:p>
      <w:pPr>
        <w:ind w:right="40" w:firstLine="1305"/>
        <w:spacing w:after="0" w:line="269" w:lineRule="auto"/>
        <w:tabs>
          <w:tab w:leader="none" w:pos="1679" w:val="left"/>
        </w:tabs>
        <w:numPr>
          <w:ilvl w:val="0"/>
          <w:numId w:val="41"/>
        </w:numPr>
        <w:rPr>
          <w:rFonts w:ascii="Arial" w:cs="Arial" w:eastAsia="Arial" w:hAnsi="Arial"/>
          <w:sz w:val="16"/>
          <w:szCs w:val="16"/>
          <w:color w:val="auto"/>
        </w:rPr>
      </w:pPr>
      <w:r>
        <w:rPr>
          <w:rFonts w:ascii="Arial" w:cs="Arial" w:eastAsia="Arial" w:hAnsi="Arial"/>
          <w:sz w:val="16"/>
          <w:szCs w:val="16"/>
          <w:color w:val="auto"/>
        </w:rPr>
        <w:t>Pending the preparation of definitive Securities of any series, the Company may execute, and upon Company Order the Trustee shall authenticate and deliver, temporary Securities that are printed, lithographed, typewritten, mimeographed or otherwise reproduced, in any authorized denomination,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Any such temporary Security may be in the form of one or more Global Securities, representing all or a portion of the Outstanding Securities of such series. Every such temporary Security shall be executed by the Company and shall be authenticated and delivered by the Trustee upon the same conditions and in substantially the same manner, and with the same effect, as the definitive Security or Securities in lieu of which it is issued.</w:t>
      </w:r>
    </w:p>
    <w:p>
      <w:pPr>
        <w:spacing w:after="0" w:line="177" w:lineRule="exact"/>
        <w:rPr>
          <w:rFonts w:ascii="Arial" w:cs="Arial" w:eastAsia="Arial" w:hAnsi="Arial"/>
          <w:sz w:val="16"/>
          <w:szCs w:val="16"/>
          <w:color w:val="auto"/>
        </w:rPr>
      </w:pPr>
    </w:p>
    <w:p>
      <w:pPr>
        <w:ind w:right="20" w:firstLine="1305"/>
        <w:spacing w:after="0" w:line="291" w:lineRule="auto"/>
        <w:tabs>
          <w:tab w:leader="none" w:pos="1688" w:val="left"/>
        </w:tabs>
        <w:numPr>
          <w:ilvl w:val="0"/>
          <w:numId w:val="41"/>
        </w:numPr>
        <w:rPr>
          <w:rFonts w:ascii="Arial" w:cs="Arial" w:eastAsia="Arial" w:hAnsi="Arial"/>
          <w:sz w:val="15"/>
          <w:szCs w:val="15"/>
          <w:color w:val="auto"/>
        </w:rPr>
      </w:pPr>
      <w:r>
        <w:rPr>
          <w:rFonts w:ascii="Arial" w:cs="Arial" w:eastAsia="Arial" w:hAnsi="Arial"/>
          <w:sz w:val="15"/>
          <w:szCs w:val="15"/>
          <w:color w:val="auto"/>
        </w:rPr>
        <w:t>If temporary Securities of any series are issued, the Company will cause definitive Securities of such series to be prepared without unreasonable delay. After the preparation of definitive Securities of such series, the temporary Securities of such series shall be exchangeable for definitive Securities of such series upon surrender of such temporary Securities at the office or agency of the Company in a Place of Payment for such series, without charge to the Holder. Upon surrender for cancellation of any one or more temporary Securities of any series, the Company shall execute and the Trustee shall authenticate and deliver in exchange therefor a like principal amount of definitive Securities of the same series of authorized denominations and of like tenor. Until so exchanged, the temporary Securities of any series shall in all respects be entitled to the same benefits under this Indenture as definitive Securities of such series.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0" w:name="page41"/>
    <w:bookmarkEnd w:id="40"/>
    <w:p>
      <w:pPr>
        <w:ind w:right="40" w:firstLine="1305"/>
        <w:spacing w:after="0" w:line="305" w:lineRule="auto"/>
        <w:tabs>
          <w:tab w:leader="none" w:pos="1679" w:val="left"/>
        </w:tabs>
        <w:numPr>
          <w:ilvl w:val="0"/>
          <w:numId w:val="42"/>
        </w:numPr>
        <w:rPr>
          <w:rFonts w:ascii="Arial" w:cs="Arial" w:eastAsia="Arial" w:hAnsi="Arial"/>
          <w:sz w:val="15"/>
          <w:szCs w:val="15"/>
          <w:color w:val="auto"/>
        </w:rPr>
      </w:pPr>
      <w:r>
        <w:rPr>
          <w:rFonts w:ascii="Arial" w:cs="Arial" w:eastAsia="Arial" w:hAnsi="Arial"/>
          <w:sz w:val="15"/>
          <w:szCs w:val="15"/>
          <w:color w:val="auto"/>
        </w:rPr>
        <w:t>Upon any exchange of a portion of a temporary Global Security for a definitive Global Security or for the Individual Securities represented thereby pursuant to this Section 3.04 or Section 3.06, the temporary Global Security shall be endorsed by the Trustee to reflect the reduction of the principal amount evidenced thereby, whereupon the principal amount of such temporary Global Security shall be reduced for all purposes by the amount so exchanged and endorsed.</w:t>
      </w:r>
    </w:p>
    <w:p>
      <w:pPr>
        <w:spacing w:after="0" w:line="153"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3.05</w:t>
      </w:r>
      <w:r>
        <w:rPr>
          <w:sz w:val="20"/>
          <w:szCs w:val="20"/>
          <w:color w:val="auto"/>
        </w:rPr>
        <w:tab/>
      </w:r>
      <w:r>
        <w:rPr>
          <w:rFonts w:ascii="Arial" w:cs="Arial" w:eastAsia="Arial" w:hAnsi="Arial"/>
          <w:sz w:val="14"/>
          <w:szCs w:val="14"/>
          <w:u w:val="single" w:color="auto"/>
          <w:color w:val="auto"/>
        </w:rPr>
        <w:t>Registrar and Paying Agent</w:t>
      </w:r>
      <w:r>
        <w:rPr>
          <w:rFonts w:ascii="Arial" w:cs="Arial" w:eastAsia="Arial" w:hAnsi="Arial"/>
          <w:sz w:val="14"/>
          <w:szCs w:val="14"/>
          <w:color w:val="auto"/>
        </w:rPr>
        <w:t>.</w:t>
      </w:r>
    </w:p>
    <w:p>
      <w:pPr>
        <w:spacing w:after="0" w:line="221" w:lineRule="exact"/>
        <w:rPr>
          <w:sz w:val="20"/>
          <w:szCs w:val="20"/>
          <w:color w:val="auto"/>
        </w:rPr>
      </w:pPr>
    </w:p>
    <w:p>
      <w:pPr>
        <w:ind w:firstLine="1305"/>
        <w:spacing w:after="0" w:line="291" w:lineRule="auto"/>
        <w:tabs>
          <w:tab w:leader="none" w:pos="1679"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Company will keep, at an office or agency to be maintained by it in a Place of Payment where Securities may be presented for registration or presented and surrendered for registration of transfer or of exchange, and where Securities of any series that are convertible or exchangeable may be surrendered for conversion or exchange, as applicable (the “Registrar”), a security register for the registration and the registration of transfer or of exchange of the Securities (the registers maintained in such office and in any other office or agency of the Company in a Place of Payment being herein sometimes collectively referred to as the “Register”), as in this Indenture provided, which Register shall at all reasonable times be open for inspection by the Trustee. Such Register shall be in written form or in any other form capable of being converted into written form within a reasonable time. The Company may have one or more co-Registrars; the term “Registrar” includes any co-registrar.</w:t>
      </w:r>
    </w:p>
    <w:p>
      <w:pPr>
        <w:spacing w:after="0" w:line="163" w:lineRule="exact"/>
        <w:rPr>
          <w:rFonts w:ascii="Arial" w:cs="Arial" w:eastAsia="Arial" w:hAnsi="Arial"/>
          <w:sz w:val="15"/>
          <w:szCs w:val="15"/>
          <w:color w:val="auto"/>
        </w:rPr>
      </w:pPr>
    </w:p>
    <w:p>
      <w:pPr>
        <w:jc w:val="both"/>
        <w:ind w:right="100" w:firstLine="1305"/>
        <w:spacing w:after="0" w:line="273" w:lineRule="auto"/>
        <w:tabs>
          <w:tab w:leader="none" w:pos="168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shall enter into an appropriate agency agreement with any Registrar or co-Registrar not a party to this Indenture. The agreement shall implement the provisions of this Indenture that relate to such agent. The Company shall notify the Trustee of the name and address of each such agent. If the Company fails to maintain a Registrar for any series, the Trustee shall act as such and shall be entitled to appropriate compensation therefor pursuant to Section 11.01. The Company or any Affiliate thereof may act as Registrar, co-Registrar or transfer agent.</w:t>
      </w:r>
    </w:p>
    <w:p>
      <w:pPr>
        <w:spacing w:after="0" w:line="175" w:lineRule="exact"/>
        <w:rPr>
          <w:rFonts w:ascii="Arial" w:cs="Arial" w:eastAsia="Arial" w:hAnsi="Arial"/>
          <w:sz w:val="16"/>
          <w:szCs w:val="16"/>
          <w:color w:val="auto"/>
        </w:rPr>
      </w:pPr>
    </w:p>
    <w:p>
      <w:pPr>
        <w:ind w:right="200" w:firstLine="1305"/>
        <w:spacing w:after="0" w:line="293" w:lineRule="auto"/>
        <w:tabs>
          <w:tab w:leader="none" w:pos="167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hereby appoints the Trustee at its Corporate Trust Office as Registrar in connection with the Securities and this Indenture, until such time as another Person is appointed as such.</w:t>
      </w:r>
    </w:p>
    <w:p>
      <w:pPr>
        <w:spacing w:after="0" w:line="15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3.06</w:t>
      </w:r>
      <w:r>
        <w:rPr>
          <w:sz w:val="20"/>
          <w:szCs w:val="20"/>
          <w:color w:val="auto"/>
        </w:rPr>
        <w:tab/>
      </w:r>
      <w:r>
        <w:rPr>
          <w:rFonts w:ascii="Arial" w:cs="Arial" w:eastAsia="Arial" w:hAnsi="Arial"/>
          <w:sz w:val="14"/>
          <w:szCs w:val="14"/>
          <w:u w:val="single" w:color="auto"/>
          <w:color w:val="auto"/>
        </w:rPr>
        <w:t>Transfer and Exchange</w:t>
      </w:r>
      <w:r>
        <w:rPr>
          <w:rFonts w:ascii="Arial" w:cs="Arial" w:eastAsia="Arial" w:hAnsi="Arial"/>
          <w:sz w:val="14"/>
          <w:szCs w:val="14"/>
          <w:color w:val="auto"/>
        </w:rPr>
        <w:t>.</w:t>
      </w:r>
    </w:p>
    <w:p>
      <w:pPr>
        <w:spacing w:after="0" w:line="221" w:lineRule="exact"/>
        <w:rPr>
          <w:sz w:val="20"/>
          <w:szCs w:val="20"/>
          <w:color w:val="auto"/>
        </w:rPr>
      </w:pPr>
    </w:p>
    <w:p>
      <w:pPr>
        <w:ind w:left="1680" w:hanging="375"/>
        <w:spacing w:after="0"/>
        <w:tabs>
          <w:tab w:leader="none" w:pos="1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Transfer.</w:t>
      </w:r>
    </w:p>
    <w:p>
      <w:pPr>
        <w:spacing w:after="0" w:line="221" w:lineRule="exact"/>
        <w:rPr>
          <w:rFonts w:ascii="Arial" w:cs="Arial" w:eastAsia="Arial" w:hAnsi="Arial"/>
          <w:sz w:val="16"/>
          <w:szCs w:val="16"/>
          <w:color w:val="auto"/>
        </w:rPr>
      </w:pPr>
    </w:p>
    <w:p>
      <w:pPr>
        <w:jc w:val="both"/>
        <w:ind w:right="260" w:firstLine="2115"/>
        <w:spacing w:after="0" w:line="273" w:lineRule="auto"/>
        <w:tabs>
          <w:tab w:leader="none" w:pos="2462" w:val="left"/>
        </w:tabs>
        <w:numPr>
          <w:ilvl w:val="1"/>
          <w:numId w:val="44"/>
        </w:numPr>
        <w:rPr>
          <w:rFonts w:ascii="Arial" w:cs="Arial" w:eastAsia="Arial" w:hAnsi="Arial"/>
          <w:sz w:val="16"/>
          <w:szCs w:val="16"/>
          <w:color w:val="auto"/>
        </w:rPr>
      </w:pPr>
      <w:r>
        <w:rPr>
          <w:rFonts w:ascii="Arial" w:cs="Arial" w:eastAsia="Arial" w:hAnsi="Arial"/>
          <w:sz w:val="16"/>
          <w:szCs w:val="16"/>
          <w:color w:val="auto"/>
        </w:rPr>
        <w:t>Upon surrender for registration of transfer of any Security of any series at the Registrar the Company shall execute, and the Trustee or any Authenticating Agent shall authenticate and deliver, in the name of the designated transferee, one or more new Securities of the same series for like aggregate principal amount of any authorized denomination or denominations. The transfer of any Security shall not be valid as against the Company or the Trustee unless registered at the Registrar at the request of the Holder, or at the request of his, her or its attorney duly authorized in writing.</w:t>
      </w:r>
    </w:p>
    <w:p>
      <w:pPr>
        <w:spacing w:after="0" w:line="175" w:lineRule="exact"/>
        <w:rPr>
          <w:rFonts w:ascii="Arial" w:cs="Arial" w:eastAsia="Arial" w:hAnsi="Arial"/>
          <w:sz w:val="16"/>
          <w:szCs w:val="16"/>
          <w:color w:val="auto"/>
        </w:rPr>
      </w:pPr>
    </w:p>
    <w:p>
      <w:pPr>
        <w:ind w:right="160" w:firstLine="2115"/>
        <w:spacing w:after="0" w:line="273" w:lineRule="auto"/>
        <w:tabs>
          <w:tab w:leader="none" w:pos="2507" w:val="left"/>
        </w:tabs>
        <w:numPr>
          <w:ilvl w:val="1"/>
          <w:numId w:val="44"/>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unless and until it is exchanged in whole or in part for the Individual Securities represented thereby, a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75" w:lineRule="exact"/>
        <w:rPr>
          <w:rFonts w:ascii="Arial" w:cs="Arial" w:eastAsia="Arial" w:hAnsi="Arial"/>
          <w:sz w:val="16"/>
          <w:szCs w:val="16"/>
          <w:color w:val="auto"/>
        </w:rPr>
      </w:pPr>
    </w:p>
    <w:p>
      <w:pPr>
        <w:ind w:left="1700" w:hanging="395"/>
        <w:spacing w:after="0"/>
        <w:tabs>
          <w:tab w:leader="none" w:pos="1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Exchange.</w:t>
      </w:r>
    </w:p>
    <w:p>
      <w:pPr>
        <w:spacing w:after="0" w:line="221" w:lineRule="exact"/>
        <w:rPr>
          <w:rFonts w:ascii="Arial" w:cs="Arial" w:eastAsia="Arial" w:hAnsi="Arial"/>
          <w:sz w:val="16"/>
          <w:szCs w:val="16"/>
          <w:color w:val="auto"/>
        </w:rPr>
      </w:pPr>
    </w:p>
    <w:p>
      <w:pPr>
        <w:ind w:right="100" w:firstLine="2115"/>
        <w:spacing w:after="0" w:line="278" w:lineRule="auto"/>
        <w:tabs>
          <w:tab w:leader="none" w:pos="2462" w:val="left"/>
        </w:tabs>
        <w:numPr>
          <w:ilvl w:val="1"/>
          <w:numId w:val="44"/>
        </w:numPr>
        <w:rPr>
          <w:rFonts w:ascii="Arial" w:cs="Arial" w:eastAsia="Arial" w:hAnsi="Arial"/>
          <w:sz w:val="16"/>
          <w:szCs w:val="16"/>
          <w:color w:val="auto"/>
        </w:rPr>
      </w:pPr>
      <w:r>
        <w:rPr>
          <w:rFonts w:ascii="Arial" w:cs="Arial" w:eastAsia="Arial" w:hAnsi="Arial"/>
          <w:sz w:val="16"/>
          <w:szCs w:val="16"/>
          <w:color w:val="auto"/>
        </w:rPr>
        <w:t>At the option of the Holder, Securities of any series (other than a Global Security, except as set forth below) may be exchanged for other Securities of the same series for like aggregate principal amount of any authorized denomination or denominations, upon surrender of the Securities to be exchanged at the Registrar.</w:t>
      </w:r>
    </w:p>
    <w:p>
      <w:pPr>
        <w:spacing w:after="0" w:line="170" w:lineRule="exact"/>
        <w:rPr>
          <w:rFonts w:ascii="Arial" w:cs="Arial" w:eastAsia="Arial" w:hAnsi="Arial"/>
          <w:sz w:val="16"/>
          <w:szCs w:val="16"/>
          <w:color w:val="auto"/>
        </w:rPr>
      </w:pPr>
    </w:p>
    <w:p>
      <w:pPr>
        <w:ind w:right="60" w:firstLine="2115"/>
        <w:spacing w:after="0" w:line="293" w:lineRule="auto"/>
        <w:tabs>
          <w:tab w:leader="none" w:pos="2507" w:val="left"/>
        </w:tabs>
        <w:numPr>
          <w:ilvl w:val="1"/>
          <w:numId w:val="44"/>
        </w:numPr>
        <w:rPr>
          <w:rFonts w:ascii="Arial" w:cs="Arial" w:eastAsia="Arial" w:hAnsi="Arial"/>
          <w:sz w:val="16"/>
          <w:szCs w:val="16"/>
          <w:color w:val="auto"/>
        </w:rPr>
      </w:pPr>
      <w:r>
        <w:rPr>
          <w:rFonts w:ascii="Arial" w:cs="Arial" w:eastAsia="Arial" w:hAnsi="Arial"/>
          <w:sz w:val="16"/>
          <w:szCs w:val="16"/>
          <w:color w:val="auto"/>
        </w:rPr>
        <w:t>Whenever any Securities are so surrendered for exchange, the Company shall execute, and the Trustee shall authenticate and deliver, the Securities that the Holder making the exchange is entitled to receive.</w:t>
      </w:r>
    </w:p>
    <w:p>
      <w:pPr>
        <w:spacing w:after="0" w:line="158" w:lineRule="exact"/>
        <w:rPr>
          <w:rFonts w:ascii="Arial" w:cs="Arial" w:eastAsia="Arial" w:hAnsi="Arial"/>
          <w:sz w:val="16"/>
          <w:szCs w:val="16"/>
          <w:color w:val="auto"/>
        </w:rPr>
      </w:pPr>
    </w:p>
    <w:p>
      <w:pPr>
        <w:ind w:right="340" w:firstLine="1305"/>
        <w:spacing w:after="0" w:line="293" w:lineRule="auto"/>
        <w:tabs>
          <w:tab w:leader="none" w:pos="1679"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Exchange of Global Securities for Individual Securities. Except as provided below, owners of beneficial interests in Global Securities will not be entitled to receive Individual Securities.</w:t>
      </w:r>
    </w:p>
    <w:p>
      <w:pPr>
        <w:spacing w:after="0" w:line="158" w:lineRule="exact"/>
        <w:rPr>
          <w:rFonts w:ascii="Arial" w:cs="Arial" w:eastAsia="Arial" w:hAnsi="Arial"/>
          <w:sz w:val="16"/>
          <w:szCs w:val="16"/>
          <w:color w:val="auto"/>
        </w:rPr>
      </w:pPr>
    </w:p>
    <w:p>
      <w:pPr>
        <w:ind w:right="120" w:firstLine="2115"/>
        <w:spacing w:after="0" w:line="271" w:lineRule="auto"/>
        <w:tabs>
          <w:tab w:leader="none" w:pos="2462"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Individual Securities shall be issued to all owners of beneficial interests in a Global Security in exchange for such interests if: (A) at any time the Depositary for the Securities of a series notifies the Company that it is unwilling or unable to continue as Depositary for the Securities of such series or if at any time the Depositary for the Securities of such series shall no longer be eligible under Section 3.03(h) and, in each case, a successor Depositary is not appointed by the Company within 90 days of such notice, or (B) the Company executes and delivers to the Trustee and the Registrar an Officer’s Certificate stating that such Global Security shall be so exchangeable.</w:t>
      </w:r>
    </w:p>
    <w:p>
      <w:pPr>
        <w:spacing w:after="0" w:line="177" w:lineRule="exact"/>
        <w:rPr>
          <w:sz w:val="20"/>
          <w:szCs w:val="20"/>
          <w:color w:val="auto"/>
        </w:rPr>
      </w:pPr>
    </w:p>
    <w:p>
      <w:pPr>
        <w:ind w:right="40" w:firstLine="2107"/>
        <w:spacing w:after="0" w:line="273" w:lineRule="auto"/>
        <w:rPr>
          <w:sz w:val="20"/>
          <w:szCs w:val="20"/>
          <w:color w:val="auto"/>
        </w:rPr>
      </w:pPr>
      <w:r>
        <w:rPr>
          <w:rFonts w:ascii="Arial" w:cs="Arial" w:eastAsia="Arial" w:hAnsi="Arial"/>
          <w:sz w:val="16"/>
          <w:szCs w:val="16"/>
          <w:color w:val="auto"/>
        </w:rPr>
        <w:t>In connection with the exchange of an entire Global Security for Individual Securities pursuant to this subsection (c), such Global Security shall be deemed to be surrendered to the Trustee for cancellation, and the Company shall execute, and the Trustee, upon receipt of a Company Order for the authentication and delivery of Individual Securities of such series, will authenticate and deliver to each beneficial owner identified by the Depositary in exchange for its beneficial interest in such Global Security, an equal aggregate principal amount of Individual Securities of authorized denominations.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1" w:name="page42"/>
    <w:bookmarkEnd w:id="41"/>
    <w:p>
      <w:pPr>
        <w:ind w:right="160" w:firstLine="2115"/>
        <w:spacing w:after="0" w:line="303" w:lineRule="auto"/>
        <w:tabs>
          <w:tab w:leader="none" w:pos="2507" w:val="left"/>
        </w:tabs>
        <w:numPr>
          <w:ilvl w:val="2"/>
          <w:numId w:val="45"/>
        </w:numPr>
        <w:rPr>
          <w:rFonts w:ascii="Arial" w:cs="Arial" w:eastAsia="Arial" w:hAnsi="Arial"/>
          <w:sz w:val="14"/>
          <w:szCs w:val="14"/>
          <w:color w:val="auto"/>
        </w:rPr>
      </w:pPr>
      <w:r>
        <w:rPr>
          <w:rFonts w:ascii="Arial" w:cs="Arial" w:eastAsia="Arial" w:hAnsi="Arial"/>
          <w:sz w:val="14"/>
          <w:szCs w:val="14"/>
          <w:color w:val="auto"/>
        </w:rPr>
        <w:t>The owner of a beneficial interest in a Global Security will be entitled to receive an Individual Security in exchange for such interest if an Event of Default has occurred and is continuing. Upon receipt by the Security Custodian and Registrar of instructions from the Holder of a Global Security directing the Security Custodian and Registrar to (x) issue one or more Individual Securities in the amounts specified to the owner of a beneficial interest in such Global Security and</w:t>
      </w:r>
    </w:p>
    <w:p>
      <w:pPr>
        <w:spacing w:after="0" w:line="1" w:lineRule="exact"/>
        <w:rPr>
          <w:rFonts w:ascii="Arial" w:cs="Arial" w:eastAsia="Arial" w:hAnsi="Arial"/>
          <w:sz w:val="14"/>
          <w:szCs w:val="14"/>
          <w:color w:val="auto"/>
        </w:rPr>
      </w:pPr>
    </w:p>
    <w:p>
      <w:pPr>
        <w:ind w:left="240" w:hanging="232"/>
        <w:spacing w:after="0"/>
        <w:tabs>
          <w:tab w:leader="none" w:pos="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debit or cause to be debited an equivalent amount of beneficial interest in such Global Security, subject to the rules and regulations of the Depositary</w:t>
      </w:r>
    </w:p>
    <w:p>
      <w:pPr>
        <w:spacing w:after="0" w:line="217" w:lineRule="exact"/>
        <w:rPr>
          <w:rFonts w:ascii="Arial" w:cs="Arial" w:eastAsia="Arial" w:hAnsi="Arial"/>
          <w:sz w:val="16"/>
          <w:szCs w:val="16"/>
          <w:color w:val="auto"/>
        </w:rPr>
      </w:pPr>
    </w:p>
    <w:p>
      <w:pPr>
        <w:ind w:right="240" w:firstLine="2601"/>
        <w:spacing w:after="0" w:line="293" w:lineRule="auto"/>
        <w:tabs>
          <w:tab w:leader="none" w:pos="3021" w:val="left"/>
        </w:tabs>
        <w:numPr>
          <w:ilvl w:val="3"/>
          <w:numId w:val="46"/>
        </w:numPr>
        <w:rPr>
          <w:rFonts w:ascii="Arial" w:cs="Arial" w:eastAsia="Arial" w:hAnsi="Arial"/>
          <w:sz w:val="16"/>
          <w:szCs w:val="16"/>
          <w:color w:val="auto"/>
        </w:rPr>
      </w:pPr>
      <w:r>
        <w:rPr>
          <w:rFonts w:ascii="Arial" w:cs="Arial" w:eastAsia="Arial" w:hAnsi="Arial"/>
          <w:sz w:val="16"/>
          <w:szCs w:val="16"/>
          <w:color w:val="auto"/>
        </w:rPr>
        <w:t>the Security Custodian and Registrar shall notify the Company and the Trustee of such instructions, identifying the owner and amount of such beneficial interest in such Global Security;</w:t>
      </w:r>
    </w:p>
    <w:p>
      <w:pPr>
        <w:spacing w:after="0" w:line="158" w:lineRule="exact"/>
        <w:rPr>
          <w:rFonts w:ascii="Arial" w:cs="Arial" w:eastAsia="Arial" w:hAnsi="Arial"/>
          <w:sz w:val="16"/>
          <w:szCs w:val="16"/>
          <w:color w:val="auto"/>
        </w:rPr>
      </w:pPr>
    </w:p>
    <w:p>
      <w:pPr>
        <w:ind w:right="260" w:firstLine="2601"/>
        <w:spacing w:after="0" w:line="278" w:lineRule="auto"/>
        <w:tabs>
          <w:tab w:leader="none" w:pos="3011" w:val="left"/>
        </w:tabs>
        <w:numPr>
          <w:ilvl w:val="3"/>
          <w:numId w:val="46"/>
        </w:numPr>
        <w:rPr>
          <w:rFonts w:ascii="Arial" w:cs="Arial" w:eastAsia="Arial" w:hAnsi="Arial"/>
          <w:sz w:val="16"/>
          <w:szCs w:val="16"/>
          <w:color w:val="auto"/>
        </w:rPr>
      </w:pPr>
      <w:r>
        <w:rPr>
          <w:rFonts w:ascii="Arial" w:cs="Arial" w:eastAsia="Arial" w:hAnsi="Arial"/>
          <w:sz w:val="16"/>
          <w:szCs w:val="16"/>
          <w:color w:val="auto"/>
        </w:rPr>
        <w:t>the Company shall promptly execute and the Trustee, upon receipt of a Company Order for the authentication and delivery of Individual Securities of such series, shall authenticate and deliver to such beneficial owner Individual Securities in an equivalent amount to such beneficial interest in such Global Security; and</w:t>
      </w:r>
    </w:p>
    <w:p>
      <w:pPr>
        <w:spacing w:after="0" w:line="170" w:lineRule="exact"/>
        <w:rPr>
          <w:rFonts w:ascii="Arial" w:cs="Arial" w:eastAsia="Arial" w:hAnsi="Arial"/>
          <w:sz w:val="16"/>
          <w:szCs w:val="16"/>
          <w:color w:val="auto"/>
        </w:rPr>
      </w:pPr>
    </w:p>
    <w:p>
      <w:pPr>
        <w:ind w:right="100" w:firstLine="2601"/>
        <w:spacing w:after="0" w:line="271" w:lineRule="auto"/>
        <w:tabs>
          <w:tab w:leader="none" w:pos="3011" w:val="left"/>
        </w:tabs>
        <w:numPr>
          <w:ilvl w:val="3"/>
          <w:numId w:val="46"/>
        </w:numPr>
        <w:rPr>
          <w:rFonts w:ascii="Arial" w:cs="Arial" w:eastAsia="Arial" w:hAnsi="Arial"/>
          <w:sz w:val="16"/>
          <w:szCs w:val="16"/>
          <w:color w:val="auto"/>
        </w:rPr>
      </w:pPr>
      <w:r>
        <w:rPr>
          <w:rFonts w:ascii="Arial" w:cs="Arial" w:eastAsia="Arial" w:hAnsi="Arial"/>
          <w:sz w:val="16"/>
          <w:szCs w:val="16"/>
          <w:color w:val="auto"/>
        </w:rPr>
        <w:t>the Security Custodian and Registrar shall decrease such Global Security by such amount in accordance with the foregoing. In the event that the Individual Securities are not issued to each such beneficial owner promptly after the Registrar has received a request from the Holder of a Global Security to issue such Individual Securities, the Company expressly acknowledges, with respect to the right of any Holder to pursue a remedy pursuant to Section 7.07 hereof, the right of any beneficial Holder of Securities to pursue such remedy with respect to the portion of the Global Security that represents such beneficial Holder’s Securities as if such Individual Securities had been issued.</w:t>
      </w:r>
    </w:p>
    <w:p>
      <w:pPr>
        <w:spacing w:after="0" w:line="176" w:lineRule="exact"/>
        <w:rPr>
          <w:rFonts w:ascii="Arial" w:cs="Arial" w:eastAsia="Arial" w:hAnsi="Arial"/>
          <w:sz w:val="16"/>
          <w:szCs w:val="16"/>
          <w:color w:val="auto"/>
        </w:rPr>
      </w:pPr>
    </w:p>
    <w:p>
      <w:pPr>
        <w:ind w:right="160" w:firstLine="2115"/>
        <w:spacing w:after="0" w:line="305" w:lineRule="auto"/>
        <w:tabs>
          <w:tab w:leader="none" w:pos="2552" w:val="left"/>
        </w:tabs>
        <w:numPr>
          <w:ilvl w:val="2"/>
          <w:numId w:val="46"/>
        </w:numPr>
        <w:rPr>
          <w:rFonts w:ascii="Arial" w:cs="Arial" w:eastAsia="Arial" w:hAnsi="Arial"/>
          <w:sz w:val="15"/>
          <w:szCs w:val="15"/>
          <w:color w:val="auto"/>
        </w:rPr>
      </w:pPr>
      <w:r>
        <w:rPr>
          <w:rFonts w:ascii="Arial" w:cs="Arial" w:eastAsia="Arial" w:hAnsi="Arial"/>
          <w:sz w:val="15"/>
          <w:szCs w:val="15"/>
          <w:color w:val="auto"/>
        </w:rPr>
        <w:t>If specified by the Company pursuant to Section 3.01 with respect to a series of Securities, the Depositary for such series of Securities may surrender a Global Security for such series of Securities in exchange in whole or in part for Individual Securities of such series on such terms as are acceptable to the Company and such Depositary. Thereupon, the Company shall execute, and the Trustee shall authenticate and deliver, without service charge,</w:t>
      </w:r>
    </w:p>
    <w:p>
      <w:pPr>
        <w:spacing w:after="0" w:line="152" w:lineRule="exact"/>
        <w:rPr>
          <w:rFonts w:ascii="Arial" w:cs="Arial" w:eastAsia="Arial" w:hAnsi="Arial"/>
          <w:sz w:val="15"/>
          <w:szCs w:val="15"/>
          <w:color w:val="auto"/>
        </w:rPr>
      </w:pPr>
    </w:p>
    <w:p>
      <w:pPr>
        <w:ind w:right="100" w:firstLine="1305"/>
        <w:spacing w:after="0" w:line="329" w:lineRule="auto"/>
        <w:tabs>
          <w:tab w:leader="none" w:pos="1688" w:val="left"/>
        </w:tabs>
        <w:numPr>
          <w:ilvl w:val="1"/>
          <w:numId w:val="46"/>
        </w:numPr>
        <w:rPr>
          <w:rFonts w:ascii="Arial" w:cs="Arial" w:eastAsia="Arial" w:hAnsi="Arial"/>
          <w:sz w:val="15"/>
          <w:szCs w:val="15"/>
          <w:color w:val="auto"/>
        </w:rPr>
      </w:pPr>
      <w:r>
        <w:rPr>
          <w:rFonts w:ascii="Arial" w:cs="Arial" w:eastAsia="Arial" w:hAnsi="Arial"/>
          <w:sz w:val="15"/>
          <w:szCs w:val="15"/>
          <w:color w:val="auto"/>
        </w:rPr>
        <w:t>each Person specified by such Depositary a new Individual Security or new Individual Securities of the same series, of any authorized denomination as requested by such Person in aggregate principal amount equal to and in exchange for such Person’s beneficial interest in the Global Security; and</w:t>
      </w:r>
    </w:p>
    <w:p>
      <w:pPr>
        <w:spacing w:after="0" w:line="134" w:lineRule="exact"/>
        <w:rPr>
          <w:rFonts w:ascii="Arial" w:cs="Arial" w:eastAsia="Arial" w:hAnsi="Arial"/>
          <w:sz w:val="15"/>
          <w:szCs w:val="15"/>
          <w:color w:val="auto"/>
        </w:rPr>
      </w:pPr>
    </w:p>
    <w:p>
      <w:pPr>
        <w:ind w:right="340" w:firstLine="1305"/>
        <w:spacing w:after="0" w:line="293" w:lineRule="auto"/>
        <w:tabs>
          <w:tab w:leader="none" w:pos="1679" w:val="left"/>
        </w:tabs>
        <w:numPr>
          <w:ilvl w:val="1"/>
          <w:numId w:val="46"/>
        </w:numPr>
        <w:rPr>
          <w:rFonts w:ascii="Arial" w:cs="Arial" w:eastAsia="Arial" w:hAnsi="Arial"/>
          <w:sz w:val="16"/>
          <w:szCs w:val="16"/>
          <w:color w:val="auto"/>
        </w:rPr>
      </w:pPr>
      <w:r>
        <w:rPr>
          <w:rFonts w:ascii="Arial" w:cs="Arial" w:eastAsia="Arial" w:hAnsi="Arial"/>
          <w:sz w:val="16"/>
          <w:szCs w:val="16"/>
          <w:color w:val="auto"/>
        </w:rPr>
        <w:t>such Depositary a new Global Security in a denomination equal to the difference, if any, between the principal amount of the surrendered Global Security and the aggregate principal amount of Individual Securities delivered to Holders thereof.</w:t>
      </w:r>
    </w:p>
    <w:p>
      <w:pPr>
        <w:spacing w:after="0" w:line="158" w:lineRule="exact"/>
        <w:rPr>
          <w:rFonts w:ascii="Arial" w:cs="Arial" w:eastAsia="Arial" w:hAnsi="Arial"/>
          <w:sz w:val="16"/>
          <w:szCs w:val="16"/>
          <w:color w:val="auto"/>
        </w:rPr>
      </w:pPr>
    </w:p>
    <w:p>
      <w:pPr>
        <w:ind w:right="120" w:firstLine="2115"/>
        <w:spacing w:after="0" w:line="293" w:lineRule="auto"/>
        <w:tabs>
          <w:tab w:leader="none" w:pos="2300" w:val="left"/>
        </w:tabs>
        <w:numPr>
          <w:ilvl w:val="2"/>
          <w:numId w:val="47"/>
        </w:numPr>
        <w:rPr>
          <w:rFonts w:ascii="Arial" w:cs="Arial" w:eastAsia="Arial" w:hAnsi="Arial"/>
          <w:sz w:val="16"/>
          <w:szCs w:val="16"/>
          <w:color w:val="auto"/>
        </w:rPr>
      </w:pPr>
      <w:r>
        <w:rPr>
          <w:rFonts w:ascii="Arial" w:cs="Arial" w:eastAsia="Arial" w:hAnsi="Arial"/>
          <w:sz w:val="16"/>
          <w:szCs w:val="16"/>
          <w:color w:val="auto"/>
        </w:rPr>
        <w:t>In any exchange provided for in clauses (i) through (iii), the Company will execute and the Trustee will authenticate and deliver Individual Securities in registered form in authorized denominations.</w:t>
      </w:r>
    </w:p>
    <w:p>
      <w:pPr>
        <w:spacing w:after="0" w:line="159" w:lineRule="exact"/>
        <w:rPr>
          <w:sz w:val="20"/>
          <w:szCs w:val="20"/>
          <w:color w:val="auto"/>
        </w:rPr>
      </w:pPr>
    </w:p>
    <w:p>
      <w:pPr>
        <w:ind w:right="460" w:firstLine="2115"/>
        <w:spacing w:after="0" w:line="273" w:lineRule="auto"/>
        <w:tabs>
          <w:tab w:leader="none" w:pos="2507" w:val="left"/>
        </w:tabs>
        <w:numPr>
          <w:ilvl w:val="1"/>
          <w:numId w:val="48"/>
        </w:numPr>
        <w:rPr>
          <w:rFonts w:ascii="Arial" w:cs="Arial" w:eastAsia="Arial" w:hAnsi="Arial"/>
          <w:sz w:val="16"/>
          <w:szCs w:val="16"/>
          <w:color w:val="auto"/>
        </w:rPr>
      </w:pPr>
      <w:r>
        <w:rPr>
          <w:rFonts w:ascii="Arial" w:cs="Arial" w:eastAsia="Arial" w:hAnsi="Arial"/>
          <w:sz w:val="16"/>
          <w:szCs w:val="16"/>
          <w:color w:val="auto"/>
        </w:rPr>
        <w:t>Upon the exchange in full of a Global Security for Individual Securities, such Global Security shall be canceled by the Trustee. Individual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Trustee. The Trustee shall deliver such Securities to the Persons in whose names such Securities are so registered.</w:t>
      </w:r>
    </w:p>
    <w:p>
      <w:pPr>
        <w:spacing w:after="0" w:line="175" w:lineRule="exact"/>
        <w:rPr>
          <w:rFonts w:ascii="Arial" w:cs="Arial" w:eastAsia="Arial" w:hAnsi="Arial"/>
          <w:sz w:val="16"/>
          <w:szCs w:val="16"/>
          <w:color w:val="auto"/>
        </w:rPr>
      </w:pPr>
    </w:p>
    <w:p>
      <w:pPr>
        <w:ind w:right="140" w:firstLine="1305"/>
        <w:spacing w:after="0" w:line="293" w:lineRule="auto"/>
        <w:tabs>
          <w:tab w:leader="none" w:pos="1661"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Securities issued upon any registration of transfer or exchange of Securities shall be valid obligations of the Company evidencing the same debt, and entitled to the same benefits under this Indenture, as the Securities surrendered for such registration of transfer or exchange.</w:t>
      </w:r>
    </w:p>
    <w:p>
      <w:pPr>
        <w:spacing w:after="0" w:line="158" w:lineRule="exact"/>
        <w:rPr>
          <w:rFonts w:ascii="Arial" w:cs="Arial" w:eastAsia="Arial" w:hAnsi="Arial"/>
          <w:sz w:val="16"/>
          <w:szCs w:val="16"/>
          <w:color w:val="auto"/>
        </w:rPr>
      </w:pPr>
    </w:p>
    <w:p>
      <w:pPr>
        <w:jc w:val="both"/>
        <w:ind w:right="140" w:firstLine="1305"/>
        <w:spacing w:after="0" w:line="278" w:lineRule="auto"/>
        <w:tabs>
          <w:tab w:leader="none" w:pos="16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Every Security presented or surrendered for registration of transfer, or for exchange or payment shall (if so required by the Company, the Trustee or the Registrar) be duly endorsed, or be accompanied by a written instrument or instruments of transfer in form satisfactory to the Company, the Trustee and the Registrar, duly executed by the Holder thereof or by his, her or its attorney duly authorized in writing.</w:t>
      </w:r>
    </w:p>
    <w:p>
      <w:pPr>
        <w:spacing w:after="0" w:line="170" w:lineRule="exact"/>
        <w:rPr>
          <w:rFonts w:ascii="Arial" w:cs="Arial" w:eastAsia="Arial" w:hAnsi="Arial"/>
          <w:sz w:val="16"/>
          <w:szCs w:val="16"/>
          <w:color w:val="auto"/>
        </w:rPr>
      </w:pPr>
    </w:p>
    <w:p>
      <w:pPr>
        <w:ind w:right="40" w:firstLine="1305"/>
        <w:spacing w:after="0" w:line="305" w:lineRule="auto"/>
        <w:tabs>
          <w:tab w:leader="none" w:pos="1688" w:val="left"/>
        </w:tabs>
        <w:numPr>
          <w:ilvl w:val="0"/>
          <w:numId w:val="49"/>
        </w:numPr>
        <w:rPr>
          <w:rFonts w:ascii="Arial" w:cs="Arial" w:eastAsia="Arial" w:hAnsi="Arial"/>
          <w:sz w:val="15"/>
          <w:szCs w:val="15"/>
          <w:color w:val="auto"/>
        </w:rPr>
      </w:pPr>
      <w:r>
        <w:rPr>
          <w:rFonts w:ascii="Arial" w:cs="Arial" w:eastAsia="Arial" w:hAnsi="Arial"/>
          <w:sz w:val="15"/>
          <w:szCs w:val="15"/>
          <w:color w:val="auto"/>
        </w:rPr>
        <w:t>No service charge will be made for any registration of transfer or exchange of Securities. The Company or the Trustee may require payment of a sum sufficient to cover any tax, assessment or other governmental charge that may be imposed in connection with any registration of transfer or exchange of Securities, other than those expressly provided in this Indenture to be made at the Company’s own expense or without expense or charge to the Holders.</w:t>
      </w:r>
    </w:p>
    <w:p>
      <w:pPr>
        <w:spacing w:after="0" w:line="152" w:lineRule="exact"/>
        <w:rPr>
          <w:rFonts w:ascii="Arial" w:cs="Arial" w:eastAsia="Arial" w:hAnsi="Arial"/>
          <w:sz w:val="15"/>
          <w:szCs w:val="15"/>
          <w:color w:val="auto"/>
        </w:rPr>
      </w:pPr>
    </w:p>
    <w:p>
      <w:pPr>
        <w:ind w:firstLine="1305"/>
        <w:spacing w:after="0" w:line="273" w:lineRule="auto"/>
        <w:tabs>
          <w:tab w:leader="none" w:pos="165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shall not be required to (i) register, transfer or exchange Securities of any series during a period beginning at the opening of business 15 days before the day of the transmission of a notice of redemption of Securities of such series selected for redemption under Section 4.03 and ending at the close of business on the day of such transmission, or (ii) register, transfer or exchange any Security so selected for redemption in whole or in part, except the unredeemed portion of any Security being redeemed in part.</w:t>
      </w:r>
    </w:p>
    <w:p>
      <w:pPr>
        <w:spacing w:after="0" w:line="175" w:lineRule="exact"/>
        <w:rPr>
          <w:rFonts w:ascii="Arial" w:cs="Arial" w:eastAsia="Arial" w:hAnsi="Arial"/>
          <w:sz w:val="16"/>
          <w:szCs w:val="16"/>
          <w:color w:val="auto"/>
        </w:rPr>
      </w:pPr>
    </w:p>
    <w:p>
      <w:pPr>
        <w:jc w:val="both"/>
        <w:ind w:firstLine="1305"/>
        <w:spacing w:after="0" w:line="273" w:lineRule="auto"/>
        <w:tabs>
          <w:tab w:leader="none" w:pos="1652"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Prior to the due presentation for registration of transfer or exchange of any Security, the Company, the Trustee, the Paying Agent, the Registrar, any co-Registrar or any of their agents may deem and treat the Person in whose name a Security is registered as the absolute owner of such Security (whether or not such Security shall be overdue and notwithstanding any notation of ownership or other writing thereon) for all purposes whatsoever, and none of the Company, the Trustee, the Paying Agent, the Registrar, any co-Registrar or any of their agents shall be affected by any notice to the contrary.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2" w:name="page43"/>
    <w:bookmarkEnd w:id="42"/>
    <w:p>
      <w:pPr>
        <w:ind w:firstLine="1305"/>
        <w:spacing w:after="0" w:line="289" w:lineRule="auto"/>
        <w:tabs>
          <w:tab w:leader="none" w:pos="1688" w:val="left"/>
        </w:tabs>
        <w:numPr>
          <w:ilvl w:val="0"/>
          <w:numId w:val="50"/>
        </w:numPr>
        <w:rPr>
          <w:rFonts w:ascii="Arial" w:cs="Arial" w:eastAsia="Arial" w:hAnsi="Arial"/>
          <w:sz w:val="15"/>
          <w:szCs w:val="15"/>
          <w:color w:val="auto"/>
        </w:rPr>
      </w:pPr>
      <w:r>
        <w:rPr>
          <w:rFonts w:ascii="Arial" w:cs="Arial" w:eastAsia="Arial" w:hAnsi="Arial"/>
          <w:sz w:val="15"/>
          <w:szCs w:val="15"/>
          <w:color w:val="auto"/>
        </w:rPr>
        <w:t>In case a successor Company (“Successor Company”) has executed an indenture supplemental hereto with the Trustee pursuant to Article XIV, any of the Securities authenticated or delivered pursuant to such transaction may, from time to time, at the request of the Successor Company, be exchanged for other Securities executed in the name of the Successor Company with such changes in phraseology and form as may be appropriate, but otherwise identical to the Securities surrendered for such exchange and of like principal amount; and the Trustee, upon Company Order of the Successor Company, shall authenticate and deliver Securities as specified in such order for the purpose of such exchange. If Securities shall at any time be authenticated and delivered in any new name of a Successor Company pursuant to this Section 3.06 in exchange or substitution for or upon registration of transfer of any Securities, such Successor Company, at the option of the Holders but without expense to them, shall provide for the exchange of all Securities at the time Outstanding for Securities authenticated and delivered in such new name.</w:t>
      </w:r>
    </w:p>
    <w:p>
      <w:pPr>
        <w:spacing w:after="0" w:line="166" w:lineRule="exact"/>
        <w:rPr>
          <w:rFonts w:ascii="Arial" w:cs="Arial" w:eastAsia="Arial" w:hAnsi="Arial"/>
          <w:sz w:val="15"/>
          <w:szCs w:val="15"/>
          <w:color w:val="auto"/>
        </w:rPr>
      </w:pPr>
    </w:p>
    <w:p>
      <w:pPr>
        <w:ind w:right="500" w:firstLine="1305"/>
        <w:spacing w:after="0" w:line="329" w:lineRule="auto"/>
        <w:tabs>
          <w:tab w:leader="none" w:pos="1652" w:val="left"/>
        </w:tabs>
        <w:numPr>
          <w:ilvl w:val="0"/>
          <w:numId w:val="50"/>
        </w:numPr>
        <w:rPr>
          <w:rFonts w:ascii="Arial" w:cs="Arial" w:eastAsia="Arial" w:hAnsi="Arial"/>
          <w:sz w:val="15"/>
          <w:szCs w:val="15"/>
          <w:color w:val="auto"/>
        </w:rPr>
      </w:pPr>
      <w:r>
        <w:rPr>
          <w:rFonts w:ascii="Arial" w:cs="Arial" w:eastAsia="Arial" w:hAnsi="Arial"/>
          <w:sz w:val="15"/>
          <w:szCs w:val="15"/>
          <w:color w:val="auto"/>
        </w:rPr>
        <w:t>Each Holder of a Security agrees to indemnify the Company and the Trustee against any liability that may result from the transfer, exchange or assignment of such Holder’s Security in violation of any provision of this Indenture and/or applicable United States federal or state securities laws.</w:t>
      </w:r>
    </w:p>
    <w:p>
      <w:pPr>
        <w:spacing w:after="0" w:line="134" w:lineRule="exact"/>
        <w:rPr>
          <w:rFonts w:ascii="Arial" w:cs="Arial" w:eastAsia="Arial" w:hAnsi="Arial"/>
          <w:sz w:val="15"/>
          <w:szCs w:val="15"/>
          <w:color w:val="auto"/>
        </w:rPr>
      </w:pPr>
    </w:p>
    <w:p>
      <w:pPr>
        <w:ind w:right="180" w:firstLine="1305"/>
        <w:spacing w:after="0" w:line="271" w:lineRule="auto"/>
        <w:tabs>
          <w:tab w:leader="none" w:pos="1733"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members of, or participants in the Depositary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6" w:lineRule="exact"/>
        <w:rPr>
          <w:rFonts w:ascii="Arial" w:cs="Arial" w:eastAsia="Arial" w:hAnsi="Arial"/>
          <w:sz w:val="16"/>
          <w:szCs w:val="16"/>
          <w:color w:val="auto"/>
        </w:rPr>
      </w:pPr>
    </w:p>
    <w:p>
      <w:pPr>
        <w:ind w:left="1700" w:hanging="395"/>
        <w:spacing w:after="0"/>
        <w:tabs>
          <w:tab w:leader="none" w:pos="1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Neither the Trustee nor any agent of the Trustee shall have any responsibility for any actions taken or not taken by the Depositary.</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3.07</w:t>
      </w:r>
      <w:r>
        <w:rPr>
          <w:sz w:val="20"/>
          <w:szCs w:val="20"/>
          <w:color w:val="auto"/>
        </w:rPr>
        <w:tab/>
      </w:r>
      <w:r>
        <w:rPr>
          <w:rFonts w:ascii="Arial" w:cs="Arial" w:eastAsia="Arial" w:hAnsi="Arial"/>
          <w:sz w:val="14"/>
          <w:szCs w:val="14"/>
          <w:u w:val="single" w:color="auto"/>
          <w:color w:val="auto"/>
        </w:rPr>
        <w:t>Mutilated, Destroyed, Lost and Stolen Securities</w:t>
      </w:r>
      <w:r>
        <w:rPr>
          <w:rFonts w:ascii="Arial" w:cs="Arial" w:eastAsia="Arial" w:hAnsi="Arial"/>
          <w:sz w:val="14"/>
          <w:szCs w:val="14"/>
          <w:color w:val="auto"/>
        </w:rPr>
        <w:t>.</w:t>
      </w:r>
    </w:p>
    <w:p>
      <w:pPr>
        <w:spacing w:after="0" w:line="221" w:lineRule="exact"/>
        <w:rPr>
          <w:sz w:val="20"/>
          <w:szCs w:val="20"/>
          <w:color w:val="auto"/>
        </w:rPr>
      </w:pPr>
    </w:p>
    <w:p>
      <w:pPr>
        <w:ind w:right="80" w:firstLine="1305"/>
        <w:spacing w:after="0" w:line="270" w:lineRule="auto"/>
        <w:tabs>
          <w:tab w:leader="none" w:pos="1679"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(i) any mutilated Security is surrendered to the Trustee at its Corporate Trust Office or (ii) the Company and the Trustee receive evidence to their satisfaction of the destruction, loss or theft of any Security, and there is delivered to the Company and the Trustee security or indemnity satisfactory to them to save each of them and any Paying Agent harmless, and neither the Company nor the Trustee receives notice that such Security has been acquired by a protected purchaser, then the Company shall execute and upon Company Order the Trustee shall authenticate and deliver, in exchange for or in lieu of any such mutilated, destroyed, lost or stolen Security, a new Security of the same series and of like tenor, form, terms and principal amount, bearing a number not contemporaneously outstanding, that neither gain nor loss in interest shall result from such exchange or substitution.</w:t>
      </w:r>
    </w:p>
    <w:p>
      <w:pPr>
        <w:spacing w:after="0" w:line="176" w:lineRule="exact"/>
        <w:rPr>
          <w:rFonts w:ascii="Arial" w:cs="Arial" w:eastAsia="Arial" w:hAnsi="Arial"/>
          <w:sz w:val="16"/>
          <w:szCs w:val="16"/>
          <w:color w:val="auto"/>
        </w:rPr>
      </w:pPr>
    </w:p>
    <w:p>
      <w:pPr>
        <w:ind w:right="120" w:firstLine="1305"/>
        <w:spacing w:after="0" w:line="293" w:lineRule="auto"/>
        <w:tabs>
          <w:tab w:leader="none" w:pos="16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case any such mutilated, destroyed, lost or stolen Security has become or is about to become due and payable, the Company in its discretion may, instead of issuing a new Security, pay the amount due on such Security in accordance with its terms.</w:t>
      </w:r>
    </w:p>
    <w:p>
      <w:pPr>
        <w:spacing w:after="0" w:line="158" w:lineRule="exact"/>
        <w:rPr>
          <w:rFonts w:ascii="Arial" w:cs="Arial" w:eastAsia="Arial" w:hAnsi="Arial"/>
          <w:sz w:val="16"/>
          <w:szCs w:val="16"/>
          <w:color w:val="auto"/>
        </w:rPr>
      </w:pPr>
    </w:p>
    <w:p>
      <w:pPr>
        <w:ind w:right="500" w:firstLine="1305"/>
        <w:spacing w:after="0" w:line="329" w:lineRule="auto"/>
        <w:tabs>
          <w:tab w:leader="none" w:pos="1679" w:val="left"/>
        </w:tabs>
        <w:numPr>
          <w:ilvl w:val="0"/>
          <w:numId w:val="51"/>
        </w:numPr>
        <w:rPr>
          <w:rFonts w:ascii="Arial" w:cs="Arial" w:eastAsia="Arial" w:hAnsi="Arial"/>
          <w:sz w:val="15"/>
          <w:szCs w:val="15"/>
          <w:color w:val="auto"/>
        </w:rPr>
      </w:pPr>
      <w:r>
        <w:rPr>
          <w:rFonts w:ascii="Arial" w:cs="Arial" w:eastAsia="Arial" w:hAnsi="Arial"/>
          <w:sz w:val="15"/>
          <w:szCs w:val="15"/>
          <w:color w:val="auto"/>
        </w:rPr>
        <w:t>Upon the issuance of any new Security under this Section, the Company may require the payment of a sum sufficient to cover any tax or other governmental charge that may be imposed in respect thereto and any other expenses (including the fees and expenses of the Trustee) connected therewith.</w:t>
      </w:r>
    </w:p>
    <w:p>
      <w:pPr>
        <w:spacing w:after="0" w:line="134" w:lineRule="exact"/>
        <w:rPr>
          <w:rFonts w:ascii="Arial" w:cs="Arial" w:eastAsia="Arial" w:hAnsi="Arial"/>
          <w:sz w:val="15"/>
          <w:szCs w:val="15"/>
          <w:color w:val="auto"/>
        </w:rPr>
      </w:pPr>
    </w:p>
    <w:p>
      <w:pPr>
        <w:ind w:right="560" w:firstLine="1305"/>
        <w:spacing w:after="0" w:line="278" w:lineRule="auto"/>
        <w:tabs>
          <w:tab w:leader="none" w:pos="16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Every new Security of any series issued pursuant to this Section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0" w:lineRule="exact"/>
        <w:rPr>
          <w:rFonts w:ascii="Arial" w:cs="Arial" w:eastAsia="Arial" w:hAnsi="Arial"/>
          <w:sz w:val="16"/>
          <w:szCs w:val="16"/>
          <w:color w:val="auto"/>
        </w:rPr>
      </w:pPr>
    </w:p>
    <w:p>
      <w:pPr>
        <w:ind w:right="140" w:firstLine="1305"/>
        <w:spacing w:after="0" w:line="293" w:lineRule="auto"/>
        <w:tabs>
          <w:tab w:leader="none" w:pos="167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provisions of this Section are exclusive and shall preclude (to the extent lawful) all other rights and remedies with respect to the replacement or payment of mutilated, destroyed, lost or stolen Securities.</w:t>
      </w:r>
    </w:p>
    <w:p>
      <w:pPr>
        <w:spacing w:after="0" w:line="15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3.08</w:t>
      </w:r>
      <w:r>
        <w:rPr>
          <w:sz w:val="20"/>
          <w:szCs w:val="20"/>
          <w:color w:val="auto"/>
        </w:rPr>
        <w:tab/>
      </w:r>
      <w:r>
        <w:rPr>
          <w:rFonts w:ascii="Arial" w:cs="Arial" w:eastAsia="Arial" w:hAnsi="Arial"/>
          <w:sz w:val="14"/>
          <w:szCs w:val="14"/>
          <w:u w:val="single" w:color="auto"/>
          <w:color w:val="auto"/>
        </w:rPr>
        <w:t>Payment of Interest; Interest Rights Preserved</w:t>
      </w:r>
      <w:r>
        <w:rPr>
          <w:rFonts w:ascii="Arial" w:cs="Arial" w:eastAsia="Arial" w:hAnsi="Arial"/>
          <w:sz w:val="14"/>
          <w:szCs w:val="14"/>
          <w:color w:val="auto"/>
        </w:rPr>
        <w:t>.</w:t>
      </w:r>
    </w:p>
    <w:p>
      <w:pPr>
        <w:spacing w:after="0" w:line="221" w:lineRule="exact"/>
        <w:rPr>
          <w:sz w:val="20"/>
          <w:szCs w:val="20"/>
          <w:color w:val="auto"/>
        </w:rPr>
      </w:pPr>
    </w:p>
    <w:p>
      <w:pPr>
        <w:ind w:right="60" w:firstLine="1305"/>
        <w:spacing w:after="0" w:line="293" w:lineRule="auto"/>
        <w:tabs>
          <w:tab w:leader="none" w:pos="1679"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Interest on any Security that is payable and is punctually paid or duly provided for on any Interest Payment Date shall be paid to the Person in whose name such Security (or one or more Predecessor Securities) is registered at the close of business on the Record Date for such interest notwithstanding the cancellation of such Security upon any transfer or exchange subsequent to the Record Date. Payment of interest on Securities shall be made at the Corporate Trust Office (except as otherwise specified pursuant to Section 3.01)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162" w:lineRule="exact"/>
        <w:rPr>
          <w:rFonts w:ascii="Arial" w:cs="Arial" w:eastAsia="Arial" w:hAnsi="Arial"/>
          <w:sz w:val="15"/>
          <w:szCs w:val="15"/>
          <w:color w:val="auto"/>
        </w:rPr>
      </w:pPr>
    </w:p>
    <w:p>
      <w:pPr>
        <w:ind w:right="140" w:firstLine="1305"/>
        <w:spacing w:after="0" w:line="278" w:lineRule="auto"/>
        <w:tabs>
          <w:tab w:leader="none" w:pos="1688"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interest on any Security that is payable but is not punctually paid or duly provided for on any Interest Payment Date (herein called “Defaulted Interest”) shall forthwith cease to be payable to the Holder on the relevant Record Date by virtue of his, her or its having been such a Holder, and such Defaulted Interest may be paid by the Company, at its election in each case, as provided in clause (i) or (ii) below:</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3" w:name="page44"/>
    <w:bookmarkEnd w:id="43"/>
    <w:p>
      <w:pPr>
        <w:ind w:right="140" w:firstLine="1791"/>
        <w:spacing w:after="0" w:line="285" w:lineRule="auto"/>
        <w:tabs>
          <w:tab w:leader="none" w:pos="2098" w:val="left"/>
        </w:tabs>
        <w:numPr>
          <w:ilvl w:val="1"/>
          <w:numId w:val="53"/>
        </w:numPr>
        <w:rPr>
          <w:rFonts w:ascii="Arial" w:cs="Arial" w:eastAsia="Arial" w:hAnsi="Arial"/>
          <w:sz w:val="15"/>
          <w:szCs w:val="15"/>
          <w:color w:val="auto"/>
        </w:rPr>
      </w:pPr>
      <w:r>
        <w:rPr>
          <w:rFonts w:ascii="Arial" w:cs="Arial" w:eastAsia="Arial" w:hAnsi="Arial"/>
          <w:sz w:val="15"/>
          <w:szCs w:val="15"/>
          <w:color w:val="auto"/>
        </w:rPr>
        <w:t>The Company may elect to make payment of any Defaulted Interest to the Persons in whose names such Securities (or their respective Predecessor Securities) are registered at the close of business on a special record date for the payment of such Defaulted Interest (a “Special Record Date”),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calendar days and not less than 10 calendar days prior to the date of the proposed payment and not less than 10 calendar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Holders of such Securities at their addresses as they appear in the Register, not less than 10 calendar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at the close of business on such Special Record Date and shall no longer be payable pursuant to the following clause (ii).</w:t>
      </w:r>
    </w:p>
    <w:p>
      <w:pPr>
        <w:spacing w:after="0" w:line="173" w:lineRule="exact"/>
        <w:rPr>
          <w:rFonts w:ascii="Arial" w:cs="Arial" w:eastAsia="Arial" w:hAnsi="Arial"/>
          <w:sz w:val="15"/>
          <w:szCs w:val="15"/>
          <w:color w:val="auto"/>
        </w:rPr>
      </w:pPr>
    </w:p>
    <w:p>
      <w:pPr>
        <w:ind w:right="140" w:firstLine="1791"/>
        <w:spacing w:after="0" w:line="278" w:lineRule="auto"/>
        <w:tabs>
          <w:tab w:leader="none" w:pos="2183"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0" w:lineRule="exact"/>
        <w:rPr>
          <w:rFonts w:ascii="Arial" w:cs="Arial" w:eastAsia="Arial" w:hAnsi="Arial"/>
          <w:sz w:val="16"/>
          <w:szCs w:val="16"/>
          <w:color w:val="auto"/>
        </w:rPr>
      </w:pPr>
    </w:p>
    <w:p>
      <w:pPr>
        <w:ind w:right="80" w:firstLine="1305"/>
        <w:spacing w:after="0" w:line="278" w:lineRule="auto"/>
        <w:tabs>
          <w:tab w:leader="none" w:pos="1679"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Subject to the provisions set forth herein relating to Record Dates, each Security delivered pursuant to any provision of this Indenture in exchange or substitution for, or upon registration of transfer of, any other Security shall carry all the rights to interest accrued and unpaid, and to accrue, which were carried by such other Security.</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3.09</w:t>
      </w:r>
      <w:r>
        <w:rPr>
          <w:sz w:val="20"/>
          <w:szCs w:val="20"/>
          <w:color w:val="auto"/>
        </w:rPr>
        <w:tab/>
      </w:r>
      <w:r>
        <w:rPr>
          <w:rFonts w:ascii="Arial" w:cs="Arial" w:eastAsia="Arial" w:hAnsi="Arial"/>
          <w:sz w:val="14"/>
          <w:szCs w:val="14"/>
          <w:u w:val="single" w:color="auto"/>
          <w:color w:val="auto"/>
        </w:rPr>
        <w:t>Cancellation</w:t>
      </w:r>
      <w:r>
        <w:rPr>
          <w:rFonts w:ascii="Arial" w:cs="Arial" w:eastAsia="Arial" w:hAnsi="Arial"/>
          <w:sz w:val="14"/>
          <w:szCs w:val="14"/>
          <w:color w:val="auto"/>
        </w:rPr>
        <w:t>.</w:t>
      </w:r>
    </w:p>
    <w:p>
      <w:pPr>
        <w:spacing w:after="0" w:line="221" w:lineRule="exact"/>
        <w:rPr>
          <w:sz w:val="20"/>
          <w:szCs w:val="20"/>
          <w:color w:val="auto"/>
        </w:rPr>
      </w:pPr>
    </w:p>
    <w:p>
      <w:pPr>
        <w:ind w:firstLine="486"/>
        <w:spacing w:after="0" w:line="268" w:lineRule="auto"/>
        <w:rPr>
          <w:sz w:val="20"/>
          <w:szCs w:val="20"/>
          <w:color w:val="auto"/>
        </w:rPr>
      </w:pPr>
      <w:r>
        <w:rPr>
          <w:rFonts w:ascii="Arial" w:cs="Arial" w:eastAsia="Arial" w:hAnsi="Arial"/>
          <w:sz w:val="16"/>
          <w:szCs w:val="16"/>
          <w:color w:val="auto"/>
        </w:rPr>
        <w:t>Unless otherwise specified pursuant to Section 3.01 for Securities of any series, all Securities surrendered for payment, redemption, registration of transfer or exchange or credit against any sinking fund or otherwise shall, if surrendered to any Person other than the Trustee, be delivered to the Trustee for cancellation and shall be promptly canceled by it and, if surrendered to the Trustee, shall be promptly canceled by it. The Company may at any time deliver to the Trustee for cancellation any Securities previously authenticated and delivered hereunder that the Company may have acquired in any manner whatsoever, and all Securities so delivered shall be promptly canceled by the Trustee. No Securities shall be authenticated in lieu of or in exchange for any Securities canceled as provided in this Section, except as expressly permitted by this Indenture. The Trustee shall dispose of all canceled Securities held by it in accordance with its then customary procedures and deliver a certificate of such disposal to the Company upon its request therefor. The acquisition of any Securities by the Company shall not operate as a redemption or satisfaction of the Indebtedness represented thereby unless and until such Securities are surrendered to the Trustee for cancellation.</w:t>
      </w:r>
    </w:p>
    <w:p>
      <w:pPr>
        <w:spacing w:after="0" w:line="180"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3.10</w:t>
      </w:r>
      <w:r>
        <w:rPr>
          <w:sz w:val="20"/>
          <w:szCs w:val="20"/>
          <w:color w:val="auto"/>
        </w:rPr>
        <w:tab/>
      </w:r>
      <w:r>
        <w:rPr>
          <w:rFonts w:ascii="Arial" w:cs="Arial" w:eastAsia="Arial" w:hAnsi="Arial"/>
          <w:sz w:val="14"/>
          <w:szCs w:val="14"/>
          <w:u w:val="single" w:color="auto"/>
          <w:color w:val="auto"/>
        </w:rPr>
        <w:t>Computation of Interest</w:t>
      </w:r>
      <w:r>
        <w:rPr>
          <w:rFonts w:ascii="Arial" w:cs="Arial" w:eastAsia="Arial" w:hAnsi="Arial"/>
          <w:sz w:val="14"/>
          <w:szCs w:val="14"/>
          <w:color w:val="auto"/>
        </w:rPr>
        <w:t>.</w:t>
      </w:r>
    </w:p>
    <w:p>
      <w:pPr>
        <w:spacing w:after="0" w:line="221"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Except as otherwise specified pursuant to Section 3.01 for Securities of any series, interest on the Securities of each series shall be computed on the basis of a 360-day year of twelve 30-day months.</w:t>
      </w:r>
    </w:p>
    <w:p>
      <w:pPr>
        <w:spacing w:after="0" w:line="15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3.11</w:t>
      </w:r>
      <w:r>
        <w:rPr>
          <w:sz w:val="20"/>
          <w:szCs w:val="20"/>
          <w:color w:val="auto"/>
        </w:rPr>
        <w:tab/>
      </w:r>
      <w:r>
        <w:rPr>
          <w:rFonts w:ascii="Arial" w:cs="Arial" w:eastAsia="Arial" w:hAnsi="Arial"/>
          <w:sz w:val="14"/>
          <w:szCs w:val="14"/>
          <w:u w:val="single" w:color="auto"/>
          <w:color w:val="auto"/>
        </w:rPr>
        <w:t>Currency of Payments in Respect of Securities</w:t>
      </w:r>
      <w:r>
        <w:rPr>
          <w:rFonts w:ascii="Arial" w:cs="Arial" w:eastAsia="Arial" w:hAnsi="Arial"/>
          <w:sz w:val="14"/>
          <w:szCs w:val="14"/>
          <w:color w:val="auto"/>
        </w:rPr>
        <w:t>.</w:t>
      </w:r>
    </w:p>
    <w:p>
      <w:pPr>
        <w:spacing w:after="0" w:line="221" w:lineRule="exact"/>
        <w:rPr>
          <w:sz w:val="20"/>
          <w:szCs w:val="20"/>
          <w:color w:val="auto"/>
        </w:rPr>
      </w:pPr>
    </w:p>
    <w:p>
      <w:pPr>
        <w:ind w:right="200" w:firstLine="1305"/>
        <w:spacing w:after="0" w:line="293" w:lineRule="auto"/>
        <w:tabs>
          <w:tab w:leader="none" w:pos="1679"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Except as otherwise specified pursuant to Section 3.01 for Securities of any series, payment of the principal of and premium, if any, and interest on Securities of such series will be made in U.S. Dollars.</w:t>
      </w:r>
    </w:p>
    <w:p>
      <w:pPr>
        <w:spacing w:after="0" w:line="158" w:lineRule="exact"/>
        <w:rPr>
          <w:rFonts w:ascii="Arial" w:cs="Arial" w:eastAsia="Arial" w:hAnsi="Arial"/>
          <w:sz w:val="16"/>
          <w:szCs w:val="16"/>
          <w:color w:val="auto"/>
        </w:rPr>
      </w:pPr>
    </w:p>
    <w:p>
      <w:pPr>
        <w:ind w:right="20" w:firstLine="1305"/>
        <w:spacing w:after="0" w:line="270" w:lineRule="auto"/>
        <w:tabs>
          <w:tab w:leader="none" w:pos="1688" w:val="left"/>
        </w:tabs>
        <w:numPr>
          <w:ilvl w:val="0"/>
          <w:numId w:val="55"/>
        </w:numPr>
        <w:rPr>
          <w:rFonts w:ascii="Arial" w:cs="Arial" w:eastAsia="Arial" w:hAnsi="Arial"/>
          <w:sz w:val="16"/>
          <w:szCs w:val="16"/>
          <w:color w:val="auto"/>
        </w:rPr>
      </w:pPr>
      <w:r>
        <w:rPr>
          <w:rFonts w:ascii="Arial" w:cs="Arial" w:eastAsia="Arial" w:hAnsi="Arial"/>
          <w:sz w:val="16"/>
          <w:szCs w:val="16"/>
          <w:color w:val="auto"/>
        </w:rPr>
        <w:t>For purposes of any provision of the Indenture where the Holders of Outstanding Securities may perform an action that requires that a specified percentage of the Outstanding Securities of all series perform such action and for purposes of any decision or determination by the Trustee of amounts due and unpaid for the principal of and premium, if any, and interest on the Securities of all series in respect of which moneys are to be disbursed ratably, the principal of and premium, if any, and interest on the Outstanding Securities denominated in a Foreign Currency will be the amount in U.S. Dollars based upon exchange rates, determined as specified pursuant to Section 3.01 for Securities of such series, as of the date for determining whether the Holders entitled to perform such action have performed it or as of the date of such decision or determination by the Trustee, as the case may be.</w:t>
      </w:r>
    </w:p>
    <w:p>
      <w:pPr>
        <w:spacing w:after="0" w:line="176" w:lineRule="exact"/>
        <w:rPr>
          <w:rFonts w:ascii="Arial" w:cs="Arial" w:eastAsia="Arial" w:hAnsi="Arial"/>
          <w:sz w:val="16"/>
          <w:szCs w:val="16"/>
          <w:color w:val="auto"/>
        </w:rPr>
      </w:pPr>
    </w:p>
    <w:p>
      <w:pPr>
        <w:ind w:right="120" w:firstLine="1305"/>
        <w:spacing w:after="0" w:line="271" w:lineRule="auto"/>
        <w:tabs>
          <w:tab w:leader="none" w:pos="167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decision or determination to be made regarding exchange rates shall be made by an agent appointed by the Company; provided, that such agent shall accept such appointment in writing and the terms of such appointment shall, in the opinion of the Company at the time of such appointment, require such agent to make such determination by a method consistent with the method provided pursuant to Section 3.01 for the making of such decision or determination. All decisions and determinations of such agent regarding exchange rates shall, in the absence of manifest error, be conclusive for all purposes and irrevocably binding upon the Company, the Trustee and all Holders of the Securities.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4" w:name="page45"/>
    <w:bookmarkEnd w:id="44"/>
    <w:p>
      <w:pPr>
        <w:spacing w:after="0"/>
        <w:tabs>
          <w:tab w:leader="none" w:pos="1040" w:val="left"/>
        </w:tabs>
        <w:rPr>
          <w:sz w:val="20"/>
          <w:szCs w:val="20"/>
          <w:color w:val="auto"/>
        </w:rPr>
      </w:pPr>
      <w:r>
        <w:rPr>
          <w:rFonts w:ascii="Arial" w:cs="Arial" w:eastAsia="Arial" w:hAnsi="Arial"/>
          <w:sz w:val="16"/>
          <w:szCs w:val="16"/>
          <w:color w:val="auto"/>
        </w:rPr>
        <w:t>Section 3.12</w:t>
      </w:r>
      <w:r>
        <w:rPr>
          <w:sz w:val="20"/>
          <w:szCs w:val="20"/>
          <w:color w:val="auto"/>
        </w:rPr>
        <w:tab/>
      </w:r>
      <w:r>
        <w:rPr>
          <w:rFonts w:ascii="Arial" w:cs="Arial" w:eastAsia="Arial" w:hAnsi="Arial"/>
          <w:sz w:val="14"/>
          <w:szCs w:val="14"/>
          <w:u w:val="single" w:color="auto"/>
          <w:color w:val="auto"/>
        </w:rPr>
        <w:t>Judgments</w:t>
      </w:r>
      <w:r>
        <w:rPr>
          <w:rFonts w:ascii="Arial" w:cs="Arial" w:eastAsia="Arial" w:hAnsi="Arial"/>
          <w:sz w:val="14"/>
          <w:szCs w:val="14"/>
          <w:color w:val="auto"/>
        </w:rPr>
        <w:t>.</w:t>
      </w:r>
    </w:p>
    <w:p>
      <w:pPr>
        <w:spacing w:after="0" w:line="221" w:lineRule="exact"/>
        <w:rPr>
          <w:sz w:val="20"/>
          <w:szCs w:val="20"/>
          <w:color w:val="auto"/>
        </w:rPr>
      </w:pPr>
    </w:p>
    <w:p>
      <w:pPr>
        <w:ind w:right="140" w:firstLine="486"/>
        <w:spacing w:after="0" w:line="309" w:lineRule="auto"/>
        <w:rPr>
          <w:sz w:val="20"/>
          <w:szCs w:val="20"/>
          <w:color w:val="auto"/>
        </w:rPr>
      </w:pPr>
      <w:r>
        <w:rPr>
          <w:rFonts w:ascii="Arial" w:cs="Arial" w:eastAsia="Arial" w:hAnsi="Arial"/>
          <w:sz w:val="14"/>
          <w:szCs w:val="14"/>
          <w:color w:val="auto"/>
        </w:rPr>
        <w:t>The Company may provide pursuant to Section 3.01 for Securities of any series that (a) the obligation, if any, of the Company to pay the principal of, premium, if any, and interest on the Securities of any series in a Foreign Currency or U.S. Dollars (the “Designated Currency”) as may be specified pursuant to Section 3.01 is of the essence and agrees that, to the fullest extent possible under applicable law, judgments in respect of such Securities shall be given in the Designated Currency; (b) the obligation of the Company to make payments in the Designated Currency of the principal of and premium, if any, and interest on such Securities shall, notwithstanding any payment in any other Currency (whether pursuant to a judgment or otherwise), be discharged only to the extent of the amount in the Designated Currency that the Holder receiving such payment may, in accordance with normal banking procedures, purchase with the sum paid in such other Currency (after any premium and cost of exchange) on the business day in the country of issue of the Designated Currency or in the international banking community (in the case of a composite currency) immediately following the day on which such Holder receives such payment; (c) if the amount in the Designated Currency that may be so purchased for any reason falls short of the amount originally due, the Company shall pay such additional amounts as may be necessary to compensate for such shortfall; and (d) any obligation of the Company not discharged by such payment shall be due as a separate and independent obligation and, until discharged as provided herein, shall continue in full force and effect.</w:t>
      </w:r>
    </w:p>
    <w:p>
      <w:pPr>
        <w:spacing w:after="0" w:line="156"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3.13</w:t>
      </w:r>
      <w:r>
        <w:rPr>
          <w:sz w:val="20"/>
          <w:szCs w:val="20"/>
          <w:color w:val="auto"/>
        </w:rPr>
        <w:tab/>
      </w:r>
      <w:r>
        <w:rPr>
          <w:rFonts w:ascii="Arial" w:cs="Arial" w:eastAsia="Arial" w:hAnsi="Arial"/>
          <w:sz w:val="14"/>
          <w:szCs w:val="14"/>
          <w:u w:val="single" w:color="auto"/>
          <w:color w:val="auto"/>
        </w:rPr>
        <w:t>CUSIP Numbers</w:t>
      </w:r>
      <w:r>
        <w:rPr>
          <w:rFonts w:ascii="Arial" w:cs="Arial" w:eastAsia="Arial" w:hAnsi="Arial"/>
          <w:sz w:val="14"/>
          <w:szCs w:val="14"/>
          <w:color w:val="auto"/>
        </w:rPr>
        <w:t>.</w:t>
      </w:r>
    </w:p>
    <w:p>
      <w:pPr>
        <w:spacing w:after="0" w:line="221" w:lineRule="exact"/>
        <w:rPr>
          <w:sz w:val="20"/>
          <w:szCs w:val="20"/>
          <w:color w:val="auto"/>
        </w:rPr>
      </w:pPr>
    </w:p>
    <w:p>
      <w:pPr>
        <w:ind w:right="60" w:firstLine="483"/>
        <w:spacing w:after="0" w:line="271" w:lineRule="auto"/>
        <w:rPr>
          <w:sz w:val="20"/>
          <w:szCs w:val="20"/>
          <w:color w:val="auto"/>
        </w:rPr>
      </w:pPr>
      <w:r>
        <w:rPr>
          <w:rFonts w:ascii="Arial" w:cs="Arial" w:eastAsia="Arial" w:hAnsi="Arial"/>
          <w:sz w:val="16"/>
          <w:szCs w:val="16"/>
          <w:color w:val="auto"/>
        </w:rPr>
        <w:t>The Company in issuing any Securities may use CUSIP, ISIN or other similar numbers, if then generally in use, and thereafter with respect to such series, the Trustee may use such numbers in any notice of redemption or exchange with respect to such series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in writing of any change in the CUSIP, ISIN or other similar numbers.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IV</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REDEMPTION OF SECURITIES</w:t>
      </w:r>
    </w:p>
    <w:p>
      <w:pPr>
        <w:spacing w:after="0" w:line="21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4.01</w:t>
      </w:r>
      <w:r>
        <w:rPr>
          <w:sz w:val="20"/>
          <w:szCs w:val="20"/>
          <w:color w:val="auto"/>
        </w:rPr>
        <w:tab/>
      </w:r>
      <w:r>
        <w:rPr>
          <w:rFonts w:ascii="Arial" w:cs="Arial" w:eastAsia="Arial" w:hAnsi="Arial"/>
          <w:sz w:val="15"/>
          <w:szCs w:val="15"/>
          <w:u w:val="single" w:color="auto"/>
          <w:color w:val="auto"/>
        </w:rPr>
        <w:t>Applicability of Right of Redemption</w:t>
      </w:r>
      <w:r>
        <w:rPr>
          <w:rFonts w:ascii="Arial" w:cs="Arial" w:eastAsia="Arial" w:hAnsi="Arial"/>
          <w:sz w:val="15"/>
          <w:szCs w:val="15"/>
          <w:color w:val="auto"/>
        </w:rPr>
        <w:t>.</w:t>
      </w:r>
    </w:p>
    <w:p>
      <w:pPr>
        <w:spacing w:after="0" w:line="221" w:lineRule="exact"/>
        <w:rPr>
          <w:sz w:val="20"/>
          <w:szCs w:val="20"/>
          <w:color w:val="auto"/>
        </w:rPr>
      </w:pPr>
    </w:p>
    <w:p>
      <w:pPr>
        <w:ind w:right="160" w:firstLine="486"/>
        <w:spacing w:after="0" w:line="278" w:lineRule="auto"/>
        <w:rPr>
          <w:sz w:val="20"/>
          <w:szCs w:val="20"/>
          <w:color w:val="auto"/>
        </w:rPr>
      </w:pPr>
      <w:r>
        <w:rPr>
          <w:rFonts w:ascii="Arial" w:cs="Arial" w:eastAsia="Arial" w:hAnsi="Arial"/>
          <w:sz w:val="16"/>
          <w:szCs w:val="16"/>
          <w:color w:val="auto"/>
        </w:rPr>
        <w:t>Redemption of Securities (other than pursuant to a sinking fund, amortization or analogous provision) permitted by the terms of any series of Securities shall be made (except as otherwise specified pursuant to Section 3.01 for Securities of any series) in accordance with this Article; provided, however, that if any such terms of a series of Securities shall conflict with any provision of this Article, the terms of such series shall govern.</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4.02</w:t>
      </w:r>
      <w:r>
        <w:rPr>
          <w:sz w:val="20"/>
          <w:szCs w:val="20"/>
          <w:color w:val="auto"/>
        </w:rPr>
        <w:tab/>
      </w:r>
      <w:r>
        <w:rPr>
          <w:rFonts w:ascii="Arial" w:cs="Arial" w:eastAsia="Arial" w:hAnsi="Arial"/>
          <w:sz w:val="14"/>
          <w:szCs w:val="14"/>
          <w:u w:val="single" w:color="auto"/>
          <w:color w:val="auto"/>
        </w:rPr>
        <w:t>Selection of Securities to be Redeemed</w:t>
      </w:r>
      <w:r>
        <w:rPr>
          <w:rFonts w:ascii="Arial" w:cs="Arial" w:eastAsia="Arial" w:hAnsi="Arial"/>
          <w:sz w:val="14"/>
          <w:szCs w:val="14"/>
          <w:color w:val="auto"/>
        </w:rPr>
        <w:t>.</w:t>
      </w:r>
    </w:p>
    <w:p>
      <w:pPr>
        <w:spacing w:after="0" w:line="221" w:lineRule="exact"/>
        <w:rPr>
          <w:sz w:val="20"/>
          <w:szCs w:val="20"/>
          <w:color w:val="auto"/>
        </w:rPr>
      </w:pPr>
    </w:p>
    <w:p>
      <w:pPr>
        <w:ind w:right="40" w:firstLine="1305"/>
        <w:spacing w:after="0" w:line="268" w:lineRule="auto"/>
        <w:tabs>
          <w:tab w:leader="none" w:pos="1679"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Company shall at any time elect to redeem all or any portion of the Securities of a series then Outstanding, it shall at least 45 days prior to the Redemption Date fixed by the Company (unless a shorter period shall be satisfactory to the Trustee) notify the Trustee of (i) such Redemption Date, (ii) the Section of this Indenture pursuant to which the redemption shall occur, (iii) the Redemption Price, and (iv) the principal amount of Securities to be redeemed, and thereupon the Trustee shall select, by lot or in such other manner as the Trustee shall deem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The Trustee shall, as soon as practicable, notify the Company in writing of the Securities and portions of Securities so selected.</w:t>
      </w:r>
    </w:p>
    <w:p>
      <w:pPr>
        <w:spacing w:after="0" w:line="179" w:lineRule="exact"/>
        <w:rPr>
          <w:rFonts w:ascii="Arial" w:cs="Arial" w:eastAsia="Arial" w:hAnsi="Arial"/>
          <w:sz w:val="16"/>
          <w:szCs w:val="16"/>
          <w:color w:val="auto"/>
        </w:rPr>
      </w:pPr>
    </w:p>
    <w:p>
      <w:pPr>
        <w:ind w:right="40" w:firstLine="1305"/>
        <w:spacing w:after="0" w:line="305" w:lineRule="auto"/>
        <w:tabs>
          <w:tab w:leader="none" w:pos="1688" w:val="left"/>
        </w:tabs>
        <w:numPr>
          <w:ilvl w:val="0"/>
          <w:numId w:val="56"/>
        </w:numPr>
        <w:rPr>
          <w:rFonts w:ascii="Arial" w:cs="Arial" w:eastAsia="Arial" w:hAnsi="Arial"/>
          <w:sz w:val="15"/>
          <w:szCs w:val="15"/>
          <w:color w:val="auto"/>
        </w:rPr>
      </w:pPr>
      <w:r>
        <w:rPr>
          <w:rFonts w:ascii="Arial" w:cs="Arial" w:eastAsia="Arial" w:hAnsi="Arial"/>
          <w:sz w:val="15"/>
          <w:szCs w:val="15"/>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that has been or is to be redeemed. If the Company shall so direct, Securities registered in the name of the Company, any Affiliate or any Subsidiary thereof shall not be included in the Securities selected for redemption.</w:t>
      </w:r>
    </w:p>
    <w:p>
      <w:pPr>
        <w:spacing w:after="0" w:line="153"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4.03</w:t>
      </w:r>
      <w:r>
        <w:rPr>
          <w:sz w:val="20"/>
          <w:szCs w:val="20"/>
          <w:color w:val="auto"/>
        </w:rPr>
        <w:tab/>
      </w:r>
      <w:r>
        <w:rPr>
          <w:rFonts w:ascii="Arial" w:cs="Arial" w:eastAsia="Arial" w:hAnsi="Arial"/>
          <w:sz w:val="14"/>
          <w:szCs w:val="14"/>
          <w:u w:val="single" w:color="auto"/>
          <w:color w:val="auto"/>
        </w:rPr>
        <w:t>Notice of Redemption</w:t>
      </w:r>
      <w:r>
        <w:rPr>
          <w:rFonts w:ascii="Arial" w:cs="Arial" w:eastAsia="Arial" w:hAnsi="Arial"/>
          <w:sz w:val="14"/>
          <w:szCs w:val="14"/>
          <w:color w:val="auto"/>
        </w:rPr>
        <w:t>.</w:t>
      </w:r>
    </w:p>
    <w:p>
      <w:pPr>
        <w:spacing w:after="0" w:line="221" w:lineRule="exact"/>
        <w:rPr>
          <w:sz w:val="20"/>
          <w:szCs w:val="20"/>
          <w:color w:val="auto"/>
        </w:rPr>
      </w:pPr>
    </w:p>
    <w:p>
      <w:pPr>
        <w:ind w:firstLine="1305"/>
        <w:spacing w:after="0" w:line="271" w:lineRule="auto"/>
        <w:tabs>
          <w:tab w:leader="none" w:pos="1679"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Notice of redemption shall be given by the Company or, at the Company’s request, by the Trustee in the name and at the expense of the Company, not less than 30 nor more than 60 days prior to the Redemption Date, to the Holders of Securities of any series to be redeemed in whole or in part pursuant to this Article, in the manner provided in Section 16.04. Any notice so given shall be conclusively presumed to have been duly given, whether or not the Holder receives such notice. Failure to give such notice, or any defect in such notice to the Holder of any Security of a series designated for redemption, in whole or in part, shall not affect the sufficiency of any notice of redemption with respect to the Holder of any other Security of such series.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5" w:name="page46"/>
    <w:bookmarkEnd w:id="45"/>
    <w:p>
      <w:pPr>
        <w:ind w:left="1700" w:hanging="395"/>
        <w:spacing w:after="0"/>
        <w:tabs>
          <w:tab w:leader="none" w:pos="17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All notices of redemption shall identify the Securities to be redeemed (including CUSIP, ISIN or other similar numbers, if available) and shall state:</w:t>
      </w:r>
    </w:p>
    <w:p>
      <w:pPr>
        <w:spacing w:after="0" w:line="232" w:lineRule="exact"/>
        <w:rPr>
          <w:rFonts w:ascii="Arial" w:cs="Arial" w:eastAsia="Arial" w:hAnsi="Arial"/>
          <w:sz w:val="15"/>
          <w:szCs w:val="15"/>
          <w:color w:val="auto"/>
        </w:rPr>
      </w:pPr>
    </w:p>
    <w:p>
      <w:pPr>
        <w:ind w:right="580" w:firstLine="1791"/>
        <w:spacing w:after="0" w:line="293" w:lineRule="auto"/>
        <w:tabs>
          <w:tab w:leader="none" w:pos="2098" w:val="left"/>
        </w:tabs>
        <w:numPr>
          <w:ilvl w:val="1"/>
          <w:numId w:val="58"/>
        </w:numPr>
        <w:rPr>
          <w:rFonts w:ascii="Arial" w:cs="Arial" w:eastAsia="Arial" w:hAnsi="Arial"/>
          <w:sz w:val="16"/>
          <w:szCs w:val="16"/>
          <w:color w:val="auto"/>
        </w:rPr>
      </w:pPr>
      <w:r>
        <w:rPr>
          <w:rFonts w:ascii="Arial" w:cs="Arial" w:eastAsia="Arial" w:hAnsi="Arial"/>
          <w:sz w:val="16"/>
          <w:szCs w:val="16"/>
          <w:color w:val="auto"/>
        </w:rPr>
        <w:t>such election by the Company to redeem Securities of such series pursuant to provisions contained in this Indenture or the terms of the Securities of such series or a supplemental indenture establishing such series, if such be the case;</w:t>
      </w:r>
    </w:p>
    <w:p>
      <w:pPr>
        <w:spacing w:after="0" w:line="158" w:lineRule="exact"/>
        <w:rPr>
          <w:rFonts w:ascii="Arial" w:cs="Arial" w:eastAsia="Arial" w:hAnsi="Arial"/>
          <w:sz w:val="16"/>
          <w:szCs w:val="16"/>
          <w:color w:val="auto"/>
        </w:rPr>
      </w:pPr>
    </w:p>
    <w:p>
      <w:pPr>
        <w:ind w:left="2160" w:hanging="369"/>
        <w:spacing w:after="0"/>
        <w:tabs>
          <w:tab w:leader="none" w:pos="21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Redemption Date;</w:t>
      </w:r>
    </w:p>
    <w:p>
      <w:pPr>
        <w:spacing w:after="0" w:line="221" w:lineRule="exact"/>
        <w:rPr>
          <w:rFonts w:ascii="Arial" w:cs="Arial" w:eastAsia="Arial" w:hAnsi="Arial"/>
          <w:sz w:val="16"/>
          <w:szCs w:val="16"/>
          <w:color w:val="auto"/>
        </w:rPr>
      </w:pPr>
    </w:p>
    <w:p>
      <w:pPr>
        <w:ind w:left="2200" w:hanging="409"/>
        <w:spacing w:after="0"/>
        <w:tabs>
          <w:tab w:leader="none" w:pos="22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Redemption Price;</w:t>
      </w:r>
    </w:p>
    <w:p>
      <w:pPr>
        <w:spacing w:after="0" w:line="221" w:lineRule="exact"/>
        <w:rPr>
          <w:rFonts w:ascii="Arial" w:cs="Arial" w:eastAsia="Arial" w:hAnsi="Arial"/>
          <w:sz w:val="16"/>
          <w:szCs w:val="16"/>
          <w:color w:val="auto"/>
        </w:rPr>
      </w:pPr>
    </w:p>
    <w:p>
      <w:pPr>
        <w:ind w:right="100" w:firstLine="1791"/>
        <w:spacing w:after="0" w:line="293" w:lineRule="auto"/>
        <w:tabs>
          <w:tab w:leader="none" w:pos="2179" w:val="left"/>
        </w:tabs>
        <w:numPr>
          <w:ilvl w:val="1"/>
          <w:numId w:val="58"/>
        </w:numPr>
        <w:rPr>
          <w:rFonts w:ascii="Arial" w:cs="Arial" w:eastAsia="Arial" w:hAnsi="Arial"/>
          <w:sz w:val="16"/>
          <w:szCs w:val="16"/>
          <w:color w:val="auto"/>
        </w:rPr>
      </w:pPr>
      <w:r>
        <w:rPr>
          <w:rFonts w:ascii="Arial" w:cs="Arial" w:eastAsia="Arial" w:hAnsi="Arial"/>
          <w:sz w:val="16"/>
          <w:szCs w:val="16"/>
          <w:color w:val="auto"/>
        </w:rPr>
        <w:t>if less than all Outstanding Securities of any series are to be redeemed, the identification (and, in the case of partial redemption, the principal amounts) of the Securities of such series to be redeemed;</w:t>
      </w:r>
    </w:p>
    <w:p>
      <w:pPr>
        <w:spacing w:after="0" w:line="158" w:lineRule="exact"/>
        <w:rPr>
          <w:rFonts w:ascii="Arial" w:cs="Arial" w:eastAsia="Arial" w:hAnsi="Arial"/>
          <w:sz w:val="16"/>
          <w:szCs w:val="16"/>
          <w:color w:val="auto"/>
        </w:rPr>
      </w:pPr>
    </w:p>
    <w:p>
      <w:pPr>
        <w:ind w:right="600" w:firstLine="1791"/>
        <w:spacing w:after="0" w:line="293" w:lineRule="auto"/>
        <w:tabs>
          <w:tab w:leader="none" w:pos="2134"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that on the Redemption Date the Redemption Price will become due and payable upon each such Security to be redeemed, and that, if applicable, interest thereon shall cease to accrue on and after said date;</w:t>
      </w:r>
    </w:p>
    <w:p>
      <w:pPr>
        <w:spacing w:after="0" w:line="158" w:lineRule="exact"/>
        <w:rPr>
          <w:rFonts w:ascii="Arial" w:cs="Arial" w:eastAsia="Arial" w:hAnsi="Arial"/>
          <w:sz w:val="16"/>
          <w:szCs w:val="16"/>
          <w:color w:val="auto"/>
        </w:rPr>
      </w:pPr>
    </w:p>
    <w:p>
      <w:pPr>
        <w:ind w:left="2180" w:hanging="389"/>
        <w:spacing w:after="0"/>
        <w:tabs>
          <w:tab w:leader="none" w:pos="21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Place or Places of Payment where such Securities are to be surrendered for payment of the Redemption Price; and</w:t>
      </w:r>
    </w:p>
    <w:p>
      <w:pPr>
        <w:spacing w:after="0" w:line="221" w:lineRule="exact"/>
        <w:rPr>
          <w:rFonts w:ascii="Arial" w:cs="Arial" w:eastAsia="Arial" w:hAnsi="Arial"/>
          <w:sz w:val="16"/>
          <w:szCs w:val="16"/>
          <w:color w:val="auto"/>
        </w:rPr>
      </w:pPr>
    </w:p>
    <w:p>
      <w:pPr>
        <w:ind w:left="2240" w:hanging="449"/>
        <w:spacing w:after="0"/>
        <w:tabs>
          <w:tab w:leader="none" w:pos="22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that the redemption is for a sinking fund, if such is the case;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4.04</w:t>
      </w:r>
      <w:r>
        <w:rPr>
          <w:sz w:val="20"/>
          <w:szCs w:val="20"/>
          <w:color w:val="auto"/>
        </w:rPr>
        <w:tab/>
      </w:r>
      <w:r>
        <w:rPr>
          <w:rFonts w:ascii="Arial" w:cs="Arial" w:eastAsia="Arial" w:hAnsi="Arial"/>
          <w:sz w:val="14"/>
          <w:szCs w:val="14"/>
          <w:u w:val="single" w:color="auto"/>
          <w:color w:val="auto"/>
        </w:rPr>
        <w:t>Deposit of Redemption Price</w:t>
      </w:r>
      <w:r>
        <w:rPr>
          <w:rFonts w:ascii="Arial" w:cs="Arial" w:eastAsia="Arial" w:hAnsi="Arial"/>
          <w:sz w:val="14"/>
          <w:szCs w:val="14"/>
          <w:color w:val="auto"/>
        </w:rPr>
        <w:t>.</w:t>
      </w:r>
    </w:p>
    <w:p>
      <w:pPr>
        <w:spacing w:after="0" w:line="221" w:lineRule="exact"/>
        <w:rPr>
          <w:sz w:val="20"/>
          <w:szCs w:val="20"/>
          <w:color w:val="auto"/>
        </w:rPr>
      </w:pPr>
    </w:p>
    <w:p>
      <w:pPr>
        <w:ind w:right="220" w:firstLine="486"/>
        <w:spacing w:after="0" w:line="273" w:lineRule="auto"/>
        <w:rPr>
          <w:sz w:val="20"/>
          <w:szCs w:val="20"/>
          <w:color w:val="auto"/>
        </w:rPr>
      </w:pPr>
      <w:r>
        <w:rPr>
          <w:rFonts w:ascii="Arial" w:cs="Arial" w:eastAsia="Arial" w:hAnsi="Arial"/>
          <w:sz w:val="16"/>
          <w:szCs w:val="16"/>
          <w:color w:val="auto"/>
        </w:rPr>
        <w:t>On or prior to 11:00 a.m., New York City time, on the Redemption Date for any Securities, the Company shall deposit with the Trustee or with a Paying Agent (or, if the Company is acting as its own Paying Agent, segregate and hold in trust as provided in Section 6.03) an amount of money in the Currency in which such Securities are denominated (except as provided pursuant to Section 3.01) sufficient to pay the Redemption Price of such Securities or any portions thereof that are to be redeemed on that date.</w:t>
      </w:r>
    </w:p>
    <w:p>
      <w:pPr>
        <w:spacing w:after="0" w:line="176"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4.05</w:t>
      </w:r>
      <w:r>
        <w:rPr>
          <w:sz w:val="20"/>
          <w:szCs w:val="20"/>
          <w:color w:val="auto"/>
        </w:rPr>
        <w:tab/>
      </w:r>
      <w:r>
        <w:rPr>
          <w:rFonts w:ascii="Arial" w:cs="Arial" w:eastAsia="Arial" w:hAnsi="Arial"/>
          <w:sz w:val="14"/>
          <w:szCs w:val="14"/>
          <w:u w:val="single" w:color="auto"/>
          <w:color w:val="auto"/>
        </w:rPr>
        <w:t>Securities Payable on Redemption Date</w:t>
      </w:r>
      <w:r>
        <w:rPr>
          <w:rFonts w:ascii="Arial" w:cs="Arial" w:eastAsia="Arial" w:hAnsi="Arial"/>
          <w:sz w:val="14"/>
          <w:szCs w:val="14"/>
          <w:color w:val="auto"/>
        </w:rPr>
        <w:t>.</w:t>
      </w:r>
    </w:p>
    <w:p>
      <w:pPr>
        <w:spacing w:after="0" w:line="221" w:lineRule="exact"/>
        <w:rPr>
          <w:sz w:val="20"/>
          <w:szCs w:val="20"/>
          <w:color w:val="auto"/>
        </w:rPr>
      </w:pPr>
    </w:p>
    <w:p>
      <w:pPr>
        <w:ind w:firstLine="486"/>
        <w:spacing w:after="0" w:line="271" w:lineRule="auto"/>
        <w:rPr>
          <w:sz w:val="20"/>
          <w:szCs w:val="20"/>
          <w:color w:val="auto"/>
        </w:rPr>
      </w:pPr>
      <w:r>
        <w:rPr>
          <w:rFonts w:ascii="Arial" w:cs="Arial" w:eastAsia="Arial" w:hAnsi="Arial"/>
          <w:sz w:val="16"/>
          <w:szCs w:val="16"/>
          <w:color w:val="auto"/>
        </w:rPr>
        <w:t>Notice of redemption having been given as aforesaid, any Securities so to be redeemed shall, on the Redemption Date, become due and payable at the Redemption Price and from and after such date (unless the Company shall Default in the payment of the Redemption Price) such Securities shall cease to bear interest. Upon surrender of any such Security for redemption in accordance with said notice, such Security shall be paid by the Company at the Redemption Price; provided, however,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17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If any Security called for redemption shall not be so paid upon surrender thereof for redemption, the principal thereof and premium, if any, thereon shall, until paid, bear interest from the Redemption Date at the rate prescribed therefor in the Security.</w:t>
      </w:r>
    </w:p>
    <w:p>
      <w:pPr>
        <w:spacing w:after="0" w:line="15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4.06</w:t>
      </w:r>
      <w:r>
        <w:rPr>
          <w:sz w:val="20"/>
          <w:szCs w:val="20"/>
          <w:color w:val="auto"/>
        </w:rPr>
        <w:tab/>
      </w:r>
      <w:r>
        <w:rPr>
          <w:rFonts w:ascii="Arial" w:cs="Arial" w:eastAsia="Arial" w:hAnsi="Arial"/>
          <w:sz w:val="14"/>
          <w:szCs w:val="14"/>
          <w:u w:val="single" w:color="auto"/>
          <w:color w:val="auto"/>
        </w:rPr>
        <w:t>Securities Redeemed in Part</w:t>
      </w:r>
      <w:r>
        <w:rPr>
          <w:rFonts w:ascii="Arial" w:cs="Arial" w:eastAsia="Arial" w:hAnsi="Arial"/>
          <w:sz w:val="14"/>
          <w:szCs w:val="14"/>
          <w:color w:val="auto"/>
        </w:rPr>
        <w:t>.</w:t>
      </w:r>
    </w:p>
    <w:p>
      <w:pPr>
        <w:spacing w:after="0" w:line="221" w:lineRule="exact"/>
        <w:rPr>
          <w:sz w:val="20"/>
          <w:szCs w:val="20"/>
          <w:color w:val="auto"/>
        </w:rPr>
      </w:pPr>
    </w:p>
    <w:p>
      <w:pPr>
        <w:ind w:right="280" w:firstLine="518"/>
        <w:spacing w:after="0" w:line="287" w:lineRule="auto"/>
        <w:rPr>
          <w:sz w:val="20"/>
          <w:szCs w:val="20"/>
          <w:color w:val="auto"/>
        </w:rPr>
      </w:pPr>
      <w:r>
        <w:rPr>
          <w:rFonts w:ascii="Arial" w:cs="Arial" w:eastAsia="Arial" w:hAnsi="Arial"/>
          <w:sz w:val="15"/>
          <w:szCs w:val="15"/>
          <w:color w:val="auto"/>
        </w:rPr>
        <w:t>Any Security that is to be redeemed only in part shall be surrendered at the Corporate Trust Office or such other office or agency of the Company as is specified pursuant to Section 3.01 with, if the Company, the Registrar or the Trustee so requires, due endorsement by, or a written instrument of transfer in form satisfactory to the Company, the Registrar and the Trustee duly executed by the Holder thereof or his, her or its attorney duly authorized in writing, and the Company shall execute, and the Trustee shall authenticate and deliver to the Holder of such Security without service charge, a new Security or Securities of the same series, of like tenor and form, of any authorized denomination as requested by such Holder in aggregate principal amount equal to and in exchange for the unredeemed portion of the principal of the Security so surrendered; except that if a Global Security is so surrendered, the Company shall execute, and the Trustee shall authenticate and deliver to the Depositary for such Global Security, without service charge, a new Global Security in a denomination equal to and in exchange for the unredeemed portion of the principal of the Global Security so surrendered. In the case of a Security providing appropriate space for such notation, at the option of the Holder thereof, the Trustee, in lieu of delivering a new Security or Securities as aforesaid, may make a notation on such Security of the payment of the redeemed portion thereof.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6" w:name="page47"/>
    <w:bookmarkEnd w:id="46"/>
    <w:p>
      <w:pPr>
        <w:ind w:left="5280"/>
        <w:spacing w:after="0"/>
        <w:rPr>
          <w:sz w:val="20"/>
          <w:szCs w:val="20"/>
          <w:color w:val="auto"/>
        </w:rPr>
      </w:pPr>
      <w:r>
        <w:rPr>
          <w:rFonts w:ascii="Arial" w:cs="Arial" w:eastAsia="Arial" w:hAnsi="Arial"/>
          <w:sz w:val="16"/>
          <w:szCs w:val="16"/>
          <w:b w:val="1"/>
          <w:bCs w:val="1"/>
          <w:color w:val="auto"/>
        </w:rPr>
        <w:t>ARTICLE V</w:t>
      </w:r>
    </w:p>
    <w:p>
      <w:pPr>
        <w:spacing w:after="0" w:line="26"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SINKING FUNDS</w:t>
      </w:r>
    </w:p>
    <w:p>
      <w:pPr>
        <w:spacing w:after="0" w:line="21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5.01</w:t>
      </w:r>
      <w:r>
        <w:rPr>
          <w:sz w:val="20"/>
          <w:szCs w:val="20"/>
          <w:color w:val="auto"/>
        </w:rPr>
        <w:tab/>
      </w:r>
      <w:r>
        <w:rPr>
          <w:rFonts w:ascii="Arial" w:cs="Arial" w:eastAsia="Arial" w:hAnsi="Arial"/>
          <w:sz w:val="15"/>
          <w:szCs w:val="15"/>
          <w:u w:val="single" w:color="auto"/>
          <w:color w:val="auto"/>
        </w:rPr>
        <w:t>Applicability of Sinking Fund</w:t>
      </w:r>
      <w:r>
        <w:rPr>
          <w:rFonts w:ascii="Arial" w:cs="Arial" w:eastAsia="Arial" w:hAnsi="Arial"/>
          <w:sz w:val="15"/>
          <w:szCs w:val="15"/>
          <w:color w:val="auto"/>
        </w:rPr>
        <w:t>.</w:t>
      </w:r>
    </w:p>
    <w:p>
      <w:pPr>
        <w:spacing w:after="0" w:line="221" w:lineRule="exact"/>
        <w:rPr>
          <w:sz w:val="20"/>
          <w:szCs w:val="20"/>
          <w:color w:val="auto"/>
        </w:rPr>
      </w:pPr>
    </w:p>
    <w:p>
      <w:pPr>
        <w:ind w:firstLine="1305"/>
        <w:spacing w:after="0" w:line="305" w:lineRule="auto"/>
        <w:tabs>
          <w:tab w:leader="none" w:pos="1679"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Redemption of Securities permitted or required pursuant to a sinking fund for the retirement of Securities of a series by the terms of such series of Securities shall be made in accordance with such terms of such series of Securities and this Article, except as otherwise specified pursuant to Section 3.01 for Securities of such series, provided, however, that if any such terms of a series of Securities shall conflict with any provision of this Article, the terms of such series shall govern.</w:t>
      </w:r>
    </w:p>
    <w:p>
      <w:pPr>
        <w:spacing w:after="0" w:line="152" w:lineRule="exact"/>
        <w:rPr>
          <w:rFonts w:ascii="Arial" w:cs="Arial" w:eastAsia="Arial" w:hAnsi="Arial"/>
          <w:sz w:val="15"/>
          <w:szCs w:val="15"/>
          <w:color w:val="auto"/>
        </w:rPr>
      </w:pPr>
    </w:p>
    <w:p>
      <w:pPr>
        <w:ind w:right="20" w:firstLine="1305"/>
        <w:spacing w:after="0" w:line="273" w:lineRule="auto"/>
        <w:tabs>
          <w:tab w:leader="none" w:pos="168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5.02.</w:t>
      </w:r>
    </w:p>
    <w:p>
      <w:pPr>
        <w:spacing w:after="0" w:line="176"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5.02</w:t>
      </w:r>
      <w:r>
        <w:rPr>
          <w:sz w:val="20"/>
          <w:szCs w:val="20"/>
          <w:color w:val="auto"/>
        </w:rPr>
        <w:tab/>
      </w:r>
      <w:r>
        <w:rPr>
          <w:rFonts w:ascii="Arial" w:cs="Arial" w:eastAsia="Arial" w:hAnsi="Arial"/>
          <w:sz w:val="15"/>
          <w:szCs w:val="15"/>
          <w:u w:val="single" w:color="auto"/>
          <w:color w:val="auto"/>
        </w:rPr>
        <w:t>Mandatory Sinking Fund Obligation</w:t>
      </w:r>
      <w:r>
        <w:rPr>
          <w:rFonts w:ascii="Arial" w:cs="Arial" w:eastAsia="Arial" w:hAnsi="Arial"/>
          <w:sz w:val="15"/>
          <w:szCs w:val="15"/>
          <w:color w:val="auto"/>
        </w:rPr>
        <w:t>.</w:t>
      </w: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Company may, at its option, satisfy any Mandatory Sinking Fund Payment obligation, in whole or in part, with respect to a particular series of Securities by</w:t>
      </w:r>
    </w:p>
    <w:p>
      <w:pPr>
        <w:spacing w:after="0" w:line="22" w:lineRule="exact"/>
        <w:rPr>
          <w:sz w:val="20"/>
          <w:szCs w:val="20"/>
          <w:color w:val="auto"/>
        </w:rPr>
      </w:pPr>
    </w:p>
    <w:p>
      <w:pPr>
        <w:ind w:right="40" w:firstLine="8"/>
        <w:spacing w:after="0" w:line="267" w:lineRule="auto"/>
        <w:tabs>
          <w:tab w:leader="none" w:pos="2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delivering to the Trustee Securities of such series in transferable form theretofore purchased or otherwise acquired by the Company or redeemed at the election of the Company pursuant to Section 4.03 or (b) receiving credit for Securities of such series (not previously so credited) acquired by the Company and theretofore delivered to the Trustee. The Trustee shall credit such Mandatory Sinking Fund Payment obligation with an amount equal to the Redemption Price specified in such Securities for redemption through operation of the sinking fund and the amount of such Mandatory Sinking Fund Payment shall be reduced accordingly. If the Company shall elect to so satisfy any Mandatory Sinking Fund Payment obligation, it shall deliver to the Trustee not less than 45 days prior to the relevant sinking fund payment date an Officer’s Certificate, which shall designate the Securities (and portions thereof, if any) so delivered or credited and which shall be accompanied by such Securities (to the extent not theretofore delivered) in transferable form. In case of the failure of the Company, at or before the time so required, to give such notice and deliver such Securities the Mandatory Sinking Fund Payment obligation shall be paid entirely in moneys.</w:t>
      </w:r>
    </w:p>
    <w:p>
      <w:pPr>
        <w:spacing w:after="0" w:line="182"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5.03</w:t>
      </w:r>
      <w:r>
        <w:rPr>
          <w:sz w:val="20"/>
          <w:szCs w:val="20"/>
          <w:color w:val="auto"/>
        </w:rPr>
        <w:tab/>
      </w:r>
      <w:r>
        <w:rPr>
          <w:rFonts w:ascii="Arial" w:cs="Arial" w:eastAsia="Arial" w:hAnsi="Arial"/>
          <w:sz w:val="14"/>
          <w:szCs w:val="14"/>
          <w:u w:val="single" w:color="auto"/>
          <w:color w:val="auto"/>
        </w:rPr>
        <w:t>Optional Redemption at Sinking Fund Redemption Price</w:t>
      </w:r>
      <w:r>
        <w:rPr>
          <w:rFonts w:ascii="Arial" w:cs="Arial" w:eastAsia="Arial" w:hAnsi="Arial"/>
          <w:sz w:val="14"/>
          <w:szCs w:val="14"/>
          <w:color w:val="auto"/>
        </w:rPr>
        <w:t>.</w:t>
      </w:r>
    </w:p>
    <w:p>
      <w:pPr>
        <w:spacing w:after="0" w:line="221" w:lineRule="exact"/>
        <w:rPr>
          <w:sz w:val="20"/>
          <w:szCs w:val="20"/>
          <w:color w:val="auto"/>
        </w:rPr>
      </w:pPr>
    </w:p>
    <w:p>
      <w:pPr>
        <w:ind w:right="60" w:firstLine="486"/>
        <w:spacing w:after="0" w:line="289" w:lineRule="auto"/>
        <w:rPr>
          <w:sz w:val="20"/>
          <w:szCs w:val="20"/>
          <w:color w:val="auto"/>
        </w:rPr>
      </w:pPr>
      <w:r>
        <w:rPr>
          <w:rFonts w:ascii="Arial" w:cs="Arial" w:eastAsia="Arial" w:hAnsi="Arial"/>
          <w:sz w:val="15"/>
          <w:szCs w:val="15"/>
          <w:color w:val="auto"/>
        </w:rPr>
        <w:t>In addition to the sinking fund requirements of Section 5.02, to the extent, if any, provided for by the terms of a particular series of Securities, the Company may, at its option, make an Optional Sinking Fund Payment with respect to such Securities. Unless otherwise provided by such terms, (a) to the extent that the right of the Company to make such Optional Sinking Fund Payment shall not be exercised in any year, it shall not be cumulative or carried forward to any subsequent year, and (b) such optional payment shall operate to reduce the amount of any Mandatory Sinking Fund Payment obligation as to Securities of the same series. If the Company intends to exercise its right to make such optional payment in any year it shall deliver to the Trustee not less than 45 days prior to the relevant sinking fund payment date an Officer’s Certificate stating that the Company will exercise such optional right, and specifying the amount which the Company will pay on or before the next succeeding sinking fund payment date. Such Officer’s Certificate shall also state that no Event of Default has occurred and is continuing.</w:t>
      </w:r>
    </w:p>
    <w:p>
      <w:pPr>
        <w:spacing w:after="0" w:line="16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5.04</w:t>
      </w:r>
      <w:r>
        <w:rPr>
          <w:sz w:val="20"/>
          <w:szCs w:val="20"/>
          <w:color w:val="auto"/>
        </w:rPr>
        <w:tab/>
      </w:r>
      <w:r>
        <w:rPr>
          <w:rFonts w:ascii="Arial" w:cs="Arial" w:eastAsia="Arial" w:hAnsi="Arial"/>
          <w:sz w:val="15"/>
          <w:szCs w:val="15"/>
          <w:u w:val="single" w:color="auto"/>
          <w:color w:val="auto"/>
        </w:rPr>
        <w:t>Application of Sinking Fund Payment</w:t>
      </w:r>
      <w:r>
        <w:rPr>
          <w:rFonts w:ascii="Arial" w:cs="Arial" w:eastAsia="Arial" w:hAnsi="Arial"/>
          <w:sz w:val="15"/>
          <w:szCs w:val="15"/>
          <w:color w:val="auto"/>
        </w:rPr>
        <w:t>.</w:t>
      </w:r>
    </w:p>
    <w:p>
      <w:pPr>
        <w:spacing w:after="0" w:line="221" w:lineRule="exact"/>
        <w:rPr>
          <w:sz w:val="20"/>
          <w:szCs w:val="20"/>
          <w:color w:val="auto"/>
        </w:rPr>
      </w:pPr>
    </w:p>
    <w:p>
      <w:pPr>
        <w:ind w:right="20" w:firstLine="1305"/>
        <w:spacing w:after="0" w:line="286" w:lineRule="auto"/>
        <w:tabs>
          <w:tab w:leader="none" w:pos="1679" w:val="left"/>
        </w:tabs>
        <w:numPr>
          <w:ilvl w:val="0"/>
          <w:numId w:val="61"/>
        </w:numPr>
        <w:rPr>
          <w:rFonts w:ascii="Arial" w:cs="Arial" w:eastAsia="Arial" w:hAnsi="Arial"/>
          <w:sz w:val="15"/>
          <w:szCs w:val="15"/>
          <w:color w:val="auto"/>
        </w:rPr>
      </w:pPr>
      <w:r>
        <w:rPr>
          <w:rFonts w:ascii="Arial" w:cs="Arial" w:eastAsia="Arial" w:hAnsi="Arial"/>
          <w:sz w:val="15"/>
          <w:szCs w:val="15"/>
          <w:color w:val="auto"/>
        </w:rPr>
        <w:t>If the sinking fund payment or payments made in funds pursuant to either Section 5.02 or 5.03 with respect to a particular series of Securities plus any unused balance of any preceding sinking fund payments made in funds with respect to such series shall exceed $50,000 (or a lesser sum if the Company shall so request, or such equivalent sum for Securities denominated other than in U.S. Dollars), it shall be applied by the Trustee on the sinking fund payment date next following the date of such payment, unless the date of such payment shall be a sinking fund payment date, in which case such payment shall be applied on such sinking fund payment date, to the redemption of Securities of such series at the redemption price specified pursuant to Section 4.03(b). The Trustee shall select, in the manner provided in Section 4.02, for redemption on such sinking fund payment date, a sufficient principal amount of Securities of such series to absorb said funds, as nearly as may be, and shall, at the expense and in the name of the Company, thereupon cause notice of redemption of the Securities to be given in substantially the manner provided in Section 4.03(a) for the redemption of Securities in part at the option of the Company, except that the notice of redemption shall also state that the Securities are being redeemed for the sinking fund. Any sinking fund moneys not so applied by the Trustee to the redemption of Securities of such series shall be added to the next sinking fund payment received in funds by the Trustee and, together with such payment, shall be applied in accordance with the provisions of this Section 5.04. Any and all sinking fund moneys held by the Trustee on the last sinking fund payment date with respect to Securities of such series, and not held for the payment or redemption of particular Securities of such series, shall be applied by the Trustee to the payment of the principal of the Securities of such series at Maturity.</w:t>
      </w:r>
    </w:p>
    <w:p>
      <w:pPr>
        <w:spacing w:after="0" w:line="167" w:lineRule="exact"/>
        <w:rPr>
          <w:rFonts w:ascii="Arial" w:cs="Arial" w:eastAsia="Arial" w:hAnsi="Arial"/>
          <w:sz w:val="15"/>
          <w:szCs w:val="15"/>
          <w:color w:val="auto"/>
        </w:rPr>
      </w:pPr>
    </w:p>
    <w:p>
      <w:pPr>
        <w:ind w:right="120" w:firstLine="1305"/>
        <w:spacing w:after="0" w:line="293" w:lineRule="auto"/>
        <w:tabs>
          <w:tab w:leader="none" w:pos="1688" w:val="left"/>
        </w:tabs>
        <w:numPr>
          <w:ilvl w:val="0"/>
          <w:numId w:val="61"/>
        </w:numPr>
        <w:rPr>
          <w:rFonts w:ascii="Arial" w:cs="Arial" w:eastAsia="Arial" w:hAnsi="Arial"/>
          <w:sz w:val="16"/>
          <w:szCs w:val="16"/>
          <w:color w:val="auto"/>
        </w:rPr>
      </w:pPr>
      <w:r>
        <w:rPr>
          <w:rFonts w:ascii="Arial" w:cs="Arial" w:eastAsia="Arial" w:hAnsi="Arial"/>
          <w:sz w:val="16"/>
          <w:szCs w:val="16"/>
          <w:color w:val="auto"/>
        </w:rPr>
        <w:t>On or prior to each sinking fund payment date, the Company shall pay to the Trustee a sum equal to all interest accrued to but not including the date fixed for redemption on Securities to be redeemed on such sinking fund payment date pursuant to this Section 5.04.</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47" w:name="page48"/>
    <w:bookmarkEnd w:id="47"/>
    <w:p>
      <w:pPr>
        <w:ind w:right="80" w:firstLine="1305"/>
        <w:spacing w:after="0" w:line="311" w:lineRule="auto"/>
        <w:tabs>
          <w:tab w:leader="none" w:pos="1679"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Trustee shall not redeem any Securities of a series with sinking fund moneys or mail any notice of redemption of Securities of such series by operation of the sinking fund during the continuance of a Default in payment of interest on any Securities of such series or of any Event of Default (other than an Event of Default occurring as a consequence of this paragraph) of which a Responsible Officer of the Trustee has actual knowledge, except that if the notice of redemption of any Securities of such series shall theretofore have been mailed in accordance with the provisions hereof, the Trustee shall redeem such Securities if funds sufficient for that purpose shall be deposited with the Trustee in accordance with the terms of this Article. Except as aforesaid, any moneys in the sinking fund at the time any such Default or Event of Default shall occur and any moneys thereafter paid into the sinking fund shall, during the continuance of such Default or Event of Default, be held as security for the payment of all the Securities of such series; provided, however, that in case such Default or Event of Default shall have been cured or waived as provided herein, such moneys shall thereafter be applied on the next sinking fund payment date on which such moneys are required to be applied pursuant to the provisions of this Section 5.04.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PARTICULAR COVENANTS OF THE COMPANY</w:t>
      </w: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hereby covenants and agrees as follows:</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6.01</w:t>
      </w:r>
      <w:r>
        <w:rPr>
          <w:sz w:val="20"/>
          <w:szCs w:val="20"/>
          <w:color w:val="auto"/>
        </w:rPr>
        <w:tab/>
      </w:r>
      <w:r>
        <w:rPr>
          <w:rFonts w:ascii="Arial" w:cs="Arial" w:eastAsia="Arial" w:hAnsi="Arial"/>
          <w:sz w:val="14"/>
          <w:szCs w:val="14"/>
          <w:u w:val="single" w:color="auto"/>
          <w:color w:val="auto"/>
        </w:rPr>
        <w:t>Payments of Securities</w:t>
      </w:r>
      <w:r>
        <w:rPr>
          <w:rFonts w:ascii="Arial" w:cs="Arial" w:eastAsia="Arial" w:hAnsi="Arial"/>
          <w:sz w:val="14"/>
          <w:szCs w:val="14"/>
          <w:color w:val="auto"/>
        </w:rPr>
        <w:t>.</w:t>
      </w:r>
    </w:p>
    <w:p>
      <w:pPr>
        <w:spacing w:after="0" w:line="221" w:lineRule="exact"/>
        <w:rPr>
          <w:sz w:val="20"/>
          <w:szCs w:val="20"/>
          <w:color w:val="auto"/>
        </w:rPr>
      </w:pPr>
    </w:p>
    <w:p>
      <w:pPr>
        <w:ind w:right="340" w:firstLine="1297"/>
        <w:spacing w:after="0" w:line="293" w:lineRule="auto"/>
        <w:rPr>
          <w:sz w:val="20"/>
          <w:szCs w:val="20"/>
          <w:color w:val="auto"/>
        </w:rPr>
      </w:pPr>
      <w:r>
        <w:rPr>
          <w:rFonts w:ascii="Arial" w:cs="Arial" w:eastAsia="Arial" w:hAnsi="Arial"/>
          <w:sz w:val="16"/>
          <w:szCs w:val="16"/>
          <w:color w:val="auto"/>
        </w:rPr>
        <w:t>The Company will duly and punctually pay the principal of and premium, if any, on each series of Securities, and the interest which shall have accrued thereon, at the dates and place and in the manner provided in the Securities and in this Indenture.</w:t>
      </w:r>
    </w:p>
    <w:p>
      <w:pPr>
        <w:spacing w:after="0" w:line="15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6.02</w:t>
      </w:r>
      <w:r>
        <w:rPr>
          <w:sz w:val="20"/>
          <w:szCs w:val="20"/>
          <w:color w:val="auto"/>
        </w:rPr>
        <w:tab/>
      </w:r>
      <w:r>
        <w:rPr>
          <w:rFonts w:ascii="Arial" w:cs="Arial" w:eastAsia="Arial" w:hAnsi="Arial"/>
          <w:sz w:val="14"/>
          <w:szCs w:val="14"/>
          <w:u w:val="single" w:color="auto"/>
          <w:color w:val="auto"/>
        </w:rPr>
        <w:t>Paying Agent</w:t>
      </w:r>
      <w:r>
        <w:rPr>
          <w:rFonts w:ascii="Arial" w:cs="Arial" w:eastAsia="Arial" w:hAnsi="Arial"/>
          <w:sz w:val="14"/>
          <w:szCs w:val="14"/>
          <w:color w:val="auto"/>
        </w:rPr>
        <w:t>.</w:t>
      </w:r>
    </w:p>
    <w:p>
      <w:pPr>
        <w:spacing w:after="0" w:line="221" w:lineRule="exact"/>
        <w:rPr>
          <w:sz w:val="20"/>
          <w:szCs w:val="20"/>
          <w:color w:val="auto"/>
        </w:rPr>
      </w:pPr>
    </w:p>
    <w:p>
      <w:pPr>
        <w:ind w:right="40" w:firstLine="1305"/>
        <w:spacing w:after="0" w:line="291" w:lineRule="auto"/>
        <w:tabs>
          <w:tab w:leader="none" w:pos="1679"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Company will maintain in each Place of Payment for any series of Securities, if any, an office or agency where Securities may be presented or surrendered for payment, where Securities of such series may be surrendered for registration of transfer or exchange and where notices and demands to or upon the Company in respect of the Securities and this Indenture may be served (the “Paying Agent”).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Paying Agent to receive all presentations, surrenders, notices and demands.</w:t>
      </w:r>
    </w:p>
    <w:p>
      <w:pPr>
        <w:spacing w:after="0" w:line="163" w:lineRule="exact"/>
        <w:rPr>
          <w:rFonts w:ascii="Arial" w:cs="Arial" w:eastAsia="Arial" w:hAnsi="Arial"/>
          <w:sz w:val="15"/>
          <w:szCs w:val="15"/>
          <w:color w:val="auto"/>
        </w:rPr>
      </w:pPr>
    </w:p>
    <w:p>
      <w:pPr>
        <w:ind w:right="20" w:firstLine="1305"/>
        <w:spacing w:after="0" w:line="315" w:lineRule="auto"/>
        <w:tabs>
          <w:tab w:leader="none" w:pos="1688"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Company may also from time to time designate different or additional offices or agencies where the Securities of any series may be presented or surrendered for any or all such purposes (in or outside of such Place of Payment), and may from time to time rescind any such designations; provided, however, that no such designation or rescission shall in any manner relieve the Company of its obligations described in the preceding paragraph. The Company will give prompt written notice to the Trustee of any such additional designation or rescission of designation and of any change in the location of any such different or additional office or agency. The Company shall enter into an appropriate agency agreement with any Paying Agent not a party to this Indenture. The agreement shall implement the provisions of this Indenture that relate to such agent. The Company shall notify the Trustee of the name and address of each such agent. The Company or any Affiliate thereof may act as Paying Agent.</w:t>
      </w:r>
    </w:p>
    <w:p>
      <w:pPr>
        <w:spacing w:after="0" w:line="150"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6.03</w:t>
      </w:r>
      <w:r>
        <w:rPr>
          <w:sz w:val="20"/>
          <w:szCs w:val="20"/>
          <w:color w:val="auto"/>
        </w:rPr>
        <w:tab/>
      </w:r>
      <w:r>
        <w:rPr>
          <w:rFonts w:ascii="Arial" w:cs="Arial" w:eastAsia="Arial" w:hAnsi="Arial"/>
          <w:sz w:val="14"/>
          <w:szCs w:val="14"/>
          <w:u w:val="single" w:color="auto"/>
          <w:color w:val="auto"/>
        </w:rPr>
        <w:t>To Hold Payment in Trust</w:t>
      </w:r>
      <w:r>
        <w:rPr>
          <w:rFonts w:ascii="Arial" w:cs="Arial" w:eastAsia="Arial" w:hAnsi="Arial"/>
          <w:sz w:val="14"/>
          <w:szCs w:val="14"/>
          <w:color w:val="auto"/>
        </w:rPr>
        <w:t>.</w:t>
      </w:r>
    </w:p>
    <w:p>
      <w:pPr>
        <w:spacing w:after="0" w:line="221" w:lineRule="exact"/>
        <w:rPr>
          <w:sz w:val="20"/>
          <w:szCs w:val="20"/>
          <w:color w:val="auto"/>
        </w:rPr>
      </w:pPr>
    </w:p>
    <w:p>
      <w:pPr>
        <w:ind w:right="20" w:firstLine="1305"/>
        <w:spacing w:after="0" w:line="291" w:lineRule="auto"/>
        <w:tabs>
          <w:tab w:leader="none" w:pos="1679" w:val="left"/>
        </w:tabs>
        <w:numPr>
          <w:ilvl w:val="0"/>
          <w:numId w:val="64"/>
        </w:numPr>
        <w:rPr>
          <w:rFonts w:ascii="Arial" w:cs="Arial" w:eastAsia="Arial" w:hAnsi="Arial"/>
          <w:sz w:val="15"/>
          <w:szCs w:val="15"/>
          <w:color w:val="auto"/>
        </w:rPr>
      </w:pPr>
      <w:r>
        <w:rPr>
          <w:rFonts w:ascii="Arial" w:cs="Arial" w:eastAsia="Arial" w:hAnsi="Arial"/>
          <w:sz w:val="15"/>
          <w:szCs w:val="15"/>
          <w:color w:val="auto"/>
        </w:rPr>
        <w:t>If the Company or an Affiliate thereof shall at any time act as Paying Agent with respect to any series of Securities, then, on or before the date on which the principal of and premium, if any, or interest on any of the Securities of that series by their terms or as a result of the calling thereof for redemption shall become payable, the Company or such Affiliate will segregate and hold in trust for the benefit of the Holders of such Securities or the Trustee a sum sufficient to pay such principal and premium, if any, or interest which shall have so become payable until such sums shall be paid to such Holders or otherwise disposed of as herein provided, and will notify the Trustee of its action or failure to act in that regard. Upon any proceeding under any federal bankruptcy laws with respect to the Company or any Affiliate thereof, if the Company or such Affiliate is then acting as Paying Agent, the Trustee shall replace the Company or such Affiliate as Paying Agent.</w:t>
      </w:r>
    </w:p>
    <w:p>
      <w:pPr>
        <w:spacing w:after="0" w:line="163" w:lineRule="exact"/>
        <w:rPr>
          <w:rFonts w:ascii="Arial" w:cs="Arial" w:eastAsia="Arial" w:hAnsi="Arial"/>
          <w:sz w:val="15"/>
          <w:szCs w:val="15"/>
          <w:color w:val="auto"/>
        </w:rPr>
      </w:pPr>
    </w:p>
    <w:p>
      <w:pPr>
        <w:ind w:firstLine="1305"/>
        <w:spacing w:after="0" w:line="293" w:lineRule="auto"/>
        <w:tabs>
          <w:tab w:leader="none" w:pos="1688" w:val="left"/>
        </w:tabs>
        <w:numPr>
          <w:ilvl w:val="0"/>
          <w:numId w:val="64"/>
        </w:numPr>
        <w:rPr>
          <w:rFonts w:ascii="Arial" w:cs="Arial" w:eastAsia="Arial" w:hAnsi="Arial"/>
          <w:sz w:val="15"/>
          <w:szCs w:val="15"/>
          <w:color w:val="auto"/>
        </w:rPr>
      </w:pPr>
      <w:r>
        <w:rPr>
          <w:rFonts w:ascii="Arial" w:cs="Arial" w:eastAsia="Arial" w:hAnsi="Arial"/>
          <w:sz w:val="15"/>
          <w:szCs w:val="15"/>
          <w:color w:val="auto"/>
        </w:rPr>
        <w:t>If the Company shall appoint, and at the time have, a Paying Agent for the payment of the principal of and premium, if any, or interest on any series of Securities, then prior to 11:00 a.m., New York City time, on the date on which the principal of and premium, if any, or interest on any of the Securities of that series shall become payable as aforesaid, whether by their terms or as a result of the calling thereof for redemption, the Company will deposit with such Paying Agent a sum sufficient to pay such principal and premium, if any, or interest, such sum to be held in trust for the benefit of the Holders of such Securities or the Trustee, and (unless such Paying Agent is the Trustee), the Company or any other obligor of such Securities will promptly notify the Trustee of its payment or failure to make such payment.</w:t>
      </w:r>
    </w:p>
    <w:p>
      <w:pPr>
        <w:spacing w:after="0" w:line="162" w:lineRule="exact"/>
        <w:rPr>
          <w:rFonts w:ascii="Arial" w:cs="Arial" w:eastAsia="Arial" w:hAnsi="Arial"/>
          <w:sz w:val="15"/>
          <w:szCs w:val="15"/>
          <w:color w:val="auto"/>
        </w:rPr>
      </w:pPr>
    </w:p>
    <w:p>
      <w:pPr>
        <w:ind w:right="80" w:firstLine="1305"/>
        <w:spacing w:after="0" w:line="293" w:lineRule="auto"/>
        <w:tabs>
          <w:tab w:leader="none" w:pos="1679"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Paying Agent shall be other than the Trustee, the Company will cause such Paying Agent to execute and deliver to the Trustee an instrument in which such Paying Agent shall agree with the Trustee, subject to the provisions of this Section 6.03, that such Paying Agent shall:</w:t>
      </w:r>
    </w:p>
    <w:p>
      <w:pPr>
        <w:spacing w:after="0" w:line="158" w:lineRule="exact"/>
        <w:rPr>
          <w:rFonts w:ascii="Arial" w:cs="Arial" w:eastAsia="Arial" w:hAnsi="Arial"/>
          <w:sz w:val="16"/>
          <w:szCs w:val="16"/>
          <w:color w:val="auto"/>
        </w:rPr>
      </w:pPr>
    </w:p>
    <w:p>
      <w:pPr>
        <w:ind w:right="320" w:firstLine="1791"/>
        <w:spacing w:after="0" w:line="293" w:lineRule="auto"/>
        <w:tabs>
          <w:tab w:leader="none" w:pos="2098" w:val="left"/>
        </w:tabs>
        <w:numPr>
          <w:ilvl w:val="1"/>
          <w:numId w:val="64"/>
        </w:numPr>
        <w:rPr>
          <w:rFonts w:ascii="Arial" w:cs="Arial" w:eastAsia="Arial" w:hAnsi="Arial"/>
          <w:sz w:val="16"/>
          <w:szCs w:val="16"/>
          <w:color w:val="auto"/>
        </w:rPr>
      </w:pPr>
      <w:r>
        <w:rPr>
          <w:rFonts w:ascii="Arial" w:cs="Arial" w:eastAsia="Arial" w:hAnsi="Arial"/>
          <w:sz w:val="16"/>
          <w:szCs w:val="16"/>
          <w:color w:val="auto"/>
        </w:rPr>
        <w:t>hold all moneys held by it for the payment of the principal of and premium, if any, or interest on the Securities of that series in trust for the benefit of the Holders of such Securities until such sums shall be paid to such Holders or otherwise disposed of as herein provided;</w:t>
      </w:r>
    </w:p>
    <w:p>
      <w:pPr>
        <w:spacing w:after="0" w:line="158" w:lineRule="exact"/>
        <w:rPr>
          <w:rFonts w:ascii="Arial" w:cs="Arial" w:eastAsia="Arial" w:hAnsi="Arial"/>
          <w:sz w:val="16"/>
          <w:szCs w:val="16"/>
          <w:color w:val="auto"/>
        </w:rPr>
      </w:pPr>
    </w:p>
    <w:p>
      <w:pPr>
        <w:ind w:right="80" w:firstLine="1791"/>
        <w:spacing w:after="0" w:line="293" w:lineRule="auto"/>
        <w:tabs>
          <w:tab w:leader="none" w:pos="2143" w:val="left"/>
        </w:tabs>
        <w:numPr>
          <w:ilvl w:val="1"/>
          <w:numId w:val="64"/>
        </w:numPr>
        <w:rPr>
          <w:rFonts w:ascii="Arial" w:cs="Arial" w:eastAsia="Arial" w:hAnsi="Arial"/>
          <w:sz w:val="16"/>
          <w:szCs w:val="16"/>
          <w:color w:val="auto"/>
        </w:rPr>
      </w:pPr>
      <w:r>
        <w:rPr>
          <w:rFonts w:ascii="Arial" w:cs="Arial" w:eastAsia="Arial" w:hAnsi="Arial"/>
          <w:sz w:val="16"/>
          <w:szCs w:val="16"/>
          <w:color w:val="auto"/>
        </w:rPr>
        <w:t>give to the Trustee notice of any Default by the Company or any other obligor upon the Securities of that series in the making of any payment of the principal of and premium, if any, or interest on the Securities of that series;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8" w:name="page49"/>
    <w:bookmarkEnd w:id="48"/>
    <w:p>
      <w:pPr>
        <w:ind w:left="1800"/>
        <w:spacing w:after="0"/>
        <w:tabs>
          <w:tab w:leader="none" w:pos="2180"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4"/>
          <w:szCs w:val="14"/>
          <w:color w:val="auto"/>
        </w:rPr>
        <w:t>at any time during the continuance of any such Default, upon the written request of the Trustee, pay to the Trustee all sums so held in trust by</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such Paying Agent.</w:t>
      </w:r>
    </w:p>
    <w:p>
      <w:pPr>
        <w:spacing w:after="0" w:line="217" w:lineRule="exact"/>
        <w:rPr>
          <w:sz w:val="20"/>
          <w:szCs w:val="20"/>
          <w:color w:val="auto"/>
        </w:rPr>
      </w:pPr>
    </w:p>
    <w:p>
      <w:pPr>
        <w:ind w:right="140" w:firstLine="1305"/>
        <w:spacing w:after="0" w:line="335" w:lineRule="auto"/>
        <w:tabs>
          <w:tab w:leader="none" w:pos="1688"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Anything in this Section 6.03 to the contrary notwithstanding, the Company may at any time, for the purpose of obtaining a release, satisfaction or discharge of this Indenture or for any other reason, pay or cause to be paid to the Trustee all sums held in trust by the Company or by any Paying Agent other than the Trustee as required by this Section 6.03, such sums to be held by the Trustee upon the same trusts as those upon which such sums were held by the Company or such Paying Agent.</w:t>
      </w:r>
    </w:p>
    <w:p>
      <w:pPr>
        <w:spacing w:after="0" w:line="136" w:lineRule="exact"/>
        <w:rPr>
          <w:rFonts w:ascii="Arial" w:cs="Arial" w:eastAsia="Arial" w:hAnsi="Arial"/>
          <w:sz w:val="14"/>
          <w:szCs w:val="14"/>
          <w:color w:val="auto"/>
        </w:rPr>
      </w:pPr>
    </w:p>
    <w:p>
      <w:pPr>
        <w:ind w:firstLine="1305"/>
        <w:spacing w:after="0" w:line="287" w:lineRule="auto"/>
        <w:tabs>
          <w:tab w:leader="none" w:pos="1679"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Any money deposited with the Trustee or any Paying Agent, or then held by the Company, in trust for the payment of the principal of and premium, if any, or interest on any Security of any series and remaining unclaimed for two years after such principal and premium, if any, or interest has become due and payable shall be paid to the Company upon Company Order along with any interest that has accumulated thereon as a result of such money being invested at the direction of the Company, or (if then held by the Company) shall be discharged from such trust, and the Holder of such Security shall thereafter, as an unsecured general creditor, look only to the Company for payment of such amounts without interest thereon,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16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6.04</w:t>
      </w:r>
      <w:r>
        <w:rPr>
          <w:sz w:val="20"/>
          <w:szCs w:val="20"/>
          <w:color w:val="auto"/>
        </w:rPr>
        <w:tab/>
      </w:r>
      <w:r>
        <w:rPr>
          <w:rFonts w:ascii="Arial" w:cs="Arial" w:eastAsia="Arial" w:hAnsi="Arial"/>
          <w:sz w:val="14"/>
          <w:szCs w:val="14"/>
          <w:u w:val="single" w:color="auto"/>
          <w:color w:val="auto"/>
        </w:rPr>
        <w:t>Merger, Consolidation and Sale of Assets</w:t>
      </w:r>
      <w:r>
        <w:rPr>
          <w:rFonts w:ascii="Arial" w:cs="Arial" w:eastAsia="Arial" w:hAnsi="Arial"/>
          <w:sz w:val="14"/>
          <w:szCs w:val="14"/>
          <w:color w:val="auto"/>
        </w:rPr>
        <w:t>.</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Except as otherwise provided as contemplated by Section 3.01 with respect to any series of Securities:</w:t>
      </w:r>
    </w:p>
    <w:p>
      <w:pPr>
        <w:spacing w:after="0" w:line="221" w:lineRule="exact"/>
        <w:rPr>
          <w:sz w:val="20"/>
          <w:szCs w:val="20"/>
          <w:color w:val="auto"/>
        </w:rPr>
      </w:pPr>
    </w:p>
    <w:p>
      <w:pPr>
        <w:ind w:right="40" w:firstLine="1305"/>
        <w:spacing w:after="0" w:line="287" w:lineRule="auto"/>
        <w:tabs>
          <w:tab w:leader="none" w:pos="1679"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Company will not consolidate with any other entity or accept a merger of any other entity into the Company or permit the Company to be merged into any other entity, or sell other than for cash or lease all or substantially all its assets to another entity, or purchase all or substantially all the assets of another entity, unless (i) either the Company shall be the continuing entity, or the successor, transferee or lessee entity (if other than the Company) shall expressly assume, by indenture supplemental hereto, executed and delivered by such entity prior to or simultaneously with such consolidation, merger, sale or lease, the due and punctual payment of the principal of and interest and premium, if any, on all the Securities, according to their tenor, and the due and punctual performance and observance of all other obligations to the Holders and the Trustee under this Indenture or under the Securities to be performed or observed by the Company; (ii) immediately after such consolidation, merger, sale, lease or purchase the Company or the successor, transferee or lessee entity (if other than the Company) would not be in Default in the performance of any covenant or condition of this Indenture; and (iii) either the Company or the resulting surviving or transferee Person delivers to the Trustee an Officers’ Certificate and an Opinion of Counsel, each stating that the consolidation, merger or sale and the supplemental indenture comply with the Indenture. A purchase by a Subsidiary of all or substantially all of the assets of another entity shall not be deemed to be a purchase of such assets by the Company.</w:t>
      </w:r>
    </w:p>
    <w:p>
      <w:pPr>
        <w:spacing w:after="0" w:line="165" w:lineRule="exact"/>
        <w:rPr>
          <w:rFonts w:ascii="Arial" w:cs="Arial" w:eastAsia="Arial" w:hAnsi="Arial"/>
          <w:sz w:val="15"/>
          <w:szCs w:val="15"/>
          <w:color w:val="auto"/>
        </w:rPr>
      </w:pPr>
    </w:p>
    <w:p>
      <w:pPr>
        <w:ind w:firstLine="1305"/>
        <w:spacing w:after="0" w:line="267" w:lineRule="auto"/>
        <w:tabs>
          <w:tab w:leader="none" w:pos="1688" w:val="left"/>
        </w:tabs>
        <w:numPr>
          <w:ilvl w:val="0"/>
          <w:numId w:val="66"/>
        </w:numPr>
        <w:rPr>
          <w:rFonts w:ascii="Arial" w:cs="Arial" w:eastAsia="Arial" w:hAnsi="Arial"/>
          <w:sz w:val="16"/>
          <w:szCs w:val="16"/>
          <w:color w:val="auto"/>
        </w:rPr>
      </w:pPr>
      <w:r>
        <w:rPr>
          <w:rFonts w:ascii="Arial" w:cs="Arial" w:eastAsia="Arial" w:hAnsi="Arial"/>
          <w:sz w:val="16"/>
          <w:szCs w:val="16"/>
          <w:color w:val="auto"/>
        </w:rPr>
        <w:t>Upon any consolidation with or merger into any other entity, or any sale other than for cash, or any conveyance or lease of all or substantially all of the assets of the Company in accordance with this Section 6.04, the successor entity formed by such consolidation or into or with which the Company is merged or to which the Company is sold or to which such conveyance, transfer or lease is made shall succeed to, and be substituted for, and may exercise every right and power of, the Company under this Indenture with the same effect as if such successor entity had been named as the Company herein, and thereafter, except in the case of a lease, the predecessor Company shall be relieved of all obligations and covenants under this Indenture and the Securities, and from time to time such entity may exercise each and every right and power of the Company under this Indenture, in the name of the Company, or in its own name; and any act or proceeding by any provision of this Indenture required or permitted to be done by the Board of Directors or any officer of the Company may be done with like force and effect by the like board or officer of any entity that shall at the time be the successor of the Company hereunder. In the event of any such sale or conveyance, but not any such lease, the Company (or any successor entity which shall theretofore have become such in the manner described in this Section 6.04) shall be discharged from all obligations and covenants under this Indenture and the Securities and may thereupon be dissolved and liquidated.</w:t>
      </w:r>
    </w:p>
    <w:p>
      <w:pPr>
        <w:spacing w:after="0" w:line="182"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6.05</w:t>
      </w:r>
      <w:r>
        <w:rPr>
          <w:sz w:val="20"/>
          <w:szCs w:val="20"/>
          <w:color w:val="auto"/>
        </w:rPr>
        <w:tab/>
      </w:r>
      <w:r>
        <w:rPr>
          <w:rFonts w:ascii="Arial" w:cs="Arial" w:eastAsia="Arial" w:hAnsi="Arial"/>
          <w:sz w:val="14"/>
          <w:szCs w:val="14"/>
          <w:u w:val="single" w:color="auto"/>
          <w:color w:val="auto"/>
        </w:rPr>
        <w:t>Compliance Certificate</w:t>
      </w:r>
      <w:r>
        <w:rPr>
          <w:rFonts w:ascii="Arial" w:cs="Arial" w:eastAsia="Arial" w:hAnsi="Arial"/>
          <w:sz w:val="14"/>
          <w:szCs w:val="14"/>
          <w:color w:val="auto"/>
        </w:rPr>
        <w:t>.</w:t>
      </w:r>
    </w:p>
    <w:p>
      <w:pPr>
        <w:spacing w:after="0" w:line="221" w:lineRule="exact"/>
        <w:rPr>
          <w:sz w:val="20"/>
          <w:szCs w:val="20"/>
          <w:color w:val="auto"/>
        </w:rPr>
      </w:pPr>
    </w:p>
    <w:p>
      <w:pPr>
        <w:ind w:right="220" w:firstLine="486"/>
        <w:spacing w:after="0" w:line="270" w:lineRule="auto"/>
        <w:rPr>
          <w:sz w:val="20"/>
          <w:szCs w:val="20"/>
          <w:color w:val="auto"/>
        </w:rPr>
      </w:pPr>
      <w:r>
        <w:rPr>
          <w:rFonts w:ascii="Arial" w:cs="Arial" w:eastAsia="Arial" w:hAnsi="Arial"/>
          <w:sz w:val="16"/>
          <w:szCs w:val="16"/>
          <w:color w:val="auto"/>
        </w:rPr>
        <w:t>Except as otherwise provided as contemplated by Section 3.01 with respect to any series of Securities, the Company shall furnish to the Trustee annually, within 120 days after the end of each fiscal year, a brief certificate from the principal executive officer, principal financial officer, principal accounting officer or vice president and treasurer as to his or her knowledge of the Company’s compliance with all conditions and covenants under this Indenture (which compliance shall be determined without regard to any period of grace or requirement of notice provided under this Indenture) and, in the event of any Default, specifying each such Default and the nature and status thereof of which such person may have knowledge. Such certificates need not comply with Section 16.01 of this Indenture. The Company shall comply with TIA Section 314(a)(4).</w:t>
      </w:r>
    </w:p>
    <w:p>
      <w:pPr>
        <w:spacing w:after="0" w:line="176"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6.06</w:t>
      </w:r>
      <w:r>
        <w:rPr>
          <w:sz w:val="20"/>
          <w:szCs w:val="20"/>
          <w:color w:val="auto"/>
        </w:rPr>
        <w:tab/>
      </w:r>
      <w:r>
        <w:rPr>
          <w:rFonts w:ascii="Arial" w:cs="Arial" w:eastAsia="Arial" w:hAnsi="Arial"/>
          <w:sz w:val="14"/>
          <w:szCs w:val="14"/>
          <w:u w:val="single" w:color="auto"/>
          <w:color w:val="auto"/>
        </w:rPr>
        <w:t>Conditional Waiver by Holders of Securities</w:t>
      </w:r>
      <w:r>
        <w:rPr>
          <w:rFonts w:ascii="Arial" w:cs="Arial" w:eastAsia="Arial" w:hAnsi="Arial"/>
          <w:sz w:val="14"/>
          <w:szCs w:val="14"/>
          <w:color w:val="auto"/>
        </w:rPr>
        <w:t>.</w:t>
      </w:r>
    </w:p>
    <w:p>
      <w:pPr>
        <w:spacing w:after="0" w:line="221" w:lineRule="exact"/>
        <w:rPr>
          <w:sz w:val="20"/>
          <w:szCs w:val="20"/>
          <w:color w:val="auto"/>
        </w:rPr>
      </w:pPr>
    </w:p>
    <w:p>
      <w:pPr>
        <w:ind w:firstLine="486"/>
        <w:spacing w:after="0" w:line="270" w:lineRule="auto"/>
        <w:rPr>
          <w:sz w:val="20"/>
          <w:szCs w:val="20"/>
          <w:color w:val="auto"/>
        </w:rPr>
      </w:pPr>
      <w:r>
        <w:rPr>
          <w:rFonts w:ascii="Arial" w:cs="Arial" w:eastAsia="Arial" w:hAnsi="Arial"/>
          <w:sz w:val="16"/>
          <w:szCs w:val="16"/>
          <w:color w:val="auto"/>
        </w:rPr>
        <w:t>Anything in this Indenture to the contrary notwithstanding, the Company may fail or omit in any particular instance to comply with a covenant or condition set forth herein with respect to any series of Securities if the Company shall have obtained and filed with the Trustee, prior to the time of such failure or omission, evidence (as provided in Article VIII) of the consent of the Holders of a majority in aggregate principal amount of the Securities of such series at the time Outstanding, either waiving such compliance in such instance or generally waiving compliance with such covenant or condition, but no such waiver shall extend to or affect such covenant or condition except to the extent so expressly waived, or impair any right consequent thereon and, until such waiver shall have become effective, the obligations of the Company and the duties of the Trustee in respect of any such covenant or condition shall remain in full force and effect.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49" w:name="page50"/>
    <w:bookmarkEnd w:id="49"/>
    <w:p>
      <w:pPr>
        <w:spacing w:after="0"/>
        <w:tabs>
          <w:tab w:leader="none" w:pos="1040" w:val="left"/>
        </w:tabs>
        <w:rPr>
          <w:sz w:val="20"/>
          <w:szCs w:val="20"/>
          <w:color w:val="auto"/>
        </w:rPr>
      </w:pPr>
      <w:r>
        <w:rPr>
          <w:rFonts w:ascii="Arial" w:cs="Arial" w:eastAsia="Arial" w:hAnsi="Arial"/>
          <w:sz w:val="16"/>
          <w:szCs w:val="16"/>
          <w:color w:val="auto"/>
        </w:rPr>
        <w:t>Section 6.07</w:t>
      </w:r>
      <w:r>
        <w:rPr>
          <w:sz w:val="20"/>
          <w:szCs w:val="20"/>
          <w:color w:val="auto"/>
        </w:rPr>
        <w:tab/>
      </w:r>
      <w:r>
        <w:rPr>
          <w:rFonts w:ascii="Arial" w:cs="Arial" w:eastAsia="Arial" w:hAnsi="Arial"/>
          <w:sz w:val="14"/>
          <w:szCs w:val="14"/>
          <w:u w:val="single" w:color="auto"/>
          <w:color w:val="auto"/>
        </w:rPr>
        <w:t>Statement by Officers as to Default</w:t>
      </w:r>
      <w:r>
        <w:rPr>
          <w:rFonts w:ascii="Arial" w:cs="Arial" w:eastAsia="Arial" w:hAnsi="Arial"/>
          <w:sz w:val="14"/>
          <w:szCs w:val="14"/>
          <w:color w:val="auto"/>
        </w:rPr>
        <w:t>.</w:t>
      </w:r>
    </w:p>
    <w:p>
      <w:pPr>
        <w:spacing w:after="0" w:line="221" w:lineRule="exact"/>
        <w:rPr>
          <w:sz w:val="20"/>
          <w:szCs w:val="20"/>
          <w:color w:val="auto"/>
        </w:rPr>
      </w:pPr>
    </w:p>
    <w:p>
      <w:pPr>
        <w:ind w:right="160" w:firstLine="483"/>
        <w:spacing w:after="0" w:line="278" w:lineRule="auto"/>
        <w:rPr>
          <w:sz w:val="20"/>
          <w:szCs w:val="20"/>
          <w:color w:val="auto"/>
        </w:rPr>
      </w:pPr>
      <w:r>
        <w:rPr>
          <w:rFonts w:ascii="Arial" w:cs="Arial" w:eastAsia="Arial" w:hAnsi="Arial"/>
          <w:sz w:val="16"/>
          <w:szCs w:val="16"/>
          <w:color w:val="auto"/>
        </w:rPr>
        <w:t>The Company shall deliver to the Trustee as soon as possible and in any event within 30 days after the Company becomes aware of the occurrence of any Event of Default or an event which, with the giving of notice or the lapse of time or both, would constitute an Event of Default, an Officer’s Certificate setting forth the details of such Event of Default or Default and the action which the Company proposes to take with respect thereto.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VII</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REMEDIES OF TRUSTEE AND SECURITYHOLDERS</w:t>
      </w:r>
    </w:p>
    <w:p>
      <w:pPr>
        <w:spacing w:after="0" w:line="21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7.01</w:t>
      </w:r>
      <w:r>
        <w:rPr>
          <w:sz w:val="20"/>
          <w:szCs w:val="20"/>
          <w:color w:val="auto"/>
        </w:rPr>
        <w:tab/>
      </w:r>
      <w:r>
        <w:rPr>
          <w:rFonts w:ascii="Arial" w:cs="Arial" w:eastAsia="Arial" w:hAnsi="Arial"/>
          <w:sz w:val="14"/>
          <w:szCs w:val="14"/>
          <w:u w:val="single" w:color="auto"/>
          <w:color w:val="auto"/>
        </w:rPr>
        <w:t>Events of Default</w:t>
      </w:r>
      <w:r>
        <w:rPr>
          <w:rFonts w:ascii="Arial" w:cs="Arial" w:eastAsia="Arial" w:hAnsi="Arial"/>
          <w:sz w:val="14"/>
          <w:szCs w:val="14"/>
          <w:color w:val="auto"/>
        </w:rPr>
        <w:t>.</w:t>
      </w:r>
    </w:p>
    <w:p>
      <w:pPr>
        <w:spacing w:after="0" w:line="221" w:lineRule="exact"/>
        <w:rPr>
          <w:sz w:val="20"/>
          <w:szCs w:val="20"/>
          <w:color w:val="auto"/>
        </w:rPr>
      </w:pPr>
    </w:p>
    <w:p>
      <w:pPr>
        <w:ind w:right="300" w:firstLine="486"/>
        <w:spacing w:after="0" w:line="278" w:lineRule="auto"/>
        <w:rPr>
          <w:sz w:val="20"/>
          <w:szCs w:val="20"/>
          <w:color w:val="auto"/>
        </w:rPr>
      </w:pPr>
      <w:r>
        <w:rPr>
          <w:rFonts w:ascii="Arial" w:cs="Arial" w:eastAsia="Arial" w:hAnsi="Arial"/>
          <w:sz w:val="16"/>
          <w:szCs w:val="16"/>
          <w:color w:val="auto"/>
        </w:rPr>
        <w:t>Except where otherwise indicated by the context or where the term is otherwise defined for a specific purpose, the term “Event of Default” as used in this Indenture with respect to Securities of any series shall mean one of the following described events unless it is either inapplicable to a particular series or it is specifically deleted or modified in the manner contemplated in Section 3.01:</w:t>
      </w:r>
    </w:p>
    <w:p>
      <w:pPr>
        <w:spacing w:after="0" w:line="171" w:lineRule="exact"/>
        <w:rPr>
          <w:sz w:val="20"/>
          <w:szCs w:val="20"/>
          <w:color w:val="auto"/>
        </w:rPr>
      </w:pPr>
    </w:p>
    <w:p>
      <w:pPr>
        <w:ind w:firstLine="1305"/>
        <w:spacing w:after="0" w:line="293" w:lineRule="auto"/>
        <w:tabs>
          <w:tab w:leader="none" w:pos="167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failure of the Company to pay any installment of interest on any Security of such series when and as the same shall become payable, which failure shall have continued unremedied for a period of 30 days;</w:t>
      </w:r>
    </w:p>
    <w:p>
      <w:pPr>
        <w:spacing w:after="0" w:line="158" w:lineRule="exact"/>
        <w:rPr>
          <w:rFonts w:ascii="Arial" w:cs="Arial" w:eastAsia="Arial" w:hAnsi="Arial"/>
          <w:sz w:val="16"/>
          <w:szCs w:val="16"/>
          <w:color w:val="auto"/>
        </w:rPr>
      </w:pPr>
    </w:p>
    <w:p>
      <w:pPr>
        <w:ind w:right="60" w:firstLine="1305"/>
        <w:spacing w:after="0" w:line="369" w:lineRule="auto"/>
        <w:tabs>
          <w:tab w:leader="none" w:pos="1688"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failure of the Company to pay the principal of (and premium, if any, on) any Security of such series, when and as the same shall become payable, whether at Maturity as therein expressed, by call for redemption (otherwise than pursuant to a sinking fund), by declaration as authorized by this Indenture or otherwise;</w:t>
      </w:r>
    </w:p>
    <w:p>
      <w:pPr>
        <w:spacing w:after="0" w:line="112" w:lineRule="exact"/>
        <w:rPr>
          <w:rFonts w:ascii="Arial" w:cs="Arial" w:eastAsia="Arial" w:hAnsi="Arial"/>
          <w:sz w:val="14"/>
          <w:szCs w:val="14"/>
          <w:color w:val="auto"/>
        </w:rPr>
      </w:pPr>
    </w:p>
    <w:p>
      <w:pPr>
        <w:ind w:right="220" w:firstLine="1305"/>
        <w:spacing w:after="0" w:line="293" w:lineRule="auto"/>
        <w:tabs>
          <w:tab w:leader="none" w:pos="167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failure of the Company to pay a sinking fund installment, if any, when and as the same shall become payable by the terms of a Security of such series, which failure shall have continued unremedied for a period of 30 days;</w:t>
      </w:r>
    </w:p>
    <w:p>
      <w:pPr>
        <w:spacing w:after="0" w:line="158" w:lineRule="exact"/>
        <w:rPr>
          <w:rFonts w:ascii="Arial" w:cs="Arial" w:eastAsia="Arial" w:hAnsi="Arial"/>
          <w:sz w:val="16"/>
          <w:szCs w:val="16"/>
          <w:color w:val="auto"/>
        </w:rPr>
      </w:pPr>
    </w:p>
    <w:p>
      <w:pPr>
        <w:ind w:firstLine="1305"/>
        <w:spacing w:after="0" w:line="289" w:lineRule="auto"/>
        <w:tabs>
          <w:tab w:leader="none" w:pos="1688"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failure of the Company, subject to the provisions of Section 6.06, to perform any covenants or agreements contained in this Indenture (including any indenture supplemental hereto pursuant to which the Securities of such series were issued as contemplated by Section 3.01) (other than a covenant or agreement which has been expressly included in this Indenture solely for the benefit of a series of Securities other than that series and other than a covenant or agreement a default in the performance of which is elsewhere in this Section 7.01 specifically addressed),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Securities of such series then Outstanding, specifying such failure, requiring the Company to remedy the same and stating that such notice is a “Notice of Default” hereunder;</w:t>
      </w:r>
    </w:p>
    <w:p>
      <w:pPr>
        <w:spacing w:after="0" w:line="166" w:lineRule="exact"/>
        <w:rPr>
          <w:rFonts w:ascii="Arial" w:cs="Arial" w:eastAsia="Arial" w:hAnsi="Arial"/>
          <w:sz w:val="15"/>
          <w:szCs w:val="15"/>
          <w:color w:val="auto"/>
        </w:rPr>
      </w:pPr>
    </w:p>
    <w:p>
      <w:pPr>
        <w:jc w:val="both"/>
        <w:ind w:right="40" w:firstLine="1305"/>
        <w:spacing w:after="0" w:line="297" w:lineRule="auto"/>
        <w:tabs>
          <w:tab w:leader="none" w:pos="1679"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entry by a court having jurisdiction in the premises of a decree or order for relief in respect of the Company in an involuntary case under the federal bankruptcy laws, as now or hereafter constituted, or any other applicable federal or state bankruptcy, insolvency or other similar law now or hereafter in effect, or appointing a receiver, liquidator, assignee, custodian, trustee or sequestrator (or similar official) of the Company or of substantially all the property of the Company or ordering the winding-up or liquidation of its affairs and such decree or order shall remain unstayed and in effect for a period of 90 consecutive days;</w:t>
      </w:r>
    </w:p>
    <w:p>
      <w:pPr>
        <w:spacing w:after="0" w:line="159" w:lineRule="exact"/>
        <w:rPr>
          <w:rFonts w:ascii="Arial" w:cs="Arial" w:eastAsia="Arial" w:hAnsi="Arial"/>
          <w:sz w:val="15"/>
          <w:szCs w:val="15"/>
          <w:color w:val="auto"/>
        </w:rPr>
      </w:pPr>
    </w:p>
    <w:p>
      <w:pPr>
        <w:ind w:right="40" w:firstLine="1305"/>
        <w:spacing w:after="0" w:line="293" w:lineRule="auto"/>
        <w:tabs>
          <w:tab w:leader="none" w:pos="1661"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commencement by the Company of a voluntary case under the federal bankruptcy laws, as now or hereafter constituted, or any other applicable federal or state bankruptcy, insolvency or other similar law now or hereafter in effect, or the consent by the Company to the entry of an order for relief in an involuntary case under any such law, or the consent by the Company to the appointment of or taking possession by a receiver, liquidator, assignee, trustee, custodian or sequestrator (or similar official) of the Company or of substantially all the property of the Company or the making by it of an assignment for the benefit of creditors or the admission by it in writing of its inability to pay its debts generally as they become due, or the taking of corporate action by the Company in furtherance of any action; or</w:t>
      </w:r>
    </w:p>
    <w:p>
      <w:pPr>
        <w:spacing w:after="0" w:line="162" w:lineRule="exact"/>
        <w:rPr>
          <w:rFonts w:ascii="Arial" w:cs="Arial" w:eastAsia="Arial" w:hAnsi="Arial"/>
          <w:sz w:val="15"/>
          <w:szCs w:val="15"/>
          <w:color w:val="auto"/>
        </w:rPr>
      </w:pPr>
    </w:p>
    <w:p>
      <w:pPr>
        <w:ind w:right="20" w:firstLine="1305"/>
        <w:spacing w:after="0" w:line="273" w:lineRule="auto"/>
        <w:tabs>
          <w:tab w:leader="none" w:pos="1688"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occurrence of any other Event of Default with respect to Securities of such series as provided in Section 3.01;provided, however, that no event described in clause (d) or (other than with respect to a payment default) (g) above shall constitute an Event of Default hereunder until a Responsible Officer of the Trustee’s has actual knowledge thereof or until a written notice of any such event is received by the Trustee at the Corporate Trust Office, and such notice refers to the facts underlying such event, the Securities generally, the Company and the Indenture.</w:t>
      </w:r>
    </w:p>
    <w:p>
      <w:pPr>
        <w:spacing w:after="0" w:line="176" w:lineRule="exact"/>
        <w:rPr>
          <w:sz w:val="20"/>
          <w:szCs w:val="20"/>
          <w:color w:val="auto"/>
        </w:rPr>
      </w:pPr>
    </w:p>
    <w:p>
      <w:pPr>
        <w:ind w:firstLine="1297"/>
        <w:spacing w:after="0" w:line="267" w:lineRule="auto"/>
        <w:rPr>
          <w:sz w:val="20"/>
          <w:szCs w:val="20"/>
          <w:color w:val="auto"/>
        </w:rPr>
      </w:pPr>
      <w:r>
        <w:rPr>
          <w:rFonts w:ascii="Arial" w:cs="Arial" w:eastAsia="Arial" w:hAnsi="Arial"/>
          <w:sz w:val="16"/>
          <w:szCs w:val="16"/>
          <w:color w:val="auto"/>
        </w:rPr>
        <w:t>Notwithstanding the foregoing provisions of this Section 7.01, if the principal or any premium or interest on any Security is payable in a Currency other than the Currency of the United States and such Currency is not available to the Company for making payment thereof due to the imposition of exchange controls or other circumstances beyond the control of the Company, the Company will be entitled to satisfy its obligations to Holders of the Securities by making such payment in the Currency of the United States in an amount equal to the Currency of the United States equivalent of the amount payable in such other Currency, as determined by the Company’s agent in accordance with Section 3.11(c) hereof by reference to the noon buying rate in The City of New York for cable transfers for such Currency (“Exchange Rate”), as such Exchange Rate is reported or otherwise made available by the Federal Reserve Bank of New York on the date of such payment, or, if such rate is not then available, on the basis of the most recently available Exchange Rate. Notwithstanding the foregoing provisions of this Section 7.01, any payment made under such circumstances in the Currency of the United States where the required payment is in a Currency other than the Currency of the United States will not constitute an Event of Default under this Indenture.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50" w:name="page51"/>
    <w:bookmarkEnd w:id="50"/>
    <w:p>
      <w:pPr>
        <w:spacing w:after="0"/>
        <w:tabs>
          <w:tab w:leader="none" w:pos="1040" w:val="left"/>
        </w:tabs>
        <w:rPr>
          <w:sz w:val="20"/>
          <w:szCs w:val="20"/>
          <w:color w:val="auto"/>
        </w:rPr>
      </w:pPr>
      <w:r>
        <w:rPr>
          <w:rFonts w:ascii="Arial" w:cs="Arial" w:eastAsia="Arial" w:hAnsi="Arial"/>
          <w:sz w:val="16"/>
          <w:szCs w:val="16"/>
          <w:color w:val="auto"/>
        </w:rPr>
        <w:t>Section 7.02</w:t>
      </w:r>
      <w:r>
        <w:rPr>
          <w:sz w:val="20"/>
          <w:szCs w:val="20"/>
          <w:color w:val="auto"/>
        </w:rPr>
        <w:tab/>
      </w:r>
      <w:r>
        <w:rPr>
          <w:rFonts w:ascii="Arial" w:cs="Arial" w:eastAsia="Arial" w:hAnsi="Arial"/>
          <w:sz w:val="14"/>
          <w:szCs w:val="14"/>
          <w:u w:val="single" w:color="auto"/>
          <w:color w:val="auto"/>
        </w:rPr>
        <w:t>Acceleration; Rescission and Annulment</w:t>
      </w:r>
      <w:r>
        <w:rPr>
          <w:rFonts w:ascii="Arial" w:cs="Arial" w:eastAsia="Arial" w:hAnsi="Arial"/>
          <w:sz w:val="14"/>
          <w:szCs w:val="14"/>
          <w:color w:val="auto"/>
        </w:rPr>
        <w:t>.</w:t>
      </w:r>
    </w:p>
    <w:p>
      <w:pPr>
        <w:spacing w:after="0" w:line="221" w:lineRule="exact"/>
        <w:rPr>
          <w:sz w:val="20"/>
          <w:szCs w:val="20"/>
          <w:color w:val="auto"/>
        </w:rPr>
      </w:pPr>
    </w:p>
    <w:p>
      <w:pPr>
        <w:ind w:firstLine="1305"/>
        <w:spacing w:after="0" w:line="287" w:lineRule="auto"/>
        <w:tabs>
          <w:tab w:leader="none" w:pos="1679" w:val="left"/>
        </w:tabs>
        <w:numPr>
          <w:ilvl w:val="0"/>
          <w:numId w:val="68"/>
        </w:numPr>
        <w:rPr>
          <w:rFonts w:ascii="Arial" w:cs="Arial" w:eastAsia="Arial" w:hAnsi="Arial"/>
          <w:sz w:val="15"/>
          <w:szCs w:val="15"/>
          <w:color w:val="auto"/>
        </w:rPr>
      </w:pPr>
      <w:r>
        <w:rPr>
          <w:rFonts w:ascii="Arial" w:cs="Arial" w:eastAsia="Arial" w:hAnsi="Arial"/>
          <w:sz w:val="15"/>
          <w:szCs w:val="15"/>
          <w:color w:val="auto"/>
        </w:rPr>
        <w:t>Except as otherwise provided as contemplated by Section 3.01 with respect to any series of Securities, if any one or more of the above-described Events of Default (other than an Event of Default specified in Section 7.01(e) or 7.01(f)) shall happen with respect to Securities of any series at the time Outstanding, then, and in each and every such case, during the continuance of any such Event of Default, the Trustee or the Holders of 25% or more in principal amount of the Securities of such series then Outstanding may declare the principal (or, if the Securities of that series are Original Issue Discount Securities, such portion of the principal amount as may be specified in the terms of that series) of and all accrued but unpaid interest on all the Securities of such series then Outstanding to be due and payable immediately by a notice in writing to the Company (and to the Trustee if given by Holders), and upon any such declaration such principal amount (or specified amount) shall become immediately due and payable. If an Event of Default specified in Section 7.01(e) or 7.01(f) occurs and is continuing, then in every such case, the principal amount of all of the Securities of that series then Outstanding shall automatically, and without any declaration or any other action on the part of the Trustee or any Holder, become due and payable immediately. Upon payment of such amounts in the Currency in which such Securities are denominated (subject to Section 7.01 and except as otherwise provided pursuant to Section 3.01), all obligations of the Company in respect of the payment of principal of and interest on the Securities of such series shall terminate.</w:t>
      </w:r>
    </w:p>
    <w:p>
      <w:pPr>
        <w:spacing w:after="0" w:line="165" w:lineRule="exact"/>
        <w:rPr>
          <w:rFonts w:ascii="Arial" w:cs="Arial" w:eastAsia="Arial" w:hAnsi="Arial"/>
          <w:sz w:val="15"/>
          <w:szCs w:val="15"/>
          <w:color w:val="auto"/>
        </w:rPr>
      </w:pPr>
    </w:p>
    <w:p>
      <w:pPr>
        <w:ind w:right="60" w:firstLine="1305"/>
        <w:spacing w:after="0" w:line="324" w:lineRule="auto"/>
        <w:tabs>
          <w:tab w:leader="none" w:pos="1688"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provisions of Section 7.02(a), however, are subject to the condition that, at any time after the principal of all the Securities of such series, to which any one or more of the above-described Events of Default is applicable, shall have been so declared to be due and payable, and before a judgment or decree for payment of the money due has been obtained by the Trustee as hereinafter provided in this Article, the Event of Default giving rise to such declaration of acceleration shall, without further act, be deemed to have been waived, and such declaration and its consequences shall, without further act, be deemed to have been rescinded and annulled, if:</w:t>
      </w:r>
    </w:p>
    <w:p>
      <w:pPr>
        <w:spacing w:after="0" w:line="386" w:lineRule="exact"/>
        <w:rPr>
          <w:rFonts w:ascii="Arial" w:cs="Arial" w:eastAsia="Arial" w:hAnsi="Arial"/>
          <w:sz w:val="14"/>
          <w:szCs w:val="14"/>
          <w:color w:val="auto"/>
        </w:rPr>
      </w:pPr>
    </w:p>
    <w:p>
      <w:pPr>
        <w:ind w:right="80" w:firstLine="1629"/>
        <w:spacing w:after="0" w:line="293" w:lineRule="auto"/>
        <w:tabs>
          <w:tab w:leader="none" w:pos="1936"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Company has paid or deposited with the Trustee or Paying Agent a sum in the Currency in which such Securities are denominated (subject to Section 7.01 and except as otherwise provided pursuant to Section 3.01) sufficient to pay</w:t>
      </w:r>
    </w:p>
    <w:p>
      <w:pPr>
        <w:spacing w:after="0" w:line="158" w:lineRule="exact"/>
        <w:rPr>
          <w:rFonts w:ascii="Arial" w:cs="Arial" w:eastAsia="Arial" w:hAnsi="Arial"/>
          <w:sz w:val="16"/>
          <w:szCs w:val="16"/>
          <w:color w:val="auto"/>
        </w:rPr>
      </w:pPr>
    </w:p>
    <w:p>
      <w:pPr>
        <w:ind w:right="20" w:firstLine="2277"/>
        <w:spacing w:after="0" w:line="293" w:lineRule="auto"/>
        <w:tabs>
          <w:tab w:leader="none" w:pos="2656" w:val="left"/>
        </w:tabs>
        <w:numPr>
          <w:ilvl w:val="3"/>
          <w:numId w:val="68"/>
        </w:numPr>
        <w:rPr>
          <w:rFonts w:ascii="Arial" w:cs="Arial" w:eastAsia="Arial" w:hAnsi="Arial"/>
          <w:sz w:val="16"/>
          <w:szCs w:val="16"/>
          <w:color w:val="auto"/>
        </w:rPr>
      </w:pPr>
      <w:r>
        <w:rPr>
          <w:rFonts w:ascii="Arial" w:cs="Arial" w:eastAsia="Arial" w:hAnsi="Arial"/>
          <w:sz w:val="16"/>
          <w:szCs w:val="16"/>
          <w:color w:val="auto"/>
        </w:rPr>
        <w:t>all amounts owing the Trustee and any predecessor trustee hereunder under Section 11.01(a) (provided, however, that all sums payable under this clause (A) shall be paid in U.S. Dollars);</w:t>
      </w:r>
    </w:p>
    <w:p>
      <w:pPr>
        <w:spacing w:after="0" w:line="158" w:lineRule="exact"/>
        <w:rPr>
          <w:rFonts w:ascii="Arial" w:cs="Arial" w:eastAsia="Arial" w:hAnsi="Arial"/>
          <w:sz w:val="16"/>
          <w:szCs w:val="16"/>
          <w:color w:val="auto"/>
        </w:rPr>
      </w:pPr>
    </w:p>
    <w:p>
      <w:pPr>
        <w:ind w:right="400" w:firstLine="2277"/>
        <w:spacing w:after="0" w:line="329" w:lineRule="auto"/>
        <w:tabs>
          <w:tab w:leader="none" w:pos="2647" w:val="left"/>
        </w:tabs>
        <w:numPr>
          <w:ilvl w:val="3"/>
          <w:numId w:val="68"/>
        </w:numPr>
        <w:rPr>
          <w:rFonts w:ascii="Arial" w:cs="Arial" w:eastAsia="Arial" w:hAnsi="Arial"/>
          <w:sz w:val="15"/>
          <w:szCs w:val="15"/>
          <w:color w:val="auto"/>
        </w:rPr>
      </w:pPr>
      <w:r>
        <w:rPr>
          <w:rFonts w:ascii="Arial" w:cs="Arial" w:eastAsia="Arial" w:hAnsi="Arial"/>
          <w:sz w:val="15"/>
          <w:szCs w:val="15"/>
          <w:color w:val="auto"/>
        </w:rPr>
        <w:t>all arrears of interest, if any, upon all the Securities of such series (with interest, to the extent that interest thereon shall be legally enforceable, on any overdue installment of interest at the rate borne by such Securities at the rate or rates prescribed therefor in such Securities); and</w:t>
      </w:r>
    </w:p>
    <w:p>
      <w:pPr>
        <w:spacing w:after="0" w:line="175" w:lineRule="exact"/>
        <w:rPr>
          <w:rFonts w:ascii="Arial" w:cs="Arial" w:eastAsia="Arial" w:hAnsi="Arial"/>
          <w:sz w:val="15"/>
          <w:szCs w:val="15"/>
          <w:color w:val="auto"/>
        </w:rPr>
      </w:pPr>
    </w:p>
    <w:p>
      <w:pPr>
        <w:ind w:left="2660" w:hanging="383"/>
        <w:spacing w:after="0"/>
        <w:tabs>
          <w:tab w:leader="none" w:pos="2660" w:val="left"/>
        </w:tabs>
        <w:numPr>
          <w:ilvl w:val="3"/>
          <w:numId w:val="68"/>
        </w:numPr>
        <w:rPr>
          <w:rFonts w:ascii="Arial" w:cs="Arial" w:eastAsia="Arial" w:hAnsi="Arial"/>
          <w:sz w:val="15"/>
          <w:szCs w:val="15"/>
          <w:color w:val="auto"/>
        </w:rPr>
      </w:pPr>
      <w:r>
        <w:rPr>
          <w:rFonts w:ascii="Arial" w:cs="Arial" w:eastAsia="Arial" w:hAnsi="Arial"/>
          <w:sz w:val="15"/>
          <w:szCs w:val="15"/>
          <w:color w:val="auto"/>
        </w:rPr>
        <w:t>the principal of and premium, if any, on any Securities of such series that have become due otherwise than by such declaration of</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acceleration and interest thereon;</w:t>
      </w:r>
    </w:p>
    <w:p>
      <w:pPr>
        <w:spacing w:after="0" w:line="257" w:lineRule="exact"/>
        <w:rPr>
          <w:rFonts w:ascii="Arial" w:cs="Arial" w:eastAsia="Arial" w:hAnsi="Arial"/>
          <w:sz w:val="15"/>
          <w:szCs w:val="15"/>
          <w:color w:val="auto"/>
        </w:rPr>
      </w:pPr>
    </w:p>
    <w:p>
      <w:pPr>
        <w:ind w:right="120" w:firstLine="1791"/>
        <w:spacing w:after="0" w:line="293" w:lineRule="auto"/>
        <w:tabs>
          <w:tab w:leader="none" w:pos="2156" w:val="left"/>
        </w:tabs>
        <w:numPr>
          <w:ilvl w:val="2"/>
          <w:numId w:val="68"/>
        </w:numPr>
        <w:rPr>
          <w:rFonts w:ascii="Arial" w:cs="Arial" w:eastAsia="Arial" w:hAnsi="Arial"/>
          <w:sz w:val="16"/>
          <w:szCs w:val="16"/>
          <w:color w:val="auto"/>
        </w:rPr>
      </w:pPr>
      <w:r>
        <w:rPr>
          <w:rFonts w:ascii="Arial" w:cs="Arial" w:eastAsia="Arial" w:hAnsi="Arial"/>
          <w:sz w:val="16"/>
          <w:szCs w:val="16"/>
          <w:color w:val="auto"/>
        </w:rPr>
        <w:t>every other Default and Event of Default with respect to Securities of that series, other than the non-payment of the principal of Securities of that series which have become due solely by such declaration of acceleration, have been cured or waived as provided in Section 7.06.</w:t>
      </w:r>
    </w:p>
    <w:p>
      <w:pPr>
        <w:spacing w:after="0" w:line="158" w:lineRule="exact"/>
        <w:rPr>
          <w:rFonts w:ascii="Arial" w:cs="Arial" w:eastAsia="Arial" w:hAnsi="Arial"/>
          <w:sz w:val="16"/>
          <w:szCs w:val="16"/>
          <w:color w:val="auto"/>
        </w:rPr>
      </w:pPr>
    </w:p>
    <w:p>
      <w:pPr>
        <w:ind w:left="1680" w:hanging="375"/>
        <w:spacing w:after="0"/>
        <w:tabs>
          <w:tab w:leader="none" w:pos="1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 such rescission shall affect any subsequent default or impair any right consequent thereon.</w:t>
      </w:r>
    </w:p>
    <w:p>
      <w:pPr>
        <w:spacing w:after="0" w:line="221" w:lineRule="exact"/>
        <w:rPr>
          <w:rFonts w:ascii="Arial" w:cs="Arial" w:eastAsia="Arial" w:hAnsi="Arial"/>
          <w:sz w:val="16"/>
          <w:szCs w:val="16"/>
          <w:color w:val="auto"/>
        </w:rPr>
      </w:pPr>
    </w:p>
    <w:p>
      <w:pPr>
        <w:ind w:right="20" w:firstLine="1305"/>
        <w:spacing w:after="0" w:line="293" w:lineRule="auto"/>
        <w:tabs>
          <w:tab w:leader="none" w:pos="1688" w:val="left"/>
        </w:tabs>
        <w:numPr>
          <w:ilvl w:val="0"/>
          <w:numId w:val="68"/>
        </w:numPr>
        <w:rPr>
          <w:rFonts w:ascii="Arial" w:cs="Arial" w:eastAsia="Arial" w:hAnsi="Arial"/>
          <w:sz w:val="15"/>
          <w:szCs w:val="15"/>
          <w:color w:val="auto"/>
        </w:rPr>
      </w:pPr>
      <w:r>
        <w:rPr>
          <w:rFonts w:ascii="Arial" w:cs="Arial" w:eastAsia="Arial" w:hAnsi="Arial"/>
          <w:sz w:val="15"/>
          <w:szCs w:val="15"/>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63"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7.03</w:t>
      </w:r>
      <w:r>
        <w:rPr>
          <w:sz w:val="20"/>
          <w:szCs w:val="20"/>
          <w:color w:val="auto"/>
        </w:rPr>
        <w:tab/>
      </w:r>
      <w:r>
        <w:rPr>
          <w:rFonts w:ascii="Arial" w:cs="Arial" w:eastAsia="Arial" w:hAnsi="Arial"/>
          <w:sz w:val="14"/>
          <w:szCs w:val="14"/>
          <w:u w:val="single" w:color="auto"/>
          <w:color w:val="auto"/>
        </w:rPr>
        <w:t>Other Remedies</w:t>
      </w:r>
      <w:r>
        <w:rPr>
          <w:rFonts w:ascii="Arial" w:cs="Arial" w:eastAsia="Arial" w:hAnsi="Arial"/>
          <w:sz w:val="14"/>
          <w:szCs w:val="14"/>
          <w:color w:val="auto"/>
        </w:rPr>
        <w:t>.</w:t>
      </w:r>
    </w:p>
    <w:p>
      <w:pPr>
        <w:spacing w:after="0" w:line="221" w:lineRule="exact"/>
        <w:rPr>
          <w:sz w:val="20"/>
          <w:szCs w:val="20"/>
          <w:color w:val="auto"/>
        </w:rPr>
      </w:pPr>
    </w:p>
    <w:p>
      <w:pPr>
        <w:ind w:firstLine="486"/>
        <w:spacing w:after="0" w:line="269" w:lineRule="auto"/>
        <w:rPr>
          <w:sz w:val="20"/>
          <w:szCs w:val="20"/>
          <w:color w:val="auto"/>
        </w:rPr>
      </w:pPr>
      <w:r>
        <w:rPr>
          <w:rFonts w:ascii="Arial" w:cs="Arial" w:eastAsia="Arial" w:hAnsi="Arial"/>
          <w:sz w:val="16"/>
          <w:szCs w:val="16"/>
          <w:color w:val="auto"/>
        </w:rPr>
        <w:t>If the Company shall fail for a period of 30 days to pay any installment of interest on the Securities of any series or shall fail to pay the principal of and premium, if any, on any of the Securities of such series when and as the same shall become due and payable, whether at Maturity, or by call for redemption (other than pursuant to the sinking fund), by declaration as authorized by this Indenture, or otherwise, or shall fail for a period of 30 days to make any required sinking fund payment as to a series of Securities, then, upon demand of the Trustee, the Company will pay to the Paying Agent for the benefit of the Holders of Securities of such series then Outstanding the whole amount which then shall have become due and payable on all the Securities of such series, with interest on the overdue principal and premium, if any, and (so far as the same may be legally enforceable) on the overdue installments of interest at the rate borne by the Securities of such series, and all amounts owing the Trustee and any predecessor trustee hereunder under Section 11.01(a).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51" w:name="page52"/>
    <w:bookmarkEnd w:id="51"/>
    <w:p>
      <w:pPr>
        <w:ind w:firstLine="486"/>
        <w:spacing w:after="0" w:line="268" w:lineRule="auto"/>
        <w:rPr>
          <w:sz w:val="20"/>
          <w:szCs w:val="20"/>
          <w:color w:val="auto"/>
        </w:rPr>
      </w:pPr>
      <w:r>
        <w:rPr>
          <w:rFonts w:ascii="Arial" w:cs="Arial" w:eastAsia="Arial" w:hAnsi="Arial"/>
          <w:sz w:val="16"/>
          <w:szCs w:val="16"/>
          <w:color w:val="auto"/>
        </w:rPr>
        <w:t>In case the Company shall fail forthwith to pay such amounts upon such demand, the Trustee, in its own name and as trustee of an express trust, shall be entitled and empowered to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the property of the Company or any other obligor upon the Securities of such series, wherever situated, in the manner provided by law. Every recovery of judgment in any such action or other proceeding, subject to the payment to the Trustee of all amounts owing the Trustee and any predecessor trustee hereunder under Section 11.01(a), shall be for the ratable benefit of the Holders of such series of Securities which shall be the subject of such action or proceeding. All rights of action upon or under any of the Securities or this Indenture may be enforced by the Trustee without the possession of any of the Securities and without the production of any thereof at any trial or any proceeding relative thereto.</w:t>
      </w:r>
    </w:p>
    <w:p>
      <w:pPr>
        <w:spacing w:after="0" w:line="180"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7.04</w:t>
      </w:r>
      <w:r>
        <w:rPr>
          <w:sz w:val="20"/>
          <w:szCs w:val="20"/>
          <w:color w:val="auto"/>
        </w:rPr>
        <w:tab/>
      </w:r>
      <w:r>
        <w:rPr>
          <w:rFonts w:ascii="Arial" w:cs="Arial" w:eastAsia="Arial" w:hAnsi="Arial"/>
          <w:sz w:val="14"/>
          <w:szCs w:val="14"/>
          <w:u w:val="single" w:color="auto"/>
          <w:color w:val="auto"/>
        </w:rPr>
        <w:t>Trustee as Attorney-in-Fact</w:t>
      </w:r>
      <w:r>
        <w:rPr>
          <w:rFonts w:ascii="Arial" w:cs="Arial" w:eastAsia="Arial" w:hAnsi="Arial"/>
          <w:sz w:val="14"/>
          <w:szCs w:val="14"/>
          <w:color w:val="auto"/>
        </w:rPr>
        <w:t>.</w:t>
      </w:r>
    </w:p>
    <w:p>
      <w:pPr>
        <w:spacing w:after="0" w:line="221" w:lineRule="exact"/>
        <w:rPr>
          <w:sz w:val="20"/>
          <w:szCs w:val="20"/>
          <w:color w:val="auto"/>
        </w:rPr>
      </w:pPr>
    </w:p>
    <w:p>
      <w:pPr>
        <w:ind w:right="20" w:firstLine="483"/>
        <w:spacing w:after="0" w:line="284" w:lineRule="auto"/>
        <w:rPr>
          <w:sz w:val="20"/>
          <w:szCs w:val="20"/>
          <w:color w:val="auto"/>
        </w:rPr>
      </w:pPr>
      <w:r>
        <w:rPr>
          <w:rFonts w:ascii="Arial" w:cs="Arial" w:eastAsia="Arial" w:hAnsi="Arial"/>
          <w:sz w:val="15"/>
          <w:szCs w:val="15"/>
          <w:color w:val="auto"/>
        </w:rPr>
        <w:t>The Trustee is hereby appointed, and each and every Holder of the Securities, by receiving and holding the same, shall be conclusively deemed to have appointed the Trustee, the true and lawful attorney-in-fact of such Holder, with authority to make or file (whether or not the Company shall be in Default in respect of the payment of the principal of, or interest on, any of the Securities, and irrespective of whether the Trustee shall have made any demand on the Company for the payment of overdue principal or interest), in its own name and as trustee of an express trust or otherwise as it shall deem advisable, in any receivership, insolvency, liquidation, bankruptcy, reorganization or other judicial proceeding relative to the Company or any other obligor upon the Securities or to their respective creditors or property, any and all claims, proofs of claim, proofs of debt, petitions, consents, other papers and documents and amendments of any thereof, as may be necessary or advisable in order to have the claims of the Trustee and any predecessor trustee hereunder (including any claims for reasonable compensation, expenses, disbursements and advances of the Trustee, its agents and its counsel) and of the Holders of the Securities allowed in any such proceeding and to collect and receive any moneys or other property payable or deliverable on any such claim, and to execute and deliver any and all other papers and documents and to do and perform any and all other acts and things, as it may deem necessary or advisable in order to enforce in any such proceeding any of the claims of the Trustee and any predecessor trustee hereunder and of any of such Holders in respect of any of the Securities; and any receiver, assignee, trustee, custodian, liquidator, debtor or a similar official in any such proceeding is hereby authorized, and each and every taker or Holder of the Securities, by receiving and holding the same, shall be conclusively deemed to have authorized any such receiver, assignee, trustee, custodian, liquidator, debtor or a similar official to make any such payment or delivery only to or on the order of the Trustee, and to pay to the Trustee any amount due it and any predecessor trustee hereunder for the reasonable compensation, expenses, disbursements and advances of the Trustee, its agents and its counsel and any other amounts due under Section 11.01(a); provided, however, that nothing herein contained shall be deemed to authorize or empower the Trustee to consent to or accept or adopt, on behalf of any Holder of Securities, any plan of reorganization, composition, adjustment or other similar arrangement affecting the Securities or the rights of any Holder thereof, or to authorize or empower the Trustee to vote in respect of the claim of any Holder of any Securities in any such proceeding.</w:t>
      </w:r>
    </w:p>
    <w:p>
      <w:pPr>
        <w:spacing w:after="0" w:line="17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7.05</w:t>
      </w:r>
      <w:r>
        <w:rPr>
          <w:sz w:val="20"/>
          <w:szCs w:val="20"/>
          <w:color w:val="auto"/>
        </w:rPr>
        <w:tab/>
      </w:r>
      <w:r>
        <w:rPr>
          <w:rFonts w:ascii="Arial" w:cs="Arial" w:eastAsia="Arial" w:hAnsi="Arial"/>
          <w:sz w:val="15"/>
          <w:szCs w:val="15"/>
          <w:u w:val="single" w:color="auto"/>
          <w:color w:val="auto"/>
        </w:rPr>
        <w:t>Priorities</w:t>
      </w:r>
      <w:r>
        <w:rPr>
          <w:rFonts w:ascii="Arial" w:cs="Arial" w:eastAsia="Arial" w:hAnsi="Arial"/>
          <w:sz w:val="15"/>
          <w:szCs w:val="15"/>
          <w:color w:val="auto"/>
        </w:rPr>
        <w:t>.</w:t>
      </w:r>
    </w:p>
    <w:p>
      <w:pPr>
        <w:spacing w:after="0" w:line="221" w:lineRule="exact"/>
        <w:rPr>
          <w:sz w:val="20"/>
          <w:szCs w:val="20"/>
          <w:color w:val="auto"/>
        </w:rPr>
      </w:pPr>
    </w:p>
    <w:p>
      <w:pPr>
        <w:jc w:val="both"/>
        <w:ind w:right="20" w:firstLine="486"/>
        <w:spacing w:after="0" w:line="305" w:lineRule="auto"/>
        <w:rPr>
          <w:sz w:val="20"/>
          <w:szCs w:val="20"/>
          <w:color w:val="auto"/>
        </w:rPr>
      </w:pPr>
      <w:r>
        <w:rPr>
          <w:rFonts w:ascii="Arial" w:cs="Arial" w:eastAsia="Arial" w:hAnsi="Arial"/>
          <w:sz w:val="15"/>
          <w:szCs w:val="15"/>
          <w:color w:val="auto"/>
        </w:rPr>
        <w:t>Any moneys or properties collected by the Trustee with respect to a series of Securities under this Article VII shall be applied in the order following, at the date or dates fixed by the Trustee for the distribution of such moneys or properties and, in the case of the distribution of such moneys or properties on account of the Securities of any series, upon presentation of the Securities of such series, and stamping thereon the payment, if only partially paid, and upon surrender thereof, if fully paid:</w:t>
      </w:r>
    </w:p>
    <w:p>
      <w:pPr>
        <w:spacing w:after="0" w:line="15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First: To the payment of all amounts due to the Trustee and any predecessor trustee hereunder under Section 11.01(a).</w:t>
      </w:r>
    </w:p>
    <w:p>
      <w:pPr>
        <w:spacing w:after="0" w:line="221" w:lineRule="exact"/>
        <w:rPr>
          <w:sz w:val="20"/>
          <w:szCs w:val="20"/>
          <w:color w:val="auto"/>
        </w:rPr>
      </w:pPr>
    </w:p>
    <w:p>
      <w:pPr>
        <w:ind w:right="120" w:firstLine="486"/>
        <w:spacing w:after="0" w:line="305" w:lineRule="auto"/>
        <w:rPr>
          <w:sz w:val="20"/>
          <w:szCs w:val="20"/>
          <w:color w:val="auto"/>
        </w:rPr>
      </w:pPr>
      <w:r>
        <w:rPr>
          <w:rFonts w:ascii="Arial" w:cs="Arial" w:eastAsia="Arial" w:hAnsi="Arial"/>
          <w:sz w:val="15"/>
          <w:szCs w:val="15"/>
          <w:color w:val="auto"/>
        </w:rPr>
        <w:t>Second: In case the principal of the Outstanding Securities of such series shall not have become due and be unpaid, to the payment of interest on the Securities of such series, in the chronological order of the Maturity of the installments of such interest, with interest (to the extent that such interest has been collected by the Trustee) upon the overdue installments of interest at the rate borne by such Securities, such payments to be made ratably to the Persons entitled thereto.</w:t>
      </w:r>
    </w:p>
    <w:p>
      <w:pPr>
        <w:spacing w:after="0" w:line="153" w:lineRule="exact"/>
        <w:rPr>
          <w:sz w:val="20"/>
          <w:szCs w:val="20"/>
          <w:color w:val="auto"/>
        </w:rPr>
      </w:pPr>
    </w:p>
    <w:p>
      <w:pPr>
        <w:ind w:right="20" w:firstLine="486"/>
        <w:spacing w:after="0" w:line="269" w:lineRule="auto"/>
        <w:rPr>
          <w:sz w:val="20"/>
          <w:szCs w:val="20"/>
          <w:color w:val="auto"/>
        </w:rPr>
      </w:pPr>
      <w:r>
        <w:rPr>
          <w:rFonts w:ascii="Arial" w:cs="Arial" w:eastAsia="Arial" w:hAnsi="Arial"/>
          <w:sz w:val="16"/>
          <w:szCs w:val="16"/>
          <w:color w:val="auto"/>
        </w:rPr>
        <w:t>Third: In case the principal of the Outstanding Securities of such series shall have become due, by declaration or otherwise, to the payment of the whole amount then owing and unpaid upon the Securities of such series for principal and premium, if any, and interest, with interest on the overdue principal and premium, if any, and (to the extent that such interest has been collected by the Trustee) upon overdue installments of interest at the rate borne by the Securities of such series, and in case such moneys shall be insufficient to pay in full the whole amounts so due and unpaid upon the Securities of such series, then to the payment of such principal and premium, if any, and interest without preference or priority of principal and premium, if any, over interest, or of interest over principal and premium, if any, or of any installment of interest over any other installment of interest, or of any Security of such series over any other Security of such series, ratably to the aggregate of such principal and premium, if any, and accrued and unpaid interest.</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surplus then remaining shall be paid to the Company or as directed by a court of competent jurisdiction.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52" w:name="page53"/>
    <w:bookmarkEnd w:id="52"/>
    <w:p>
      <w:pPr>
        <w:spacing w:after="0"/>
        <w:tabs>
          <w:tab w:leader="none" w:pos="1040" w:val="left"/>
        </w:tabs>
        <w:rPr>
          <w:sz w:val="20"/>
          <w:szCs w:val="20"/>
          <w:color w:val="auto"/>
        </w:rPr>
      </w:pPr>
      <w:r>
        <w:rPr>
          <w:rFonts w:ascii="Arial" w:cs="Arial" w:eastAsia="Arial" w:hAnsi="Arial"/>
          <w:sz w:val="16"/>
          <w:szCs w:val="16"/>
          <w:color w:val="auto"/>
        </w:rPr>
        <w:t>Section 7.06</w:t>
      </w:r>
      <w:r>
        <w:rPr>
          <w:sz w:val="20"/>
          <w:szCs w:val="20"/>
          <w:color w:val="auto"/>
        </w:rPr>
        <w:tab/>
      </w:r>
      <w:r>
        <w:rPr>
          <w:rFonts w:ascii="Arial" w:cs="Arial" w:eastAsia="Arial" w:hAnsi="Arial"/>
          <w:sz w:val="14"/>
          <w:szCs w:val="14"/>
          <w:u w:val="single" w:color="auto"/>
          <w:color w:val="auto"/>
        </w:rPr>
        <w:t>Control by Securityholders; Waiver of Past Defaults</w:t>
      </w:r>
      <w:r>
        <w:rPr>
          <w:rFonts w:ascii="Arial" w:cs="Arial" w:eastAsia="Arial" w:hAnsi="Arial"/>
          <w:sz w:val="14"/>
          <w:szCs w:val="14"/>
          <w:color w:val="auto"/>
        </w:rPr>
        <w:t>.</w:t>
      </w:r>
    </w:p>
    <w:p>
      <w:pPr>
        <w:spacing w:after="0" w:line="221" w:lineRule="exact"/>
        <w:rPr>
          <w:sz w:val="20"/>
          <w:szCs w:val="20"/>
          <w:color w:val="auto"/>
        </w:rPr>
      </w:pPr>
    </w:p>
    <w:p>
      <w:pPr>
        <w:ind w:right="20" w:firstLine="486"/>
        <w:spacing w:after="0" w:line="267" w:lineRule="auto"/>
        <w:rPr>
          <w:sz w:val="20"/>
          <w:szCs w:val="20"/>
          <w:color w:val="auto"/>
        </w:rPr>
      </w:pPr>
      <w:r>
        <w:rPr>
          <w:rFonts w:ascii="Arial" w:cs="Arial" w:eastAsia="Arial" w:hAnsi="Arial"/>
          <w:sz w:val="16"/>
          <w:szCs w:val="16"/>
          <w:color w:val="auto"/>
        </w:rPr>
        <w:t>The Holders of a majority in principal amount of the Securities of any series at the time Outstanding may direct the time, method and place of conducting any proceeding for any remedy available to the Trustee hereunder, or of exercising any trust or power hereby conferred upon the Trustee with respect to the Securities of such series, provided, however, that, subject to the provisions of Sections 11.01 and 11.02, the Trustee shall have the right to decline to follow any such direction if the Trustee being advised by counsel determines that the action so directed may not lawfully be taken or would be unduly prejudicial to Holders not joining in such direction or would involve the Trustee in personal liability. Prior to any declaration accelerating the Maturity of the Securities of any series, the Holders of a majority in aggregate principal amount of such series of Securities at the time Outstanding may on behalf of the Holders of all of the Securities of such series waive any past Default or Event of Default hereunder and its consequences except a Default in the payment of interest or any premium on or the principal of the Securities of such series. Upon any such waiver the Company, the Trustee and the Holders of the Securities of such series shall be restored to their former positions and rights hereunder, respectively; but no such waiver shall extend to any subsequent or other Default or Event of Default or impair any right consequent thereon. Whenever any Default or Event of Default hereunder shall have been waived as permitted by this Section 7.06, said Default or Event of Default shall for all purposes of the Securities of such series and this Indenture be deemed to have been cured and to be not continuing.</w:t>
      </w:r>
    </w:p>
    <w:p>
      <w:pPr>
        <w:spacing w:after="0" w:line="17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7.07</w:t>
      </w:r>
      <w:r>
        <w:rPr>
          <w:sz w:val="20"/>
          <w:szCs w:val="20"/>
          <w:color w:val="auto"/>
        </w:rPr>
        <w:tab/>
      </w:r>
      <w:r>
        <w:rPr>
          <w:rFonts w:ascii="Arial" w:cs="Arial" w:eastAsia="Arial" w:hAnsi="Arial"/>
          <w:sz w:val="15"/>
          <w:szCs w:val="15"/>
          <w:u w:val="single" w:color="auto"/>
          <w:color w:val="auto"/>
        </w:rPr>
        <w:t>Limitation on Suits</w:t>
      </w:r>
      <w:r>
        <w:rPr>
          <w:rFonts w:ascii="Arial" w:cs="Arial" w:eastAsia="Arial" w:hAnsi="Arial"/>
          <w:sz w:val="15"/>
          <w:szCs w:val="15"/>
          <w:color w:val="auto"/>
        </w:rPr>
        <w:t>.</w:t>
      </w:r>
    </w:p>
    <w:p>
      <w:pPr>
        <w:spacing w:after="0" w:line="221" w:lineRule="exact"/>
        <w:rPr>
          <w:sz w:val="20"/>
          <w:szCs w:val="20"/>
          <w:color w:val="auto"/>
        </w:rPr>
      </w:pPr>
    </w:p>
    <w:p>
      <w:pPr>
        <w:ind w:right="20" w:firstLine="486"/>
        <w:spacing w:after="0" w:line="285" w:lineRule="auto"/>
        <w:rPr>
          <w:sz w:val="20"/>
          <w:szCs w:val="20"/>
          <w:color w:val="auto"/>
        </w:rPr>
      </w:pPr>
      <w:r>
        <w:rPr>
          <w:rFonts w:ascii="Arial" w:cs="Arial" w:eastAsia="Arial" w:hAnsi="Arial"/>
          <w:sz w:val="15"/>
          <w:szCs w:val="15"/>
          <w:color w:val="auto"/>
        </w:rPr>
        <w:t>No Holder of any Security of any series shall have any right to institute any action, suit or proceeding at law or in equity for the execution of any trust hereunder or for the appointment of a receiver or for any other remedy hereunder, in each case with respect to an Event of Default with respect to such series of Securities, unless such Holder previously shall have given to the Trustee written notice of one or more of the Events of Default herein specified with respect to such series of Securities, and unless also the Holders of 25% in principal amount of the Securities of such series then Outstanding shall have requested the Trustee in writing to take action in respect of the matter complained of, and unless also there shall have been offered to the Trustee security and indemnity satisfactory to it against the costs, expenses and liabilities to be incurred therein or thereby, and the Trustee, for 60 days after receipt of such notification, request and offer of indemnity, shall have neglected or refused to institute any such action, suit or proceeding; and such notification, request and offer of indemnity are hereby declared in every such case to be conditions precedent to any such action, suit or proceeding by any Holder of any Security of such series; it being understood and intended that no one or more of the Holders of Securities of such series shall have any right in any manner whatsoever by his, her, its or their action to enforce any right hereunder, except in the manner herein provided, and that every action, suit or proceeding at law or in equity shall be instituted, had and maintained in the manner herein provided and for the equal benefit of all Holders of the Outstanding Securities of such series; provided, however, that nothing in this Indenture or in the Securities of such series shall affect or impair the obligation of the Company, which is absolute and unconditional, to pay the principal of, premium, if any, and interest on the Securities of such series to the respective Holders of such Securities at the respective due dates in such Securities stated, or affect or impair the right, which is also absolute and unconditional, of such Holders to institute suit to enforce the payment thereof.</w:t>
      </w:r>
    </w:p>
    <w:p>
      <w:pPr>
        <w:spacing w:after="0" w:line="173"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7.08</w:t>
      </w:r>
      <w:r>
        <w:rPr>
          <w:sz w:val="20"/>
          <w:szCs w:val="20"/>
          <w:color w:val="auto"/>
        </w:rPr>
        <w:tab/>
      </w:r>
      <w:r>
        <w:rPr>
          <w:rFonts w:ascii="Arial" w:cs="Arial" w:eastAsia="Arial" w:hAnsi="Arial"/>
          <w:sz w:val="14"/>
          <w:szCs w:val="14"/>
          <w:u w:val="single" w:color="auto"/>
          <w:color w:val="auto"/>
        </w:rPr>
        <w:t>Undertaking for Costs</w:t>
      </w:r>
      <w:r>
        <w:rPr>
          <w:rFonts w:ascii="Arial" w:cs="Arial" w:eastAsia="Arial" w:hAnsi="Arial"/>
          <w:sz w:val="14"/>
          <w:szCs w:val="14"/>
          <w:color w:val="auto"/>
        </w:rPr>
        <w:t>.</w:t>
      </w:r>
    </w:p>
    <w:p>
      <w:pPr>
        <w:spacing w:after="0" w:line="221" w:lineRule="exact"/>
        <w:rPr>
          <w:sz w:val="20"/>
          <w:szCs w:val="20"/>
          <w:color w:val="auto"/>
        </w:rPr>
      </w:pPr>
    </w:p>
    <w:p>
      <w:pPr>
        <w:ind w:right="80" w:firstLine="486"/>
        <w:spacing w:after="0" w:line="302" w:lineRule="auto"/>
        <w:rPr>
          <w:sz w:val="20"/>
          <w:szCs w:val="20"/>
          <w:color w:val="auto"/>
        </w:rPr>
      </w:pPr>
      <w:r>
        <w:rPr>
          <w:rFonts w:ascii="Arial" w:cs="Arial" w:eastAsia="Arial" w:hAnsi="Arial"/>
          <w:sz w:val="14"/>
          <w:szCs w:val="14"/>
          <w:color w:val="auto"/>
        </w:rPr>
        <w:t>All parties to this Indenture and each Holder of any Security, by such Holder’s acceptance thereof, shall be deemed to have agreed that any court may in its discretion require, in any action, suit or proceeding for the enforcement of any right or remedy under this Indenture, or in any action, suit or proceeding against the Trustee for any action taken or omitted by it as Trustee, the filing by any party litigant in such action, suit or proceeding of an undertaking to pay the costs of such action, suit or proceeding, and that such court may in its discretion assess reasonable costs, including reasonable attorneys’ fees and expenses, against any party litigant in such action, suit or proceeding, having due regard to the merits and good faith of the claims or defenses made by such party litigant; provided, however, that the provisions of this Section 7.08 shall not apply to any action, suit or proceeding instituted by the Trustee, to any action, suit or proceeding instituted by any one or more Holders of Securities holding in the aggregate more than</w:t>
      </w:r>
    </w:p>
    <w:p>
      <w:pPr>
        <w:spacing w:after="0" w:line="4" w:lineRule="exact"/>
        <w:rPr>
          <w:sz w:val="20"/>
          <w:szCs w:val="20"/>
          <w:color w:val="auto"/>
        </w:rPr>
      </w:pPr>
    </w:p>
    <w:p>
      <w:pPr>
        <w:ind w:right="20"/>
        <w:spacing w:after="0" w:line="363" w:lineRule="auto"/>
        <w:rPr>
          <w:sz w:val="20"/>
          <w:szCs w:val="20"/>
          <w:color w:val="auto"/>
        </w:rPr>
      </w:pPr>
      <w:r>
        <w:rPr>
          <w:rFonts w:ascii="Arial" w:cs="Arial" w:eastAsia="Arial" w:hAnsi="Arial"/>
          <w:sz w:val="14"/>
          <w:szCs w:val="14"/>
          <w:color w:val="auto"/>
        </w:rPr>
        <w:t>10% in principal amount of the Securities of any series Outstanding, or to any action, suit or proceeding instituted by any Holder of Securities of any series for the enforcement of the payment of the principal of or premium, if any, or the interest on, any of the Securities of such series, on or after the respective due dates expressed in such Securities.</w:t>
      </w:r>
    </w:p>
    <w:p>
      <w:pPr>
        <w:spacing w:after="0" w:line="11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7.09</w:t>
      </w:r>
      <w:r>
        <w:rPr>
          <w:sz w:val="20"/>
          <w:szCs w:val="20"/>
          <w:color w:val="auto"/>
        </w:rPr>
        <w:tab/>
      </w:r>
      <w:r>
        <w:rPr>
          <w:rFonts w:ascii="Arial" w:cs="Arial" w:eastAsia="Arial" w:hAnsi="Arial"/>
          <w:sz w:val="14"/>
          <w:szCs w:val="14"/>
          <w:u w:val="single" w:color="auto"/>
          <w:color w:val="auto"/>
        </w:rPr>
        <w:t>Remedies Cumulative</w:t>
      </w:r>
      <w:r>
        <w:rPr>
          <w:rFonts w:ascii="Arial" w:cs="Arial" w:eastAsia="Arial" w:hAnsi="Arial"/>
          <w:sz w:val="14"/>
          <w:szCs w:val="14"/>
          <w:color w:val="auto"/>
        </w:rPr>
        <w:t>.</w:t>
      </w:r>
    </w:p>
    <w:p>
      <w:pPr>
        <w:spacing w:after="0" w:line="221" w:lineRule="exact"/>
        <w:rPr>
          <w:sz w:val="20"/>
          <w:szCs w:val="20"/>
          <w:color w:val="auto"/>
        </w:rPr>
      </w:pPr>
    </w:p>
    <w:p>
      <w:pPr>
        <w:ind w:firstLine="486"/>
        <w:spacing w:after="0" w:line="309" w:lineRule="auto"/>
        <w:rPr>
          <w:sz w:val="20"/>
          <w:szCs w:val="20"/>
          <w:color w:val="auto"/>
        </w:rPr>
      </w:pPr>
      <w:r>
        <w:rPr>
          <w:rFonts w:ascii="Arial" w:cs="Arial" w:eastAsia="Arial" w:hAnsi="Arial"/>
          <w:sz w:val="14"/>
          <w:szCs w:val="14"/>
          <w:color w:val="auto"/>
        </w:rPr>
        <w:t>No remedy herein conferred upon or reserved to the Trustee or to the Holders of Securities of any series is intended to be exclusive of any other remedy or remedies, and each and every remedy shall be cumulative and shall be in addition to every other remedy given hereunder or now or hereafter existing at law or in equity or by statute. No delay or omission of the Trustee or of any Holder of the Securities of any series to exercise any right or power accruing upon any Default or Event of Default shall impair any such right or power or shall be construed to be a waiver of any such Default or Event of Default or an acquiescence therein; and every power and remedy given by this Article VII to the Trustee and to the Holders of Securities of any series, respectively, may be exercised from time to time and as often as may be deemed expedient by the Trustee or by the Holders of Securities of such series, as the case may be. In case the Trustee or any Holder of Securities of any series shall have proceeded to enforce any right under this Indenture and the proceedings for the enforcement thereof shall have been discontinued or abandoned because of waiver or for any other reason or shall have been adjudicated adversely to the Trustee or to such Holder of Securities, then and in every such case the Company, the Trustee and the Holders of the Securities of such series shall severally and respectively be restored to their former positions and rights hereunder, and thereafter all rights, remedies and powers of the Trustee and the Holders of the Securities of such series shall continue as though no such proceedings had been taken, except as to any matters so waived or adjudicated.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auto"/>
        </w:rPr>
        <w:t>ARTICLE VIII</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CONCERNING THE SECURITYHOLDERS</w:t>
      </w:r>
    </w:p>
    <w:p>
      <w:pPr>
        <w:spacing w:after="0" w:line="21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8.01</w:t>
      </w:r>
      <w:r>
        <w:rPr>
          <w:sz w:val="20"/>
          <w:szCs w:val="20"/>
          <w:color w:val="auto"/>
        </w:rPr>
        <w:tab/>
      </w:r>
      <w:r>
        <w:rPr>
          <w:rFonts w:ascii="Arial" w:cs="Arial" w:eastAsia="Arial" w:hAnsi="Arial"/>
          <w:sz w:val="15"/>
          <w:szCs w:val="15"/>
          <w:u w:val="single" w:color="auto"/>
          <w:color w:val="auto"/>
        </w:rPr>
        <w:t>Evidence of Action of Securityholders</w:t>
      </w:r>
      <w:r>
        <w:rPr>
          <w:rFonts w:ascii="Arial" w:cs="Arial" w:eastAsia="Arial" w:hAnsi="Arial"/>
          <w:sz w:val="15"/>
          <w:szCs w:val="15"/>
          <w:color w:val="auto"/>
        </w:rPr>
        <w:t>.</w:t>
      </w:r>
    </w:p>
    <w:p>
      <w:pPr>
        <w:spacing w:after="0" w:line="221" w:lineRule="exact"/>
        <w:rPr>
          <w:sz w:val="20"/>
          <w:szCs w:val="20"/>
          <w:color w:val="auto"/>
        </w:rPr>
      </w:pPr>
    </w:p>
    <w:p>
      <w:pPr>
        <w:ind w:firstLine="486"/>
        <w:spacing w:after="0" w:line="268" w:lineRule="auto"/>
        <w:rPr>
          <w:sz w:val="20"/>
          <w:szCs w:val="20"/>
          <w:color w:val="auto"/>
        </w:rPr>
      </w:pPr>
      <w:r>
        <w:rPr>
          <w:rFonts w:ascii="Arial" w:cs="Arial" w:eastAsia="Arial" w:hAnsi="Arial"/>
          <w:sz w:val="16"/>
          <w:szCs w:val="16"/>
          <w:color w:val="auto"/>
        </w:rPr>
        <w:t>Whenever in this Indenture it is provided that the 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Holders of such specified percentage or majority have joined therein may be evidenced by (a)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 or (b) by the record of the Holders of Securities voting in favor thereof at any meeting of Securityholders duly called and held in accordance with the provisions of Article IX, or (c) by a combination of such instrument or instruments and any such record of such a meeting of Securityholders.</w:t>
      </w:r>
    </w:p>
    <w:p>
      <w:pPr>
        <w:spacing w:after="0" w:line="180"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8.02</w:t>
      </w:r>
      <w:r>
        <w:rPr>
          <w:sz w:val="20"/>
          <w:szCs w:val="20"/>
          <w:color w:val="auto"/>
        </w:rPr>
        <w:tab/>
      </w:r>
      <w:r>
        <w:rPr>
          <w:rFonts w:ascii="Arial" w:cs="Arial" w:eastAsia="Arial" w:hAnsi="Arial"/>
          <w:sz w:val="15"/>
          <w:szCs w:val="15"/>
          <w:u w:val="single" w:color="auto"/>
          <w:color w:val="auto"/>
        </w:rPr>
        <w:t>Proof of Execution or Holding of Securities</w:t>
      </w:r>
      <w:r>
        <w:rPr>
          <w:rFonts w:ascii="Arial" w:cs="Arial" w:eastAsia="Arial" w:hAnsi="Arial"/>
          <w:sz w:val="15"/>
          <w:szCs w:val="15"/>
          <w:color w:val="auto"/>
        </w:rPr>
        <w:t>.</w:t>
      </w:r>
    </w:p>
    <w:p>
      <w:pPr>
        <w:spacing w:after="0" w:line="221" w:lineRule="exact"/>
        <w:rPr>
          <w:sz w:val="20"/>
          <w:szCs w:val="20"/>
          <w:color w:val="auto"/>
        </w:rPr>
      </w:pPr>
    </w:p>
    <w:p>
      <w:pPr>
        <w:ind w:right="280" w:firstLine="486"/>
        <w:spacing w:after="0" w:line="293" w:lineRule="auto"/>
        <w:rPr>
          <w:sz w:val="20"/>
          <w:szCs w:val="20"/>
          <w:color w:val="auto"/>
        </w:rPr>
      </w:pPr>
      <w:r>
        <w:rPr>
          <w:rFonts w:ascii="Arial" w:cs="Arial" w:eastAsia="Arial" w:hAnsi="Arial"/>
          <w:sz w:val="16"/>
          <w:szCs w:val="16"/>
          <w:color w:val="auto"/>
        </w:rPr>
        <w:t>Proof of the execution of any instrument by a Securityholder or his, her or its agent or proxy and proof of the holding by any Person of any of the Securities shall be sufficient if made in the following manner:</w:t>
      </w:r>
    </w:p>
    <w:p>
      <w:pPr>
        <w:spacing w:after="0" w:line="159" w:lineRule="exact"/>
        <w:rPr>
          <w:sz w:val="20"/>
          <w:szCs w:val="20"/>
          <w:color w:val="auto"/>
        </w:rPr>
      </w:pPr>
    </w:p>
    <w:p>
      <w:pPr>
        <w:ind w:right="120" w:firstLine="1305"/>
        <w:spacing w:after="0" w:line="271" w:lineRule="auto"/>
        <w:tabs>
          <w:tab w:leader="none" w:pos="1679"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fact and date of the execution by any Person of any such instrument may be proved (i) by the certificate of any notary public or other officer in any jurisdiction who, by the laws thereof, has power to take acknowledgments or proof of deeds to be recorded within such jurisdiction, that the Person who signed such instrument did acknowledge before such notary public or other officer the execution thereof, or (ii) by the affidavit of a witness of such execution sworn to before any such notary or other officer. Where such execution is by a Person acting in other than his or her individual capacity, such certificate or affidavit shall also constitute sufficient proof of his or her authority.</w:t>
      </w:r>
    </w:p>
    <w:p>
      <w:pPr>
        <w:spacing w:after="0" w:line="176" w:lineRule="exact"/>
        <w:rPr>
          <w:rFonts w:ascii="Arial" w:cs="Arial" w:eastAsia="Arial" w:hAnsi="Arial"/>
          <w:sz w:val="16"/>
          <w:szCs w:val="16"/>
          <w:color w:val="auto"/>
        </w:rPr>
      </w:pPr>
    </w:p>
    <w:p>
      <w:pPr>
        <w:ind w:left="1700" w:hanging="395"/>
        <w:spacing w:after="0"/>
        <w:tabs>
          <w:tab w:leader="none" w:pos="17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ownership of Securities of any series shall be proved by the Register of such Securities or by a certificate of the Registrar for such series.</w:t>
      </w:r>
    </w:p>
    <w:p>
      <w:pPr>
        <w:spacing w:after="0" w:line="232" w:lineRule="exact"/>
        <w:rPr>
          <w:rFonts w:ascii="Arial" w:cs="Arial" w:eastAsia="Arial" w:hAnsi="Arial"/>
          <w:sz w:val="15"/>
          <w:szCs w:val="15"/>
          <w:color w:val="auto"/>
        </w:rPr>
      </w:pPr>
    </w:p>
    <w:p>
      <w:pPr>
        <w:ind w:left="1680" w:hanging="375"/>
        <w:spacing w:after="0"/>
        <w:tabs>
          <w:tab w:leader="none" w:pos="1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record of any Holders’ meeting shall be proved in the manner provided in Section 9.06.</w:t>
      </w:r>
    </w:p>
    <w:p>
      <w:pPr>
        <w:spacing w:after="0" w:line="221" w:lineRule="exact"/>
        <w:rPr>
          <w:rFonts w:ascii="Arial" w:cs="Arial" w:eastAsia="Arial" w:hAnsi="Arial"/>
          <w:sz w:val="16"/>
          <w:szCs w:val="16"/>
          <w:color w:val="auto"/>
        </w:rPr>
      </w:pPr>
    </w:p>
    <w:p>
      <w:pPr>
        <w:ind w:right="180" w:firstLine="1305"/>
        <w:spacing w:after="0" w:line="293" w:lineRule="auto"/>
        <w:tabs>
          <w:tab w:leader="none" w:pos="1688"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Trustee may require such additional proof of any matter referred to in this Section 8.02 as it shall deem appropriate or necessary, so long as the request is a reasonable one.</w:t>
      </w:r>
    </w:p>
    <w:p>
      <w:pPr>
        <w:spacing w:after="0" w:line="158" w:lineRule="exact"/>
        <w:rPr>
          <w:rFonts w:ascii="Arial" w:cs="Arial" w:eastAsia="Arial" w:hAnsi="Arial"/>
          <w:sz w:val="16"/>
          <w:szCs w:val="16"/>
          <w:color w:val="auto"/>
        </w:rPr>
      </w:pPr>
    </w:p>
    <w:p>
      <w:pPr>
        <w:ind w:right="20" w:firstLine="1305"/>
        <w:spacing w:after="0" w:line="318" w:lineRule="auto"/>
        <w:tabs>
          <w:tab w:leader="none" w:pos="1679" w:val="left"/>
        </w:tabs>
        <w:numPr>
          <w:ilvl w:val="0"/>
          <w:numId w:val="69"/>
        </w:numPr>
        <w:rPr>
          <w:rFonts w:ascii="Arial" w:cs="Arial" w:eastAsia="Arial" w:hAnsi="Arial"/>
          <w:sz w:val="14"/>
          <w:szCs w:val="14"/>
          <w:color w:val="auto"/>
        </w:rPr>
      </w:pPr>
      <w:r>
        <w:rPr>
          <w:rFonts w:ascii="Arial" w:cs="Arial" w:eastAsia="Arial" w:hAnsi="Arial"/>
          <w:sz w:val="14"/>
          <w:szCs w:val="14"/>
          <w:color w:val="auto"/>
        </w:rPr>
        <w:t>If the Company shall solicit from the Holders of Securities of any series any action, the Company may, at its option fix in advance a record date for the determination of Holders of Securities entitled to take such action, but the Company shall have no obligation to do so. Any such record date shall be fixed at the Company’s discretion. If such a record date is fixed, such action may be sought or given before or after the record date, but only the Holders of Securities of record at the close of business on such record date shall be deemed to be Holders of Securities for the purpose of determining whether Holders of the requisite proportion of Outstanding Securities of such series have authorized or agreed or consented to such action, and for that purpose the Outstanding Securities of such series shall be computed as of such record date.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54" w:name="page55"/>
    <w:bookmarkEnd w:id="54"/>
    <w:p>
      <w:pPr>
        <w:spacing w:after="0"/>
        <w:tabs>
          <w:tab w:leader="none" w:pos="1040" w:val="left"/>
        </w:tabs>
        <w:rPr>
          <w:sz w:val="20"/>
          <w:szCs w:val="20"/>
          <w:color w:val="auto"/>
        </w:rPr>
      </w:pPr>
      <w:r>
        <w:rPr>
          <w:rFonts w:ascii="Arial" w:cs="Arial" w:eastAsia="Arial" w:hAnsi="Arial"/>
          <w:sz w:val="16"/>
          <w:szCs w:val="16"/>
          <w:color w:val="auto"/>
        </w:rPr>
        <w:t>Section 8.03</w:t>
      </w:r>
      <w:r>
        <w:rPr>
          <w:sz w:val="20"/>
          <w:szCs w:val="20"/>
          <w:color w:val="auto"/>
        </w:rPr>
        <w:tab/>
      </w:r>
      <w:r>
        <w:rPr>
          <w:rFonts w:ascii="Arial" w:cs="Arial" w:eastAsia="Arial" w:hAnsi="Arial"/>
          <w:sz w:val="14"/>
          <w:szCs w:val="14"/>
          <w:u w:val="single" w:color="auto"/>
          <w:color w:val="auto"/>
        </w:rPr>
        <w:t>Persons Deemed Owners</w:t>
      </w:r>
      <w:r>
        <w:rPr>
          <w:rFonts w:ascii="Arial" w:cs="Arial" w:eastAsia="Arial" w:hAnsi="Arial"/>
          <w:sz w:val="14"/>
          <w:szCs w:val="14"/>
          <w:color w:val="auto"/>
        </w:rPr>
        <w:t>.</w:t>
      </w:r>
    </w:p>
    <w:p>
      <w:pPr>
        <w:spacing w:after="0" w:line="221" w:lineRule="exact"/>
        <w:rPr>
          <w:sz w:val="20"/>
          <w:szCs w:val="20"/>
          <w:color w:val="auto"/>
        </w:rPr>
      </w:pPr>
    </w:p>
    <w:p>
      <w:pPr>
        <w:ind w:firstLine="1305"/>
        <w:spacing w:after="0" w:line="271" w:lineRule="auto"/>
        <w:tabs>
          <w:tab w:leader="none" w:pos="1679"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 the Trustee and any agent of the Company or the Trustee may treat the Person in whose name any Security is registered as the owner of such Security for the purpose of receiving payment of principal of and premium, if any, and (subject to Section 3.08) interest, if any, on, such Security and for all other purposes whatsoever, whether or not such Security be overdue, and neither the Company, the Trustee nor any agent of the Company or the Trustee shall be affected by notice to the contrary. All payments made to any Holder, or upon his, her or its order, shall be valid, and, to the extent of the sum or sums paid, effectual to satisfy and discharge the liability for moneys payable upon such Security.</w:t>
      </w:r>
    </w:p>
    <w:p>
      <w:pPr>
        <w:spacing w:after="0" w:line="176" w:lineRule="exact"/>
        <w:rPr>
          <w:rFonts w:ascii="Arial" w:cs="Arial" w:eastAsia="Arial" w:hAnsi="Arial"/>
          <w:sz w:val="16"/>
          <w:szCs w:val="16"/>
          <w:color w:val="auto"/>
        </w:rPr>
      </w:pPr>
    </w:p>
    <w:p>
      <w:pPr>
        <w:ind w:right="40" w:firstLine="1305"/>
        <w:spacing w:after="0" w:line="278" w:lineRule="auto"/>
        <w:tabs>
          <w:tab w:leader="none" w:pos="1688"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None of the Company, the Trustee, any Paying Agent or the Registrar will have any responsibility or liability for any aspect of the records relating to or payments made on account of beneficial ownership interests in a Global Security or for maintaining, supervising or reviewing any records relating to such beneficial ownership interests.</w:t>
      </w:r>
    </w:p>
    <w:p>
      <w:pPr>
        <w:spacing w:after="0" w:line="171"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8.04</w:t>
      </w:r>
      <w:r>
        <w:rPr>
          <w:sz w:val="20"/>
          <w:szCs w:val="20"/>
          <w:color w:val="auto"/>
        </w:rPr>
        <w:tab/>
      </w:r>
      <w:r>
        <w:rPr>
          <w:rFonts w:ascii="Arial" w:cs="Arial" w:eastAsia="Arial" w:hAnsi="Arial"/>
          <w:sz w:val="14"/>
          <w:szCs w:val="14"/>
          <w:u w:val="single" w:color="auto"/>
          <w:color w:val="auto"/>
        </w:rPr>
        <w:t>Effect of Consents</w:t>
      </w:r>
      <w:r>
        <w:rPr>
          <w:rFonts w:ascii="Arial" w:cs="Arial" w:eastAsia="Arial" w:hAnsi="Arial"/>
          <w:sz w:val="14"/>
          <w:szCs w:val="14"/>
          <w:color w:val="auto"/>
        </w:rPr>
        <w:t>.</w:t>
      </w:r>
    </w:p>
    <w:p>
      <w:pPr>
        <w:spacing w:after="0" w:line="221" w:lineRule="exact"/>
        <w:rPr>
          <w:sz w:val="20"/>
          <w:szCs w:val="20"/>
          <w:color w:val="auto"/>
        </w:rPr>
      </w:pPr>
    </w:p>
    <w:p>
      <w:pPr>
        <w:ind w:right="240" w:firstLine="486"/>
        <w:spacing w:after="0" w:line="273" w:lineRule="auto"/>
        <w:rPr>
          <w:sz w:val="20"/>
          <w:szCs w:val="20"/>
          <w:color w:val="auto"/>
        </w:rPr>
      </w:pPr>
      <w:r>
        <w:rPr>
          <w:rFonts w:ascii="Arial" w:cs="Arial" w:eastAsia="Arial" w:hAnsi="Arial"/>
          <w:sz w:val="16"/>
          <w:szCs w:val="16"/>
          <w:color w:val="auto"/>
        </w:rPr>
        <w:t>After an amendment, supplement, waiver or other action becomes effective as to any series of Securities, a consent to it by a Holder of such series of Securities is a continuing consent conclusive and binding upon such Holder and every subsequent Holder of the same Securities or portion thereof, and of any Security issued upon the transfer thereof or in exchange therefor or in place thereof, even if notation of the consent is not made on any such Security. An amendment, supplement or waiver becomes effective in accordance with its terms and thereafter binds every Holder.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SECURITYHOLDERS’ MEETINGS</w:t>
      </w:r>
    </w:p>
    <w:p>
      <w:pPr>
        <w:spacing w:after="0" w:line="21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9.01</w:t>
      </w:r>
      <w:r>
        <w:rPr>
          <w:sz w:val="20"/>
          <w:szCs w:val="20"/>
          <w:color w:val="auto"/>
        </w:rPr>
        <w:tab/>
      </w:r>
      <w:r>
        <w:rPr>
          <w:rFonts w:ascii="Arial" w:cs="Arial" w:eastAsia="Arial" w:hAnsi="Arial"/>
          <w:sz w:val="14"/>
          <w:szCs w:val="14"/>
          <w:u w:val="single" w:color="auto"/>
          <w:color w:val="auto"/>
        </w:rPr>
        <w:t>Purposes of Meetings</w:t>
      </w:r>
      <w:r>
        <w:rPr>
          <w:rFonts w:ascii="Arial" w:cs="Arial" w:eastAsia="Arial" w:hAnsi="Arial"/>
          <w:sz w:val="14"/>
          <w:szCs w:val="14"/>
          <w:color w:val="auto"/>
        </w:rPr>
        <w:t>.</w:t>
      </w:r>
    </w:p>
    <w:p>
      <w:pPr>
        <w:spacing w:after="0" w:line="221"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A meeting of Securityholders of any or all series may be called at any time and from time to time pursuant to the provisions of this Article IX for any of the following purposes:</w:t>
      </w:r>
    </w:p>
    <w:p>
      <w:pPr>
        <w:spacing w:after="0" w:line="159" w:lineRule="exact"/>
        <w:rPr>
          <w:sz w:val="20"/>
          <w:szCs w:val="20"/>
          <w:color w:val="auto"/>
        </w:rPr>
      </w:pPr>
    </w:p>
    <w:p>
      <w:pPr>
        <w:ind w:right="160" w:firstLine="1305"/>
        <w:spacing w:after="0" w:line="329" w:lineRule="auto"/>
        <w:tabs>
          <w:tab w:leader="none" w:pos="1679" w:val="left"/>
        </w:tabs>
        <w:numPr>
          <w:ilvl w:val="0"/>
          <w:numId w:val="71"/>
        </w:numPr>
        <w:rPr>
          <w:rFonts w:ascii="Arial" w:cs="Arial" w:eastAsia="Arial" w:hAnsi="Arial"/>
          <w:sz w:val="15"/>
          <w:szCs w:val="15"/>
          <w:color w:val="auto"/>
        </w:rPr>
      </w:pPr>
      <w:r>
        <w:rPr>
          <w:rFonts w:ascii="Arial" w:cs="Arial" w:eastAsia="Arial" w:hAnsi="Arial"/>
          <w:sz w:val="15"/>
          <w:szCs w:val="15"/>
          <w:color w:val="auto"/>
        </w:rPr>
        <w:t>to give any notice to the Company or to the Trustee, or to give any directions to the Trustee, or to consent to the waiving of any Default or Event of Default hereunder and its consequences, or to take any other action authorized to be taken by Securityholders pursuant to any of the provisions of Article VIII;</w:t>
      </w:r>
    </w:p>
    <w:p>
      <w:pPr>
        <w:spacing w:after="0" w:line="134" w:lineRule="exact"/>
        <w:rPr>
          <w:rFonts w:ascii="Arial" w:cs="Arial" w:eastAsia="Arial" w:hAnsi="Arial"/>
          <w:sz w:val="15"/>
          <w:szCs w:val="15"/>
          <w:color w:val="auto"/>
        </w:rPr>
      </w:pPr>
    </w:p>
    <w:p>
      <w:pPr>
        <w:ind w:left="1700" w:hanging="395"/>
        <w:spacing w:after="0"/>
        <w:tabs>
          <w:tab w:leader="none" w:pos="17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remove the Trustee and nominate a successor trustee pursuant to the provisions of Article XI;</w:t>
      </w:r>
    </w:p>
    <w:p>
      <w:pPr>
        <w:spacing w:after="0" w:line="221" w:lineRule="exact"/>
        <w:rPr>
          <w:rFonts w:ascii="Arial" w:cs="Arial" w:eastAsia="Arial" w:hAnsi="Arial"/>
          <w:sz w:val="16"/>
          <w:szCs w:val="16"/>
          <w:color w:val="auto"/>
        </w:rPr>
      </w:pPr>
    </w:p>
    <w:p>
      <w:pPr>
        <w:ind w:left="1680" w:hanging="375"/>
        <w:spacing w:after="0"/>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consent to the execution of an Indenture or of indentures supplemental hereto pursuant to the provisions of Section 14.02; or</w:t>
      </w:r>
    </w:p>
    <w:p>
      <w:pPr>
        <w:spacing w:after="0" w:line="221" w:lineRule="exact"/>
        <w:rPr>
          <w:rFonts w:ascii="Arial" w:cs="Arial" w:eastAsia="Arial" w:hAnsi="Arial"/>
          <w:sz w:val="16"/>
          <w:szCs w:val="16"/>
          <w:color w:val="auto"/>
        </w:rPr>
      </w:pPr>
    </w:p>
    <w:p>
      <w:pPr>
        <w:ind w:firstLine="1305"/>
        <w:spacing w:after="0" w:line="293" w:lineRule="auto"/>
        <w:tabs>
          <w:tab w:leader="none" w:pos="168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to take any other action authorized to be taken by or on behalf of the Holders of any specified aggregate principal amount of the Securities of any one or more or all series, as the case may be, under any other provision of this Indenture or under applicable law.</w:t>
      </w:r>
    </w:p>
    <w:p>
      <w:pPr>
        <w:spacing w:after="0" w:line="159"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9.02</w:t>
      </w:r>
      <w:r>
        <w:rPr>
          <w:sz w:val="20"/>
          <w:szCs w:val="20"/>
          <w:color w:val="auto"/>
        </w:rPr>
        <w:tab/>
      </w:r>
      <w:r>
        <w:rPr>
          <w:rFonts w:ascii="Arial" w:cs="Arial" w:eastAsia="Arial" w:hAnsi="Arial"/>
          <w:sz w:val="14"/>
          <w:szCs w:val="14"/>
          <w:u w:val="single" w:color="auto"/>
          <w:color w:val="auto"/>
        </w:rPr>
        <w:t>Call of Meetings by Trustee</w:t>
      </w:r>
      <w:r>
        <w:rPr>
          <w:rFonts w:ascii="Arial" w:cs="Arial" w:eastAsia="Arial" w:hAnsi="Arial"/>
          <w:sz w:val="14"/>
          <w:szCs w:val="14"/>
          <w:color w:val="auto"/>
        </w:rPr>
        <w:t>.</w:t>
      </w:r>
    </w:p>
    <w:p>
      <w:pPr>
        <w:spacing w:after="0" w:line="221" w:lineRule="exact"/>
        <w:rPr>
          <w:sz w:val="20"/>
          <w:szCs w:val="20"/>
          <w:color w:val="auto"/>
        </w:rPr>
      </w:pPr>
    </w:p>
    <w:p>
      <w:pPr>
        <w:ind w:right="140" w:firstLine="486"/>
        <w:spacing w:after="0" w:line="324" w:lineRule="auto"/>
        <w:rPr>
          <w:sz w:val="20"/>
          <w:szCs w:val="20"/>
          <w:color w:val="auto"/>
        </w:rPr>
      </w:pPr>
      <w:r>
        <w:rPr>
          <w:rFonts w:ascii="Arial" w:cs="Arial" w:eastAsia="Arial" w:hAnsi="Arial"/>
          <w:sz w:val="14"/>
          <w:szCs w:val="14"/>
          <w:color w:val="auto"/>
        </w:rPr>
        <w:t>The Trustee may at any time call a meeting of all Securityholders of all series that may be affected by the action proposed to be taken, to take any action specified in Section 9.01, to be held at such time and at such place as the Trustee shall determine. Notice of every meeting of the Securityholders of a series, setting forth the time and the place of such meeting and in general terms the action proposed to be taken at such meeting, shall be mailed to Holders of Securities of such series at their addresses as they shall appear on the Register of the Company. Such notice shall be mailed not less than 20 nor more than 90 days prior to the date fixed for the meeting.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55" w:name="page56"/>
    <w:bookmarkEnd w:id="55"/>
    <w:p>
      <w:pPr>
        <w:spacing w:after="0"/>
        <w:tabs>
          <w:tab w:leader="none" w:pos="1040" w:val="left"/>
        </w:tabs>
        <w:rPr>
          <w:sz w:val="20"/>
          <w:szCs w:val="20"/>
          <w:color w:val="auto"/>
        </w:rPr>
      </w:pPr>
      <w:r>
        <w:rPr>
          <w:rFonts w:ascii="Arial" w:cs="Arial" w:eastAsia="Arial" w:hAnsi="Arial"/>
          <w:sz w:val="16"/>
          <w:szCs w:val="16"/>
          <w:color w:val="auto"/>
        </w:rPr>
        <w:t>Section 9.03</w:t>
      </w:r>
      <w:r>
        <w:rPr>
          <w:sz w:val="20"/>
          <w:szCs w:val="20"/>
          <w:color w:val="auto"/>
        </w:rPr>
        <w:tab/>
      </w:r>
      <w:r>
        <w:rPr>
          <w:rFonts w:ascii="Arial" w:cs="Arial" w:eastAsia="Arial" w:hAnsi="Arial"/>
          <w:sz w:val="14"/>
          <w:szCs w:val="14"/>
          <w:u w:val="single" w:color="auto"/>
          <w:color w:val="auto"/>
        </w:rPr>
        <w:t>Call of Meetings by Company or Securityholders</w:t>
      </w:r>
      <w:r>
        <w:rPr>
          <w:rFonts w:ascii="Arial" w:cs="Arial" w:eastAsia="Arial" w:hAnsi="Arial"/>
          <w:sz w:val="14"/>
          <w:szCs w:val="14"/>
          <w:color w:val="auto"/>
        </w:rPr>
        <w:t>.</w:t>
      </w:r>
    </w:p>
    <w:p>
      <w:pPr>
        <w:spacing w:after="0" w:line="221" w:lineRule="exact"/>
        <w:rPr>
          <w:sz w:val="20"/>
          <w:szCs w:val="20"/>
          <w:color w:val="auto"/>
        </w:rPr>
      </w:pPr>
    </w:p>
    <w:p>
      <w:pPr>
        <w:ind w:right="40" w:firstLine="486"/>
        <w:spacing w:after="0" w:line="271" w:lineRule="auto"/>
        <w:rPr>
          <w:sz w:val="20"/>
          <w:szCs w:val="20"/>
          <w:color w:val="auto"/>
        </w:rPr>
      </w:pPr>
      <w:r>
        <w:rPr>
          <w:rFonts w:ascii="Arial" w:cs="Arial" w:eastAsia="Arial" w:hAnsi="Arial"/>
          <w:sz w:val="16"/>
          <w:szCs w:val="16"/>
          <w:color w:val="auto"/>
        </w:rPr>
        <w:t>In case at any time the Company or the Holders of at least 10% in aggregate principal amount of the Securities of a series (or of all series, as the case may be) then Outstanding that may be affected by the action proposed to be taken, shall have requested the Trustee to call a meeting of Securityholders of such series (or of all series), by written request setting forth in reasonable detail the action proposed to be taken at the meeting, and the Trustee shall not have mailed the notice of such meeting within 20 days after receipt of such request, then the Company or such Securityholders may determine the time and the place for such meeting and may call such meeting to take any action authorized in Section 9.01, by mailing notice thereof as provided in Section 9.02.</w:t>
      </w:r>
    </w:p>
    <w:p>
      <w:pPr>
        <w:spacing w:after="0" w:line="177"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9.04</w:t>
      </w:r>
      <w:r>
        <w:rPr>
          <w:sz w:val="20"/>
          <w:szCs w:val="20"/>
          <w:color w:val="auto"/>
        </w:rPr>
        <w:tab/>
      </w:r>
      <w:r>
        <w:rPr>
          <w:rFonts w:ascii="Arial" w:cs="Arial" w:eastAsia="Arial" w:hAnsi="Arial"/>
          <w:sz w:val="15"/>
          <w:szCs w:val="15"/>
          <w:u w:val="single" w:color="auto"/>
          <w:color w:val="auto"/>
        </w:rPr>
        <w:t>Qualifications for Voting</w:t>
      </w:r>
      <w:r>
        <w:rPr>
          <w:rFonts w:ascii="Arial" w:cs="Arial" w:eastAsia="Arial" w:hAnsi="Arial"/>
          <w:sz w:val="15"/>
          <w:szCs w:val="15"/>
          <w:color w:val="auto"/>
        </w:rPr>
        <w:t>.</w:t>
      </w:r>
    </w:p>
    <w:p>
      <w:pPr>
        <w:spacing w:after="0" w:line="221" w:lineRule="exact"/>
        <w:rPr>
          <w:sz w:val="20"/>
          <w:szCs w:val="20"/>
          <w:color w:val="auto"/>
        </w:rPr>
      </w:pPr>
    </w:p>
    <w:p>
      <w:pPr>
        <w:ind w:right="40" w:firstLine="486"/>
        <w:spacing w:after="0" w:line="273" w:lineRule="auto"/>
        <w:rPr>
          <w:sz w:val="20"/>
          <w:szCs w:val="20"/>
          <w:color w:val="auto"/>
        </w:rPr>
      </w:pPr>
      <w:r>
        <w:rPr>
          <w:rFonts w:ascii="Arial" w:cs="Arial" w:eastAsia="Arial" w:hAnsi="Arial"/>
          <w:sz w:val="16"/>
          <w:szCs w:val="16"/>
          <w:color w:val="auto"/>
        </w:rPr>
        <w:t>To be entitled to vote at any meeting of Securityholders, a Person shall (a) be a Holder of one or more Securities affected by the action proposed to be taken at the meeting or (b) be a Person appointed by an instrument in writing as proxy by a Holder of one or more such Securities. The only Persons who shall be entitled to be present or to speak at any meeting of Securityholders shall be the Persons entitled to vote at such meeting and their counsel and any representatives of the Trustee and its counsel and any representatives of the Company and its counsel.</w:t>
      </w:r>
    </w:p>
    <w:p>
      <w:pPr>
        <w:spacing w:after="0" w:line="176"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9.05</w:t>
      </w:r>
      <w:r>
        <w:rPr>
          <w:sz w:val="20"/>
          <w:szCs w:val="20"/>
          <w:color w:val="auto"/>
        </w:rPr>
        <w:tab/>
      </w:r>
      <w:r>
        <w:rPr>
          <w:rFonts w:ascii="Arial" w:cs="Arial" w:eastAsia="Arial" w:hAnsi="Arial"/>
          <w:sz w:val="15"/>
          <w:szCs w:val="15"/>
          <w:u w:val="single" w:color="auto"/>
          <w:color w:val="auto"/>
        </w:rPr>
        <w:t>Regulation of Meetings</w:t>
      </w:r>
      <w:r>
        <w:rPr>
          <w:rFonts w:ascii="Arial" w:cs="Arial" w:eastAsia="Arial" w:hAnsi="Arial"/>
          <w:sz w:val="15"/>
          <w:szCs w:val="15"/>
          <w:color w:val="auto"/>
        </w:rPr>
        <w:t>.</w:t>
      </w:r>
    </w:p>
    <w:p>
      <w:pPr>
        <w:spacing w:after="0" w:line="221" w:lineRule="exact"/>
        <w:rPr>
          <w:sz w:val="20"/>
          <w:szCs w:val="20"/>
          <w:color w:val="auto"/>
        </w:rPr>
      </w:pPr>
    </w:p>
    <w:p>
      <w:pPr>
        <w:ind w:right="80" w:firstLine="1305"/>
        <w:spacing w:after="0" w:line="335" w:lineRule="auto"/>
        <w:tabs>
          <w:tab w:leader="none" w:pos="1679" w:val="left"/>
        </w:tabs>
        <w:numPr>
          <w:ilvl w:val="0"/>
          <w:numId w:val="72"/>
        </w:numPr>
        <w:rPr>
          <w:rFonts w:ascii="Arial" w:cs="Arial" w:eastAsia="Arial" w:hAnsi="Arial"/>
          <w:sz w:val="14"/>
          <w:szCs w:val="14"/>
          <w:color w:val="auto"/>
        </w:rPr>
      </w:pPr>
      <w:r>
        <w:rPr>
          <w:rFonts w:ascii="Arial" w:cs="Arial" w:eastAsia="Arial" w:hAnsi="Arial"/>
          <w:sz w:val="14"/>
          <w:szCs w:val="14"/>
          <w:color w:val="auto"/>
        </w:rPr>
        <w:t>Notwithstanding any other provisions of this Indenture, the Trustee may make such reasonable regulations as it may deem advisable for any meeting of Securityholders,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fit.</w:t>
      </w:r>
    </w:p>
    <w:p>
      <w:pPr>
        <w:spacing w:after="0" w:line="136" w:lineRule="exact"/>
        <w:rPr>
          <w:rFonts w:ascii="Arial" w:cs="Arial" w:eastAsia="Arial" w:hAnsi="Arial"/>
          <w:sz w:val="14"/>
          <w:szCs w:val="14"/>
          <w:color w:val="auto"/>
        </w:rPr>
      </w:pPr>
    </w:p>
    <w:p>
      <w:pPr>
        <w:ind w:right="240" w:firstLine="1305"/>
        <w:spacing w:after="0" w:line="305" w:lineRule="auto"/>
        <w:tabs>
          <w:tab w:leader="none" w:pos="1688"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Trustee shall, by an instrument in writing, appoint a temporary chairman of the meeting, unless the meeting shall have been called by the Company or by Securityholders as provided in Section 9.03, in which case the Company or the Securityholders calling the meeting, as the case may be, shall in like manner appoint a temporary chair. A permanent chairman and a permanent secretary of the meeting shall be elected by majority vote of the meeting.</w:t>
      </w:r>
    </w:p>
    <w:p>
      <w:pPr>
        <w:spacing w:after="0" w:line="152" w:lineRule="exact"/>
        <w:rPr>
          <w:rFonts w:ascii="Arial" w:cs="Arial" w:eastAsia="Arial" w:hAnsi="Arial"/>
          <w:sz w:val="15"/>
          <w:szCs w:val="15"/>
          <w:color w:val="auto"/>
        </w:rPr>
      </w:pPr>
    </w:p>
    <w:p>
      <w:pPr>
        <w:ind w:right="20" w:firstLine="1305"/>
        <w:spacing w:after="0" w:line="268" w:lineRule="auto"/>
        <w:tabs>
          <w:tab w:leader="none" w:pos="1679" w:val="left"/>
        </w:tabs>
        <w:numPr>
          <w:ilvl w:val="0"/>
          <w:numId w:val="72"/>
        </w:numPr>
        <w:rPr>
          <w:rFonts w:ascii="Arial" w:cs="Arial" w:eastAsia="Arial" w:hAnsi="Arial"/>
          <w:sz w:val="16"/>
          <w:szCs w:val="16"/>
          <w:color w:val="auto"/>
        </w:rPr>
      </w:pPr>
      <w:r>
        <w:rPr>
          <w:rFonts w:ascii="Arial" w:cs="Arial" w:eastAsia="Arial" w:hAnsi="Arial"/>
          <w:sz w:val="16"/>
          <w:szCs w:val="16"/>
          <w:color w:val="auto"/>
        </w:rPr>
        <w:t>At any meeting of Securityholders of a series, each Securityholder of such series of such Securityholder’s proxy shall be entitled to one vote for each $1,000 principal amount of Securities of such series Outstanding held or represented by him; provided, however, that no vote shall be cast or counted at any meeting in respect of any Security challenged as not Outstanding and ruled by the chairman of the meeting to be not Outstanding. The chairman of the meeting shall have no right to vote other than by virtue of Securities of such series held by him or her or instruments in writing as aforesaid duly designating him or her as the Person to vote on behalf of other Securityholders. At any meeting of the Securityholders duly called pursuant to the provisions of Section 9.02 or 9.03 the presence of Persons holding or representing Securities in an aggregate principal amount sufficient to take action upon the business for the transaction of which such meeting was called shall be necessary to constitute a quorum, and any such meeting may be adjourned from time to time by a majority of those present, whether or not constituting a quorum, and the meeting may be held as so adjourned without further notice.</w:t>
      </w:r>
    </w:p>
    <w:p>
      <w:pPr>
        <w:spacing w:after="0" w:line="180"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9.06</w:t>
      </w:r>
      <w:r>
        <w:rPr>
          <w:sz w:val="20"/>
          <w:szCs w:val="20"/>
          <w:color w:val="auto"/>
        </w:rPr>
        <w:tab/>
      </w:r>
      <w:r>
        <w:rPr>
          <w:rFonts w:ascii="Arial" w:cs="Arial" w:eastAsia="Arial" w:hAnsi="Arial"/>
          <w:sz w:val="15"/>
          <w:szCs w:val="15"/>
          <w:u w:val="single" w:color="auto"/>
          <w:color w:val="auto"/>
        </w:rPr>
        <w:t>Voting</w:t>
      </w:r>
      <w:r>
        <w:rPr>
          <w:rFonts w:ascii="Arial" w:cs="Arial" w:eastAsia="Arial" w:hAnsi="Arial"/>
          <w:sz w:val="15"/>
          <w:szCs w:val="15"/>
          <w:color w:val="auto"/>
        </w:rPr>
        <w:t>.</w:t>
      </w:r>
    </w:p>
    <w:p>
      <w:pPr>
        <w:spacing w:after="0" w:line="221" w:lineRule="exact"/>
        <w:rPr>
          <w:sz w:val="20"/>
          <w:szCs w:val="20"/>
          <w:color w:val="auto"/>
        </w:rPr>
      </w:pPr>
    </w:p>
    <w:p>
      <w:pPr>
        <w:ind w:firstLine="486"/>
        <w:spacing w:after="0" w:line="311" w:lineRule="auto"/>
        <w:rPr>
          <w:sz w:val="20"/>
          <w:szCs w:val="20"/>
          <w:color w:val="auto"/>
        </w:rPr>
      </w:pPr>
      <w:r>
        <w:rPr>
          <w:rFonts w:ascii="Arial" w:cs="Arial" w:eastAsia="Arial" w:hAnsi="Arial"/>
          <w:sz w:val="14"/>
          <w:szCs w:val="14"/>
          <w:color w:val="auto"/>
        </w:rPr>
        <w:t>The vote upon any resolution submitted to any meeting of Securityholders of a series shall be by written ballots on which shall be subscribed the signatures of the Holders of Securities of such series or of their representatives by proxy and the principal amounts of the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Securityholders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amounts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record so signed and verified shall be conclusive evidence of the matters therein stated.</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6"/>
          <w:szCs w:val="16"/>
          <w:color w:val="auto"/>
        </w:rPr>
        <w:t>Section 9.07</w:t>
      </w:r>
      <w:r>
        <w:rPr>
          <w:sz w:val="20"/>
          <w:szCs w:val="20"/>
          <w:color w:val="auto"/>
        </w:rPr>
        <w:tab/>
      </w:r>
      <w:r>
        <w:rPr>
          <w:rFonts w:ascii="Arial" w:cs="Arial" w:eastAsia="Arial" w:hAnsi="Arial"/>
          <w:sz w:val="15"/>
          <w:szCs w:val="15"/>
          <w:u w:val="single" w:color="auto"/>
          <w:color w:val="auto"/>
        </w:rPr>
        <w:t>No Delay of Rights by Meeting</w:t>
      </w:r>
      <w:r>
        <w:rPr>
          <w:rFonts w:ascii="Arial" w:cs="Arial" w:eastAsia="Arial" w:hAnsi="Arial"/>
          <w:sz w:val="15"/>
          <w:szCs w:val="15"/>
          <w:color w:val="auto"/>
        </w:rPr>
        <w:t>.</w:t>
      </w:r>
    </w:p>
    <w:p>
      <w:pPr>
        <w:spacing w:after="0" w:line="221" w:lineRule="exact"/>
        <w:rPr>
          <w:sz w:val="20"/>
          <w:szCs w:val="20"/>
          <w:color w:val="auto"/>
        </w:rPr>
      </w:pPr>
    </w:p>
    <w:p>
      <w:pPr>
        <w:ind w:right="40" w:firstLine="486"/>
        <w:spacing w:after="0" w:line="278" w:lineRule="auto"/>
        <w:rPr>
          <w:sz w:val="20"/>
          <w:szCs w:val="20"/>
          <w:color w:val="auto"/>
        </w:rPr>
      </w:pPr>
      <w:r>
        <w:rPr>
          <w:rFonts w:ascii="Arial" w:cs="Arial" w:eastAsia="Arial" w:hAnsi="Arial"/>
          <w:sz w:val="16"/>
          <w:szCs w:val="16"/>
          <w:color w:val="auto"/>
        </w:rPr>
        <w:t>Nothing contained in this Article IX shall be deemed or construed to authorize or permit, by reason of any call of a meeting of Securityholders of any series or any rights expressly or impliedly conferred hereunder to make such call, any hindrance or delay in the exercise of any right or rights conferred upon or reserved to the Trustee or to the Securityholders of such series under any of the provisions of this Indenture or of the Securities of such series.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6"/>
          <w:szCs w:val="16"/>
          <w:b w:val="1"/>
          <w:bCs w:val="1"/>
          <w:color w:val="auto"/>
        </w:rPr>
        <w:t>ARTICLE X</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REPORTS BY THE COMPANY AND THE TRUSTEE AND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SECURITYHOLDERS’ LISTS</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10.01</w:t>
      </w:r>
      <w:r>
        <w:rPr>
          <w:sz w:val="20"/>
          <w:szCs w:val="20"/>
          <w:color w:val="auto"/>
        </w:rPr>
        <w:tab/>
      </w:r>
      <w:r>
        <w:rPr>
          <w:rFonts w:ascii="Arial" w:cs="Arial" w:eastAsia="Arial" w:hAnsi="Arial"/>
          <w:sz w:val="14"/>
          <w:szCs w:val="14"/>
          <w:u w:val="single" w:color="auto"/>
          <w:color w:val="auto"/>
        </w:rPr>
        <w:t>Reports by Trustee</w:t>
      </w:r>
      <w:r>
        <w:rPr>
          <w:rFonts w:ascii="Arial" w:cs="Arial" w:eastAsia="Arial" w:hAnsi="Arial"/>
          <w:sz w:val="14"/>
          <w:szCs w:val="14"/>
          <w:color w:val="auto"/>
        </w:rPr>
        <w:t>.</w:t>
      </w:r>
    </w:p>
    <w:p>
      <w:pPr>
        <w:spacing w:after="0" w:line="221" w:lineRule="exact"/>
        <w:rPr>
          <w:sz w:val="20"/>
          <w:szCs w:val="20"/>
          <w:color w:val="auto"/>
        </w:rPr>
      </w:pPr>
    </w:p>
    <w:p>
      <w:pPr>
        <w:ind w:right="140" w:firstLine="1305"/>
        <w:spacing w:after="0" w:line="273" w:lineRule="auto"/>
        <w:tabs>
          <w:tab w:leader="none" w:pos="1679" w:val="left"/>
        </w:tabs>
        <w:numPr>
          <w:ilvl w:val="0"/>
          <w:numId w:val="73"/>
        </w:numPr>
        <w:rPr>
          <w:rFonts w:ascii="Arial" w:cs="Arial" w:eastAsia="Arial" w:hAnsi="Arial"/>
          <w:sz w:val="16"/>
          <w:szCs w:val="16"/>
          <w:color w:val="auto"/>
        </w:rPr>
      </w:pPr>
      <w:r>
        <w:rPr>
          <w:rFonts w:ascii="Arial" w:cs="Arial" w:eastAsia="Arial" w:hAnsi="Arial"/>
          <w:sz w:val="16"/>
          <w:szCs w:val="16"/>
          <w:color w:val="auto"/>
        </w:rPr>
        <w:t>So long as any Securities are outstanding, the Trustee shall transmit to 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anniversary following the date of this Indenture deliver to Holders a brief report which complies with the provisions of such Section 313(a).</w:t>
      </w:r>
    </w:p>
    <w:p>
      <w:pPr>
        <w:spacing w:after="0" w:line="175" w:lineRule="exact"/>
        <w:rPr>
          <w:rFonts w:ascii="Arial" w:cs="Arial" w:eastAsia="Arial" w:hAnsi="Arial"/>
          <w:sz w:val="16"/>
          <w:szCs w:val="16"/>
          <w:color w:val="auto"/>
        </w:rPr>
      </w:pPr>
    </w:p>
    <w:p>
      <w:pPr>
        <w:ind w:firstLine="1305"/>
        <w:spacing w:after="0" w:line="305" w:lineRule="auto"/>
        <w:tabs>
          <w:tab w:leader="none" w:pos="1688"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Trustee shall, at the time of the transmission to the Holders of Securities of any report pursuant to the provisions of this Section 10.01, file a copy of such report with each stock exchange upon which the Securities are listed, if any, and also with the SEC in respect of a Security listed and registered on a national securities exchange, if any. The Company agrees to notify the Trustee when, as and if the Securities become listed on any stock exchange or any delisting thereof.</w:t>
      </w:r>
    </w:p>
    <w:p>
      <w:pPr>
        <w:spacing w:after="0" w:line="153"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The Company will reimburse the Trustee for all expenses incurred in the preparation and transmission of any report pursuant to the provisions of this Section 10.01 and of Section 10.02.</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10.02</w:t>
      </w:r>
      <w:r>
        <w:rPr>
          <w:sz w:val="20"/>
          <w:szCs w:val="20"/>
          <w:color w:val="auto"/>
        </w:rPr>
        <w:tab/>
      </w:r>
      <w:r>
        <w:rPr>
          <w:rFonts w:ascii="Arial" w:cs="Arial" w:eastAsia="Arial" w:hAnsi="Arial"/>
          <w:sz w:val="14"/>
          <w:szCs w:val="14"/>
          <w:u w:val="single" w:color="auto"/>
          <w:color w:val="auto"/>
        </w:rPr>
        <w:t>Reports by the Company</w:t>
      </w:r>
      <w:r>
        <w:rPr>
          <w:rFonts w:ascii="Arial" w:cs="Arial" w:eastAsia="Arial" w:hAnsi="Arial"/>
          <w:sz w:val="14"/>
          <w:szCs w:val="14"/>
          <w:color w:val="auto"/>
        </w:rPr>
        <w:t>.</w:t>
      </w:r>
    </w:p>
    <w:p>
      <w:pPr>
        <w:spacing w:after="0" w:line="221" w:lineRule="exact"/>
        <w:rPr>
          <w:sz w:val="20"/>
          <w:szCs w:val="20"/>
          <w:color w:val="auto"/>
        </w:rPr>
      </w:pPr>
    </w:p>
    <w:p>
      <w:pPr>
        <w:ind w:right="40" w:firstLine="486"/>
        <w:spacing w:after="0" w:line="315" w:lineRule="auto"/>
        <w:rPr>
          <w:sz w:val="20"/>
          <w:szCs w:val="20"/>
          <w:color w:val="auto"/>
        </w:rPr>
      </w:pPr>
      <w:r>
        <w:rPr>
          <w:rFonts w:ascii="Arial" w:cs="Arial" w:eastAsia="Arial" w:hAnsi="Arial"/>
          <w:sz w:val="14"/>
          <w:szCs w:val="14"/>
          <w:color w:val="auto"/>
        </w:rPr>
        <w:t>The Company shall file with the Trustee and the SEC, and transmit to 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 and provided further, that the filing of the reports specified in Section 13 or 15(d) of the Exchange Act by an entity that is the direct or indirect parent of the Company will satisfy the requirements of this Section 10.02 so long as such entity is an obligor or guarantor on the Securities; and provided further that the reports of such entity will not be required to include condensed consolidating financial information for the Company in a footnote to the financial statements of such entity.</w:t>
      </w:r>
    </w:p>
    <w:p>
      <w:pPr>
        <w:spacing w:after="0" w:line="150" w:lineRule="exact"/>
        <w:rPr>
          <w:sz w:val="20"/>
          <w:szCs w:val="20"/>
          <w:color w:val="auto"/>
        </w:rPr>
      </w:pPr>
    </w:p>
    <w:p>
      <w:pPr>
        <w:jc w:val="both"/>
        <w:ind w:right="80" w:firstLine="486"/>
        <w:spacing w:after="0" w:line="278" w:lineRule="auto"/>
        <w:rPr>
          <w:sz w:val="20"/>
          <w:szCs w:val="20"/>
          <w:color w:val="auto"/>
        </w:rPr>
      </w:pPr>
      <w:r>
        <w:rPr>
          <w:rFonts w:ascii="Arial" w:cs="Arial" w:eastAsia="Arial" w:hAnsi="Arial"/>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10.03</w:t>
      </w:r>
      <w:r>
        <w:rPr>
          <w:sz w:val="20"/>
          <w:szCs w:val="20"/>
          <w:color w:val="auto"/>
        </w:rPr>
        <w:tab/>
      </w:r>
      <w:r>
        <w:rPr>
          <w:rFonts w:ascii="Arial" w:cs="Arial" w:eastAsia="Arial" w:hAnsi="Arial"/>
          <w:sz w:val="15"/>
          <w:szCs w:val="15"/>
          <w:u w:val="single" w:color="auto"/>
          <w:color w:val="auto"/>
        </w:rPr>
        <w:t>Securityholders’ Lists</w:t>
      </w:r>
      <w:r>
        <w:rPr>
          <w:rFonts w:ascii="Arial" w:cs="Arial" w:eastAsia="Arial" w:hAnsi="Arial"/>
          <w:sz w:val="15"/>
          <w:szCs w:val="15"/>
          <w:color w:val="auto"/>
        </w:rPr>
        <w:t>.</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covenants and agrees that it will furnish or cause to be furnished to the Trustee:</w:t>
      </w:r>
    </w:p>
    <w:p>
      <w:pPr>
        <w:spacing w:after="0" w:line="221" w:lineRule="exact"/>
        <w:rPr>
          <w:sz w:val="20"/>
          <w:szCs w:val="20"/>
          <w:color w:val="auto"/>
        </w:rPr>
      </w:pPr>
    </w:p>
    <w:p>
      <w:pPr>
        <w:ind w:right="120" w:firstLine="1305"/>
        <w:spacing w:after="0" w:line="293" w:lineRule="auto"/>
        <w:tabs>
          <w:tab w:leader="none" w:pos="1679" w:val="left"/>
        </w:tabs>
        <w:numPr>
          <w:ilvl w:val="0"/>
          <w:numId w:val="74"/>
        </w:numPr>
        <w:rPr>
          <w:rFonts w:ascii="Arial" w:cs="Arial" w:eastAsia="Arial" w:hAnsi="Arial"/>
          <w:sz w:val="16"/>
          <w:szCs w:val="16"/>
          <w:color w:val="auto"/>
        </w:rPr>
      </w:pPr>
      <w:r>
        <w:rPr>
          <w:rFonts w:ascii="Arial" w:cs="Arial" w:eastAsia="Arial" w:hAnsi="Arial"/>
          <w:sz w:val="16"/>
          <w:szCs w:val="16"/>
          <w:color w:val="auto"/>
        </w:rPr>
        <w:t>semi-annually, within 15 days after each Record Date, but in any event not less frequently than semi-annually, a list in such form as the Trustee may reasonably require of the names and addresses of the Holders of Securities to which such Record Date applies, as of such Record Date, and</w:t>
      </w:r>
    </w:p>
    <w:p>
      <w:pPr>
        <w:spacing w:after="0" w:line="158" w:lineRule="exact"/>
        <w:rPr>
          <w:rFonts w:ascii="Arial" w:cs="Arial" w:eastAsia="Arial" w:hAnsi="Arial"/>
          <w:sz w:val="16"/>
          <w:szCs w:val="16"/>
          <w:color w:val="auto"/>
        </w:rPr>
      </w:pPr>
    </w:p>
    <w:p>
      <w:pPr>
        <w:ind w:right="20" w:firstLine="1305"/>
        <w:spacing w:after="0" w:line="271" w:lineRule="auto"/>
        <w:tabs>
          <w:tab w:leader="none" w:pos="1688" w:val="left"/>
        </w:tabs>
        <w:numPr>
          <w:ilvl w:val="0"/>
          <w:numId w:val="74"/>
        </w:numPr>
        <w:rPr>
          <w:rFonts w:ascii="Arial" w:cs="Arial" w:eastAsia="Arial" w:hAnsi="Arial"/>
          <w:sz w:val="16"/>
          <w:szCs w:val="16"/>
          <w:color w:val="auto"/>
        </w:rPr>
      </w:pPr>
      <w:r>
        <w:rPr>
          <w:rFonts w:ascii="Arial" w:cs="Arial" w:eastAsia="Arial" w:hAnsi="Arial"/>
          <w:sz w:val="16"/>
          <w:szCs w:val="16"/>
          <w:color w:val="auto"/>
        </w:rPr>
        <w:t>at such other times as the Trustee may request in writing, within 30 days after receipt by the Company of any such request, a list of similar form and content as of a date not more than 15 days prior to the time such list is furnished; provided, however, that so long as the Trustee shall be the Registrar, such lists shall not be required to be furnished; and provided, further, that the Trustee shall not be held accountable by reason of (i) the disclosure of any information as to the names and addresses of the Holders in accordance with the TIA Section 312, regardless of the source from which the information was derived and (ii) mailing any material pursuant to a request made under TIA Section 312.</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6"/>
          <w:szCs w:val="16"/>
          <w:b w:val="1"/>
          <w:bCs w:val="1"/>
          <w:color w:val="auto"/>
        </w:rPr>
        <w:t>ARTICLE XI</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CONCERNING THE TRUSTEE</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11.01</w:t>
      </w:r>
      <w:r>
        <w:rPr>
          <w:sz w:val="20"/>
          <w:szCs w:val="20"/>
          <w:color w:val="auto"/>
        </w:rPr>
        <w:tab/>
      </w:r>
      <w:r>
        <w:rPr>
          <w:rFonts w:ascii="Arial" w:cs="Arial" w:eastAsia="Arial" w:hAnsi="Arial"/>
          <w:sz w:val="14"/>
          <w:szCs w:val="14"/>
          <w:u w:val="single" w:color="auto"/>
          <w:color w:val="auto"/>
        </w:rPr>
        <w:t>Rights of Trustees; Compensation and Indemnity</w:t>
      </w:r>
      <w:r>
        <w:rPr>
          <w:rFonts w:ascii="Arial" w:cs="Arial" w:eastAsia="Arial" w:hAnsi="Arial"/>
          <w:sz w:val="14"/>
          <w:szCs w:val="14"/>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Trustee accepts the trusts created by this Indenture upon the terms and conditions hereof, including the following, to all of which the parties hereto and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Holders from time to time of the Securities agree:</w:t>
      </w:r>
    </w:p>
    <w:p>
      <w:pPr>
        <w:spacing w:after="0" w:line="217" w:lineRule="exact"/>
        <w:rPr>
          <w:sz w:val="20"/>
          <w:szCs w:val="20"/>
          <w:color w:val="auto"/>
        </w:rPr>
      </w:pPr>
    </w:p>
    <w:p>
      <w:pPr>
        <w:ind w:right="20" w:firstLine="1305"/>
        <w:spacing w:after="0" w:line="318" w:lineRule="auto"/>
        <w:tabs>
          <w:tab w:leader="none" w:pos="1679"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Trustee shall be entitled to such compensation as the Company and the Trustee shall from time to time agree in writing for all services rendered by it hereunder (including in any agent capacity in which it acts). The compensation of the Trustee shall not be limited by any provision of law in regard to the compensation of a trustee of an express trust. The Company shall reimburse the Trustee promptly upon its request for all reasonable out-of-pocket expenses, disbursements and advances incurred or made by the Trustee in accordance with any provision of this Indenture (including the reasonable compensation and expenses and disbursements of its agents and counsel), except any such expense, disbursement or advance as may be attributable to its own gross negligence, bad faith or willful misconduct.</w:t>
      </w:r>
    </w:p>
    <w:p>
      <w:pPr>
        <w:spacing w:after="0" w:line="149" w:lineRule="exact"/>
        <w:rPr>
          <w:sz w:val="20"/>
          <w:szCs w:val="20"/>
          <w:color w:val="auto"/>
        </w:rPr>
      </w:pPr>
    </w:p>
    <w:p>
      <w:pPr>
        <w:ind w:right="40" w:firstLine="1621"/>
        <w:spacing w:after="0" w:line="268" w:lineRule="auto"/>
        <w:rPr>
          <w:sz w:val="20"/>
          <w:szCs w:val="20"/>
          <w:color w:val="auto"/>
        </w:rPr>
      </w:pPr>
      <w:r>
        <w:rPr>
          <w:rFonts w:ascii="Arial" w:cs="Arial" w:eastAsia="Arial" w:hAnsi="Arial"/>
          <w:sz w:val="16"/>
          <w:szCs w:val="16"/>
          <w:color w:val="auto"/>
        </w:rPr>
        <w:t>The Company also agrees to indemnify each of the Trustee and any predecessor Trustee hereunder for, and to hold it harmless against, any and all loss, liability, damage, claim, or expense including taxes (other than taxes based on the income of the Trustee) incurred without its own negligence, bad faith or willful misconduct, arising out of or in connection with the acceptance or administration of the trust or trusts hereunder and the performance of its duties (including in any agent capacity in which it acts), as well as the costs and expenses of defending itself against any claim or liability in connection with the exercise or performance of any of its powers or duties hereunder, except those attributable to its gross negligence, willful misconduct or bad faith. The Trustee shall notify the Company promptly of any claim for which it may seek indemnity. The Company shall defend the claim and the Trustee shall cooperate in the defense. The Trustee may have one separate counsel of its selection and the Company shall pay the reasonable fees and expenses of such counsel. The Company need not pay for any settlement made without its consent, which consent shall not be unreasonably withheld.</w:t>
      </w:r>
    </w:p>
    <w:p>
      <w:pPr>
        <w:spacing w:after="0" w:line="180" w:lineRule="exact"/>
        <w:rPr>
          <w:sz w:val="20"/>
          <w:szCs w:val="20"/>
          <w:color w:val="auto"/>
        </w:rPr>
      </w:pPr>
    </w:p>
    <w:p>
      <w:pPr>
        <w:ind w:right="100" w:firstLine="1621"/>
        <w:spacing w:after="0" w:line="291" w:lineRule="auto"/>
        <w:rPr>
          <w:sz w:val="20"/>
          <w:szCs w:val="20"/>
          <w:color w:val="auto"/>
        </w:rPr>
      </w:pPr>
      <w:r>
        <w:rPr>
          <w:rFonts w:ascii="Arial" w:cs="Arial" w:eastAsia="Arial" w:hAnsi="Arial"/>
          <w:sz w:val="15"/>
          <w:szCs w:val="15"/>
          <w:color w:val="auto"/>
        </w:rPr>
        <w:t>As security for the performance of the obligations of the Company under this Section 11.01(a), the Trustee shall have a lien upon all property and funds held or collected by the Trustee as such, except funds held in trust by the Trustee to pay principal of and interest on any Securities. Notwithstanding any provisions of this Indenture to the contrary, the obligations of the Company to compensate and indemnify the Trustee under this Section 11.01(a) shall survive the resignation or removal of the Trustee, the termination of this Indenture and any satisfaction and discharge under Article XII. When the Trustee incurs expenses or renders services in connection with an Event of Default specified in clause (e) or (f) of Section 7.01 occurs, the expenses (including the reasonable charges of its counsel) and compensation for the services are intended to constitute expenses of administration under any applicable federal or state bankruptcy, insolvency or similar laws.</w:t>
      </w:r>
    </w:p>
    <w:p>
      <w:pPr>
        <w:spacing w:after="0" w:line="163" w:lineRule="exact"/>
        <w:rPr>
          <w:sz w:val="20"/>
          <w:szCs w:val="20"/>
          <w:color w:val="auto"/>
        </w:rPr>
      </w:pPr>
    </w:p>
    <w:p>
      <w:pPr>
        <w:ind w:right="240" w:firstLine="1305"/>
        <w:spacing w:after="0" w:line="329" w:lineRule="auto"/>
        <w:tabs>
          <w:tab w:leader="none" w:pos="1688"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Trustee may execute any of the trusts or powers hereof or perform any duties hereunder either directly or by or through its agents or attorneys and the Trustee shall not be responsible for any misconduct or negligence on the part of any agent or attorney appointed with due care by it hereunder.</w:t>
      </w:r>
    </w:p>
    <w:p>
      <w:pPr>
        <w:spacing w:after="0" w:line="134" w:lineRule="exact"/>
        <w:rPr>
          <w:rFonts w:ascii="Arial" w:cs="Arial" w:eastAsia="Arial" w:hAnsi="Arial"/>
          <w:sz w:val="15"/>
          <w:szCs w:val="15"/>
          <w:color w:val="auto"/>
        </w:rPr>
      </w:pPr>
    </w:p>
    <w:p>
      <w:pPr>
        <w:ind w:right="100" w:firstLine="1305"/>
        <w:spacing w:after="0" w:line="269" w:lineRule="auto"/>
        <w:tabs>
          <w:tab w:leader="none" w:pos="167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Trustee shall not be responsible in any manner whatsoever for the correctness of the recitals herein or in the Securities (except its certificates of authentication thereon) contained, all of which are made solely by the Company; and the Trustee shall not be responsible or accountable in any manner whatsoever for or with respect to the validity or execution or sufficiency of this Indenture or of the Securities (except its certificates of authentication thereon), and the Trustee makes no representation with respect thereto,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accountable for the use or application by the Company of any Securities, or the proceeds of any Securities, authenticated and delivered by the Trustee in conformity with the provisions of this Indenture.</w:t>
      </w:r>
    </w:p>
    <w:p>
      <w:pPr>
        <w:spacing w:after="0" w:line="177" w:lineRule="exact"/>
        <w:rPr>
          <w:rFonts w:ascii="Arial" w:cs="Arial" w:eastAsia="Arial" w:hAnsi="Arial"/>
          <w:sz w:val="16"/>
          <w:szCs w:val="16"/>
          <w:color w:val="auto"/>
        </w:rPr>
      </w:pPr>
    </w:p>
    <w:p>
      <w:pPr>
        <w:jc w:val="both"/>
        <w:ind w:right="540" w:firstLine="1305"/>
        <w:spacing w:after="0" w:line="278" w:lineRule="auto"/>
        <w:tabs>
          <w:tab w:leader="none" w:pos="1688"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to the extent permitted by Section 11.02, any Opinion of Counsel shall be full and complete authorization and protection in respect of any action taken, suffered or omitted by the Trustee hereunder in good faith and in accordance with such Opinion of Counsel.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58" w:name="page59"/>
    <w:bookmarkEnd w:id="58"/>
    <w:p>
      <w:pPr>
        <w:ind w:left="-20" w:right="40" w:firstLine="1305"/>
        <w:spacing w:after="0" w:line="271" w:lineRule="auto"/>
        <w:tabs>
          <w:tab w:leader="none" w:pos="1659"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Trustee, to the extent permitted by Section 11.02, may rely upon the certificate of the Secretary or one of the Assistant Secretaries of the Company as to the adoption of any Board Resolution or resolution of the stockholders of the Company, and any request, direction, order or demand of the Company mentioned herein shall be sufficiently evidenced by, and whenever in the administration of this Indenture the Trustee shall deem it desirable that a matter be proved or established prior to taking, suffering or omitting any action hereunder, the Trustee may rely upon, an Officer’s Certificate of the Company (unless other evidence in respect thereof be herein specifically prescribed).</w:t>
      </w:r>
    </w:p>
    <w:p>
      <w:pPr>
        <w:spacing w:after="0" w:line="176" w:lineRule="exact"/>
        <w:rPr>
          <w:rFonts w:ascii="Arial" w:cs="Arial" w:eastAsia="Arial" w:hAnsi="Arial"/>
          <w:sz w:val="16"/>
          <w:szCs w:val="16"/>
          <w:color w:val="auto"/>
        </w:rPr>
      </w:pPr>
    </w:p>
    <w:p>
      <w:pPr>
        <w:ind w:left="-20" w:right="220" w:firstLine="1305"/>
        <w:spacing w:after="0" w:line="278" w:lineRule="auto"/>
        <w:tabs>
          <w:tab w:leader="none" w:pos="1641"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Section 11.04, the Trustee or any agent of the Trustee, in its individual or any other capacity, may become the owner or pledgee of Securities and, subject to Sections 310(b) and 311 of the Trust Indenture Act, may otherwise deal with the Company with the same rights it would have had if it were not the Trustee or such agent.</w:t>
      </w:r>
    </w:p>
    <w:p>
      <w:pPr>
        <w:spacing w:after="0" w:line="170" w:lineRule="exact"/>
        <w:rPr>
          <w:rFonts w:ascii="Arial" w:cs="Arial" w:eastAsia="Arial" w:hAnsi="Arial"/>
          <w:sz w:val="16"/>
          <w:szCs w:val="16"/>
          <w:color w:val="auto"/>
        </w:rPr>
      </w:pPr>
    </w:p>
    <w:p>
      <w:pPr>
        <w:ind w:left="-20" w:right="400" w:firstLine="1305"/>
        <w:spacing w:after="0" w:line="293" w:lineRule="auto"/>
        <w:tabs>
          <w:tab w:leader="none" w:pos="1668" w:val="left"/>
        </w:tabs>
        <w:numPr>
          <w:ilvl w:val="0"/>
          <w:numId w:val="77"/>
        </w:numPr>
        <w:rPr>
          <w:rFonts w:ascii="Arial" w:cs="Arial" w:eastAsia="Arial" w:hAnsi="Arial"/>
          <w:sz w:val="16"/>
          <w:szCs w:val="16"/>
          <w:color w:val="auto"/>
        </w:rPr>
      </w:pPr>
      <w:r>
        <w:rPr>
          <w:rFonts w:ascii="Arial" w:cs="Arial" w:eastAsia="Arial" w:hAnsi="Arial"/>
          <w:sz w:val="16"/>
          <w:szCs w:val="16"/>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58" w:lineRule="exact"/>
        <w:rPr>
          <w:rFonts w:ascii="Arial" w:cs="Arial" w:eastAsia="Arial" w:hAnsi="Arial"/>
          <w:sz w:val="16"/>
          <w:szCs w:val="16"/>
          <w:color w:val="auto"/>
        </w:rPr>
      </w:pPr>
    </w:p>
    <w:p>
      <w:pPr>
        <w:jc w:val="both"/>
        <w:ind w:left="-20" w:firstLine="1305"/>
        <w:spacing w:after="0" w:line="305" w:lineRule="auto"/>
        <w:tabs>
          <w:tab w:leader="none" w:pos="1668" w:val="left"/>
        </w:tabs>
        <w:numPr>
          <w:ilvl w:val="0"/>
          <w:numId w:val="77"/>
        </w:numPr>
        <w:rPr>
          <w:rFonts w:ascii="Arial" w:cs="Arial" w:eastAsia="Arial" w:hAnsi="Arial"/>
          <w:sz w:val="15"/>
          <w:szCs w:val="15"/>
          <w:color w:val="auto"/>
        </w:rPr>
      </w:pPr>
      <w:r>
        <w:rPr>
          <w:rFonts w:ascii="Arial" w:cs="Arial" w:eastAsia="Arial" w:hAnsi="Arial"/>
          <w:sz w:val="15"/>
          <w:szCs w:val="15"/>
          <w:color w:val="auto"/>
        </w:rPr>
        <w:t>Any action taken by the Trustee pursuant to any provision hereof at the request or with the consent of any Person who at the time is the Holder of any Security shall be conclusive and binding in respect of such Security upon all future Holders thereof or of any Security or Securities which may be issued for or in lieu thereof in whole or in part, whether or not such Security shall have noted thereon the fact that such request or consent had been made or given.</w:t>
      </w:r>
    </w:p>
    <w:p>
      <w:pPr>
        <w:spacing w:after="0" w:line="152" w:lineRule="exact"/>
        <w:rPr>
          <w:rFonts w:ascii="Arial" w:cs="Arial" w:eastAsia="Arial" w:hAnsi="Arial"/>
          <w:sz w:val="15"/>
          <w:szCs w:val="15"/>
          <w:color w:val="auto"/>
        </w:rPr>
      </w:pPr>
    </w:p>
    <w:p>
      <w:pPr>
        <w:ind w:left="-20" w:right="80" w:firstLine="1305"/>
        <w:spacing w:after="0" w:line="305" w:lineRule="auto"/>
        <w:tabs>
          <w:tab w:leader="none" w:pos="1632" w:val="left"/>
        </w:tabs>
        <w:numPr>
          <w:ilvl w:val="0"/>
          <w:numId w:val="77"/>
        </w:numPr>
        <w:rPr>
          <w:rFonts w:ascii="Arial" w:cs="Arial" w:eastAsia="Arial" w:hAnsi="Arial"/>
          <w:sz w:val="15"/>
          <w:szCs w:val="15"/>
          <w:color w:val="auto"/>
        </w:rPr>
      </w:pPr>
      <w:r>
        <w:rPr>
          <w:rFonts w:ascii="Arial" w:cs="Arial" w:eastAsia="Arial" w:hAnsi="Arial"/>
          <w:sz w:val="15"/>
          <w:szCs w:val="15"/>
          <w:color w:val="auto"/>
        </w:rPr>
        <w:t>Subject to the provisions of Section 11.02, the Trustee may conclusively rely and shall be fully protected in acting or refraining from acting upon any resolution, certificate, statement, instrument, opinion, report, notice, request, consent, order, approval, bond, debenture, other evidence of indebtedness or other paper or document (whether in its original or facsimile form) believed by it to be genuine and to have been signed or presented by the proper party or parties.</w:t>
      </w:r>
    </w:p>
    <w:p>
      <w:pPr>
        <w:spacing w:after="0" w:line="152" w:lineRule="exact"/>
        <w:rPr>
          <w:rFonts w:ascii="Arial" w:cs="Arial" w:eastAsia="Arial" w:hAnsi="Arial"/>
          <w:sz w:val="15"/>
          <w:szCs w:val="15"/>
          <w:color w:val="auto"/>
        </w:rPr>
      </w:pPr>
    </w:p>
    <w:p>
      <w:pPr>
        <w:ind w:left="-20" w:right="340" w:firstLine="1305"/>
        <w:spacing w:after="0" w:line="335" w:lineRule="auto"/>
        <w:tabs>
          <w:tab w:leader="none" w:pos="1632" w:val="left"/>
        </w:tabs>
        <w:numPr>
          <w:ilvl w:val="0"/>
          <w:numId w:val="77"/>
        </w:numPr>
        <w:rPr>
          <w:rFonts w:ascii="Arial" w:cs="Arial" w:eastAsia="Arial" w:hAnsi="Arial"/>
          <w:sz w:val="14"/>
          <w:szCs w:val="14"/>
          <w:color w:val="auto"/>
        </w:rPr>
      </w:pPr>
      <w:r>
        <w:rPr>
          <w:rFonts w:ascii="Arial" w:cs="Arial" w:eastAsia="Arial" w:hAnsi="Arial"/>
          <w:sz w:val="14"/>
          <w:szCs w:val="14"/>
          <w:color w:val="auto"/>
        </w:rPr>
        <w:t>Subject to the provisions of Section 11.02, the Trustee shall not be under any obligation to exercise any of the rights or powers vested in it by this Indenture at the request, order or direction of any of the Holders of the Securities, pursuant to any provision of this Indenture, unless one or more of the Holders of the Securities shall have offered to the Trustee security or indemnity satisfactory to it against the costs, expenses and liabilities which may be incurred by it therein or thereby.</w:t>
      </w:r>
    </w:p>
    <w:p>
      <w:pPr>
        <w:spacing w:after="0" w:line="136" w:lineRule="exact"/>
        <w:rPr>
          <w:rFonts w:ascii="Arial" w:cs="Arial" w:eastAsia="Arial" w:hAnsi="Arial"/>
          <w:sz w:val="14"/>
          <w:szCs w:val="14"/>
          <w:color w:val="auto"/>
        </w:rPr>
      </w:pPr>
    </w:p>
    <w:p>
      <w:pPr>
        <w:ind w:left="-20" w:right="220" w:firstLine="1305"/>
        <w:spacing w:after="0" w:line="293" w:lineRule="auto"/>
        <w:tabs>
          <w:tab w:leader="none" w:pos="1668"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the provisions of Section 11.02, the Trustee shall not be liable for any action taken or omitted by it in good faith and believed by it to be authorized or within its discretion or within the rights or powers conferred upon it by this Indenture.</w:t>
      </w:r>
    </w:p>
    <w:p>
      <w:pPr>
        <w:spacing w:after="0" w:line="158" w:lineRule="exact"/>
        <w:rPr>
          <w:rFonts w:ascii="Arial" w:cs="Arial" w:eastAsia="Arial" w:hAnsi="Arial"/>
          <w:sz w:val="16"/>
          <w:szCs w:val="16"/>
          <w:color w:val="auto"/>
        </w:rPr>
      </w:pPr>
    </w:p>
    <w:p>
      <w:pPr>
        <w:jc w:val="both"/>
        <w:ind w:left="-20" w:right="200" w:firstLine="1305"/>
        <w:spacing w:after="0" w:line="278" w:lineRule="auto"/>
        <w:tabs>
          <w:tab w:leader="none" w:pos="1632"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the provisions of Section 11.02, the Trustee shall not be deemed to have knowledge or notice of any Default or Event of Default unless a Responsible Officer of the Trustee has actual knowledge thereof or unless the Holders of not less than 25% of the Outstanding Securities notify the Trustee thereof, and such notice references the Securities and this Indenture.</w:t>
      </w:r>
    </w:p>
    <w:p>
      <w:pPr>
        <w:spacing w:after="0" w:line="170" w:lineRule="exact"/>
        <w:rPr>
          <w:rFonts w:ascii="Arial" w:cs="Arial" w:eastAsia="Arial" w:hAnsi="Arial"/>
          <w:sz w:val="16"/>
          <w:szCs w:val="16"/>
          <w:color w:val="auto"/>
        </w:rPr>
      </w:pPr>
    </w:p>
    <w:p>
      <w:pPr>
        <w:jc w:val="both"/>
        <w:ind w:left="-20" w:right="140" w:firstLine="1305"/>
        <w:spacing w:after="0" w:line="271" w:lineRule="auto"/>
        <w:tabs>
          <w:tab w:leader="none" w:pos="1713"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the provisions of the first paragraph of Section 11.02,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may, but shall not be required to, make further inquiry or investigation into such facts or matters as it may see fit, and if the Trustee shall determine to make such further inquiry or investigation, it shall be entitled with the prior consent of the Company, which shall not be unreasonably withheld, to examine the books, records and premises of the Company.</w:t>
      </w:r>
    </w:p>
    <w:p>
      <w:pPr>
        <w:spacing w:after="0" w:line="176" w:lineRule="exact"/>
        <w:rPr>
          <w:rFonts w:ascii="Arial" w:cs="Arial" w:eastAsia="Arial" w:hAnsi="Arial"/>
          <w:sz w:val="16"/>
          <w:szCs w:val="16"/>
          <w:color w:val="auto"/>
        </w:rPr>
      </w:pPr>
    </w:p>
    <w:p>
      <w:pPr>
        <w:ind w:left="-20" w:right="600" w:firstLine="1305"/>
        <w:spacing w:after="0" w:line="369" w:lineRule="auto"/>
        <w:tabs>
          <w:tab w:leader="none" w:pos="1668"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535" w:right="239" w:bottom="1440" w:gutter="0" w:footer="0" w:header="0"/>
        </w:sectPr>
      </w:pPr>
    </w:p>
    <w:bookmarkStart w:id="59" w:name="page60"/>
    <w:bookmarkEnd w:id="59"/>
    <w:p>
      <w:pPr>
        <w:spacing w:after="0"/>
        <w:tabs>
          <w:tab w:leader="none" w:pos="1120" w:val="left"/>
        </w:tabs>
        <w:rPr>
          <w:sz w:val="20"/>
          <w:szCs w:val="20"/>
          <w:color w:val="auto"/>
        </w:rPr>
      </w:pPr>
      <w:r>
        <w:rPr>
          <w:rFonts w:ascii="Arial" w:cs="Arial" w:eastAsia="Arial" w:hAnsi="Arial"/>
          <w:sz w:val="16"/>
          <w:szCs w:val="16"/>
          <w:color w:val="auto"/>
        </w:rPr>
        <w:t>Section 11.02</w:t>
      </w:r>
      <w:r>
        <w:rPr>
          <w:sz w:val="20"/>
          <w:szCs w:val="20"/>
          <w:color w:val="auto"/>
        </w:rPr>
        <w:tab/>
      </w:r>
      <w:r>
        <w:rPr>
          <w:rFonts w:ascii="Arial" w:cs="Arial" w:eastAsia="Arial" w:hAnsi="Arial"/>
          <w:sz w:val="14"/>
          <w:szCs w:val="14"/>
          <w:u w:val="single" w:color="auto"/>
          <w:color w:val="auto"/>
        </w:rPr>
        <w:t>Duties of Trustee</w:t>
      </w:r>
      <w:r>
        <w:rPr>
          <w:rFonts w:ascii="Arial" w:cs="Arial" w:eastAsia="Arial" w:hAnsi="Arial"/>
          <w:sz w:val="14"/>
          <w:szCs w:val="14"/>
          <w:color w:val="auto"/>
        </w:rPr>
        <w:t>.</w:t>
      </w:r>
    </w:p>
    <w:p>
      <w:pPr>
        <w:spacing w:after="0" w:line="221" w:lineRule="exact"/>
        <w:rPr>
          <w:sz w:val="20"/>
          <w:szCs w:val="20"/>
          <w:color w:val="auto"/>
        </w:rPr>
      </w:pPr>
    </w:p>
    <w:p>
      <w:pPr>
        <w:jc w:val="both"/>
        <w:ind w:right="300" w:firstLine="1305"/>
        <w:spacing w:after="0" w:line="305" w:lineRule="auto"/>
        <w:tabs>
          <w:tab w:leader="none" w:pos="1679" w:val="left"/>
        </w:tabs>
        <w:numPr>
          <w:ilvl w:val="0"/>
          <w:numId w:val="78"/>
        </w:numPr>
        <w:rPr>
          <w:rFonts w:ascii="Arial" w:cs="Arial" w:eastAsia="Arial" w:hAnsi="Arial"/>
          <w:sz w:val="15"/>
          <w:szCs w:val="15"/>
          <w:color w:val="auto"/>
        </w:rPr>
      </w:pPr>
      <w:r>
        <w:rPr>
          <w:rFonts w:ascii="Arial" w:cs="Arial" w:eastAsia="Arial" w:hAnsi="Arial"/>
          <w:sz w:val="15"/>
          <w:szCs w:val="15"/>
          <w:color w:val="auto"/>
        </w:rPr>
        <w:t>If one or more of the Events of Default specified in Section 7.01 with respect to the Securities of any series shall have happened, then, during the continuance thereof, the Trustee shall, with respect to such Securities, exercise such of the rights and powers vested in it by this Indenture, and shall use the same degree of care and skill in their exercise, as a prudent person would exercise or use under the circumstances in the conduct of such person’s own affairs.</w:t>
      </w:r>
    </w:p>
    <w:p>
      <w:pPr>
        <w:spacing w:after="0" w:line="152" w:lineRule="exact"/>
        <w:rPr>
          <w:rFonts w:ascii="Arial" w:cs="Arial" w:eastAsia="Arial" w:hAnsi="Arial"/>
          <w:sz w:val="15"/>
          <w:szCs w:val="15"/>
          <w:color w:val="auto"/>
        </w:rPr>
      </w:pPr>
    </w:p>
    <w:p>
      <w:pPr>
        <w:ind w:right="60" w:firstLine="1305"/>
        <w:spacing w:after="0" w:line="293" w:lineRule="auto"/>
        <w:tabs>
          <w:tab w:leader="none" w:pos="1688"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None of the provisions of this Indenture shall be construed as relieving the Trustee from liability for its own negligent action, negligent failure to act, or its own willful misconduct, except that, anything in this Indenture contained to the contrary notwithstanding,</w:t>
      </w:r>
    </w:p>
    <w:p>
      <w:pPr>
        <w:spacing w:after="0" w:line="158" w:lineRule="exact"/>
        <w:rPr>
          <w:rFonts w:ascii="Arial" w:cs="Arial" w:eastAsia="Arial" w:hAnsi="Arial"/>
          <w:sz w:val="16"/>
          <w:szCs w:val="16"/>
          <w:color w:val="auto"/>
        </w:rPr>
      </w:pPr>
    </w:p>
    <w:p>
      <w:pPr>
        <w:ind w:left="2140" w:hanging="349"/>
        <w:spacing w:after="0"/>
        <w:tabs>
          <w:tab w:leader="none" w:pos="2140" w:val="left"/>
        </w:tabs>
        <w:numPr>
          <w:ilvl w:val="1"/>
          <w:numId w:val="78"/>
        </w:numPr>
        <w:rPr>
          <w:rFonts w:ascii="Arial" w:cs="Arial" w:eastAsia="Arial" w:hAnsi="Arial"/>
          <w:sz w:val="14"/>
          <w:szCs w:val="14"/>
          <w:color w:val="auto"/>
        </w:rPr>
      </w:pPr>
      <w:r>
        <w:rPr>
          <w:rFonts w:ascii="Arial" w:cs="Arial" w:eastAsia="Arial" w:hAnsi="Arial"/>
          <w:sz w:val="14"/>
          <w:szCs w:val="14"/>
          <w:color w:val="auto"/>
        </w:rPr>
        <w:t>unless and until an Event of Default specified in Section 7.01 with respect to the Securities of any series shall have happened which at the time</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is continuing,</w:t>
      </w:r>
    </w:p>
    <w:p>
      <w:pPr>
        <w:spacing w:after="0" w:line="217" w:lineRule="exact"/>
        <w:rPr>
          <w:rFonts w:ascii="Arial" w:cs="Arial" w:eastAsia="Arial" w:hAnsi="Arial"/>
          <w:sz w:val="14"/>
          <w:szCs w:val="14"/>
          <w:color w:val="auto"/>
        </w:rPr>
      </w:pPr>
    </w:p>
    <w:p>
      <w:pPr>
        <w:jc w:val="both"/>
        <w:ind w:right="180" w:firstLine="2277"/>
        <w:spacing w:after="0" w:line="278" w:lineRule="auto"/>
        <w:tabs>
          <w:tab w:leader="none" w:pos="2656" w:val="left"/>
        </w:tabs>
        <w:numPr>
          <w:ilvl w:val="2"/>
          <w:numId w:val="78"/>
        </w:numPr>
        <w:rPr>
          <w:rFonts w:ascii="Arial" w:cs="Arial" w:eastAsia="Arial" w:hAnsi="Arial"/>
          <w:sz w:val="16"/>
          <w:szCs w:val="16"/>
          <w:color w:val="auto"/>
        </w:rPr>
      </w:pPr>
      <w:r>
        <w:rPr>
          <w:rFonts w:ascii="Arial" w:cs="Arial" w:eastAsia="Arial" w:hAnsi="Arial"/>
          <w:sz w:val="16"/>
          <w:szCs w:val="16"/>
          <w:color w:val="auto"/>
        </w:rPr>
        <w:t>the Trustee undertakes to perform such duties and only such duties with respect to the Securities of that series as are specifically set out in this Indenture, and no implied covenants or obligations shall be read into this Indenture against the Trustee, whose duties and obligations shall be determined solely by the express provisions of this Indenture; and</w:t>
      </w:r>
    </w:p>
    <w:p>
      <w:pPr>
        <w:spacing w:after="0" w:line="170" w:lineRule="exact"/>
        <w:rPr>
          <w:rFonts w:ascii="Arial" w:cs="Arial" w:eastAsia="Arial" w:hAnsi="Arial"/>
          <w:sz w:val="16"/>
          <w:szCs w:val="16"/>
          <w:color w:val="auto"/>
        </w:rPr>
      </w:pPr>
    </w:p>
    <w:p>
      <w:pPr>
        <w:ind w:right="20" w:firstLine="2277"/>
        <w:spacing w:after="0" w:line="271" w:lineRule="auto"/>
        <w:tabs>
          <w:tab w:leader="none" w:pos="2647" w:val="left"/>
        </w:tabs>
        <w:numPr>
          <w:ilvl w:val="2"/>
          <w:numId w:val="78"/>
        </w:numPr>
        <w:rPr>
          <w:rFonts w:ascii="Arial" w:cs="Arial" w:eastAsia="Arial" w:hAnsi="Arial"/>
          <w:sz w:val="16"/>
          <w:szCs w:val="16"/>
          <w:color w:val="auto"/>
        </w:rPr>
      </w:pPr>
      <w:r>
        <w:rPr>
          <w:rFonts w:ascii="Arial" w:cs="Arial" w:eastAsia="Arial" w:hAnsi="Arial"/>
          <w:sz w:val="16"/>
          <w:szCs w:val="16"/>
          <w:color w:val="auto"/>
        </w:rPr>
        <w:t>the Trustee may conclusively rely, as to the truth of the statements and the correctness of the opinions expressed therein, in the absence of bad faith on the part of the Trustee, upon certificates or opinions furnished to the Trustee pursuant to the express provisions of this Indenture; but in the case of any such certificates or opinions which, by the provisions of this Indenture,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statements, opinions or conclusions stated therein);</w:t>
      </w:r>
    </w:p>
    <w:p>
      <w:pPr>
        <w:spacing w:after="0" w:line="176" w:lineRule="exact"/>
        <w:rPr>
          <w:rFonts w:ascii="Arial" w:cs="Arial" w:eastAsia="Arial" w:hAnsi="Arial"/>
          <w:sz w:val="16"/>
          <w:szCs w:val="16"/>
          <w:color w:val="auto"/>
        </w:rPr>
      </w:pPr>
    </w:p>
    <w:p>
      <w:pPr>
        <w:ind w:firstLine="1791"/>
        <w:spacing w:after="0" w:line="293" w:lineRule="auto"/>
        <w:tabs>
          <w:tab w:leader="none" w:pos="2143"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Trustee shall not be liable to any Holder of Securities or to any other Person for any error of judgment made in good faith by a Responsible Officer or Officers of the Trustee, unless it shall be proved that the Trustee was negligent in ascertaining the pertinent facts; and</w:t>
      </w:r>
    </w:p>
    <w:p>
      <w:pPr>
        <w:spacing w:after="0" w:line="158" w:lineRule="exact"/>
        <w:rPr>
          <w:rFonts w:ascii="Arial" w:cs="Arial" w:eastAsia="Arial" w:hAnsi="Arial"/>
          <w:sz w:val="16"/>
          <w:szCs w:val="16"/>
          <w:color w:val="auto"/>
        </w:rPr>
      </w:pPr>
    </w:p>
    <w:p>
      <w:pPr>
        <w:ind w:right="160" w:firstLine="1791"/>
        <w:spacing w:after="0" w:line="278" w:lineRule="auto"/>
        <w:tabs>
          <w:tab w:leader="none" w:pos="2188"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Trustee shall not be liable to any Holder of Securities or to any other Person with respect to any action taken or omitted to be taken by it in good faith, in accordance with the direction of Securityholders given as provided in Section 7.06, relating to the time, method and place of conducting any proceeding for any remedy available to the Trustee or exercising any trust or power conferred upon the Trustee by this Indenture.</w:t>
      </w:r>
    </w:p>
    <w:p>
      <w:pPr>
        <w:spacing w:after="0" w:line="170" w:lineRule="exact"/>
        <w:rPr>
          <w:rFonts w:ascii="Arial" w:cs="Arial" w:eastAsia="Arial" w:hAnsi="Arial"/>
          <w:sz w:val="16"/>
          <w:szCs w:val="16"/>
          <w:color w:val="auto"/>
        </w:rPr>
      </w:pPr>
    </w:p>
    <w:p>
      <w:pPr>
        <w:jc w:val="both"/>
        <w:ind w:right="260" w:firstLine="1305"/>
        <w:spacing w:after="0" w:line="278" w:lineRule="auto"/>
        <w:tabs>
          <w:tab w:leader="none" w:pos="1679"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None of the provisions of this Indenture shall require the Trustee to expend or risk its own funds or otherwise to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0" w:lineRule="exact"/>
        <w:rPr>
          <w:rFonts w:ascii="Arial" w:cs="Arial" w:eastAsia="Arial" w:hAnsi="Arial"/>
          <w:sz w:val="16"/>
          <w:szCs w:val="16"/>
          <w:color w:val="auto"/>
        </w:rPr>
      </w:pPr>
    </w:p>
    <w:p>
      <w:pPr>
        <w:ind w:right="540" w:firstLine="1305"/>
        <w:spacing w:after="0" w:line="293" w:lineRule="auto"/>
        <w:tabs>
          <w:tab w:leader="none" w:pos="1688" w:val="left"/>
        </w:tabs>
        <w:numPr>
          <w:ilvl w:val="0"/>
          <w:numId w:val="78"/>
        </w:numPr>
        <w:rPr>
          <w:rFonts w:ascii="Arial" w:cs="Arial" w:eastAsia="Arial" w:hAnsi="Arial"/>
          <w:sz w:val="16"/>
          <w:szCs w:val="16"/>
          <w:color w:val="auto"/>
        </w:rPr>
      </w:pPr>
      <w:r>
        <w:rPr>
          <w:rFonts w:ascii="Arial" w:cs="Arial" w:eastAsia="Arial" w:hAnsi="Arial"/>
          <w:sz w:val="16"/>
          <w:szCs w:val="16"/>
          <w:color w:val="auto"/>
        </w:rPr>
        <w:t>Whether or not therein expressly so provided, every provision of this Indenture relating to the conduct or affecting the liability of or affording protection to the Trustee shall be subject to the provisions of this Section 11.02.</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60" w:name="page61"/>
    <w:bookmarkEnd w:id="60"/>
    <w:p>
      <w:pPr>
        <w:spacing w:after="0"/>
        <w:tabs>
          <w:tab w:leader="none" w:pos="1120" w:val="left"/>
        </w:tabs>
        <w:rPr>
          <w:sz w:val="20"/>
          <w:szCs w:val="20"/>
          <w:color w:val="auto"/>
        </w:rPr>
      </w:pPr>
      <w:r>
        <w:rPr>
          <w:rFonts w:ascii="Arial" w:cs="Arial" w:eastAsia="Arial" w:hAnsi="Arial"/>
          <w:sz w:val="16"/>
          <w:szCs w:val="16"/>
          <w:color w:val="auto"/>
        </w:rPr>
        <w:t>Section 11.03</w:t>
      </w:r>
      <w:r>
        <w:rPr>
          <w:sz w:val="20"/>
          <w:szCs w:val="20"/>
          <w:color w:val="auto"/>
        </w:rPr>
        <w:tab/>
      </w:r>
      <w:r>
        <w:rPr>
          <w:rFonts w:ascii="Arial" w:cs="Arial" w:eastAsia="Arial" w:hAnsi="Arial"/>
          <w:sz w:val="15"/>
          <w:szCs w:val="15"/>
          <w:u w:val="single" w:color="auto"/>
          <w:color w:val="auto"/>
        </w:rPr>
        <w:t>Notice of Defaults</w:t>
      </w:r>
      <w:r>
        <w:rPr>
          <w:rFonts w:ascii="Arial" w:cs="Arial" w:eastAsia="Arial" w:hAnsi="Arial"/>
          <w:sz w:val="15"/>
          <w:szCs w:val="15"/>
          <w:color w:val="auto"/>
        </w:rPr>
        <w:t>.</w:t>
      </w:r>
    </w:p>
    <w:p>
      <w:pPr>
        <w:spacing w:after="0" w:line="221" w:lineRule="exact"/>
        <w:rPr>
          <w:sz w:val="20"/>
          <w:szCs w:val="20"/>
          <w:color w:val="auto"/>
        </w:rPr>
      </w:pPr>
    </w:p>
    <w:p>
      <w:pPr>
        <w:ind w:firstLine="486"/>
        <w:spacing w:after="0" w:line="289" w:lineRule="auto"/>
        <w:rPr>
          <w:sz w:val="20"/>
          <w:szCs w:val="20"/>
          <w:color w:val="auto"/>
        </w:rPr>
      </w:pPr>
      <w:r>
        <w:rPr>
          <w:rFonts w:ascii="Arial" w:cs="Arial" w:eastAsia="Arial" w:hAnsi="Arial"/>
          <w:sz w:val="15"/>
          <w:szCs w:val="15"/>
          <w:color w:val="auto"/>
        </w:rPr>
        <w:t>Within 90 days after the occurrence thereof, and if known to the Trustee, the Trustee shall give to the Holders of the Securities of a series notice of each Default or Event of Default with respect to the Securities of such series known to the Trustee, by transmitting such notice to Holders at their addresses as the same shall then appear on the Register of the Company, unless such Default shall have been cured or waived before the giving of such notice (the term “Default” being hereby defined to be the events specified in Section 7.01, which are, or after notice or lapse of time or both would become, Events of Default as defined in said Section). Except in the case of a Default or Event of Default in payment of the principal of, premium, if any, or interest on any of the Securities of such series when and as the same shall become payable, or to make any sinking fund payment as to Securities of the same series, the Trustee shall be protected in withholding such notice, if and so long as a Responsible Officer or Responsible Officers of the Trustee in good faith determines that the withholding of such notice is in the interests of the Holders of the Securities of such series.</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11.04</w:t>
      </w:r>
      <w:r>
        <w:rPr>
          <w:sz w:val="20"/>
          <w:szCs w:val="20"/>
          <w:color w:val="auto"/>
        </w:rPr>
        <w:tab/>
      </w:r>
      <w:r>
        <w:rPr>
          <w:rFonts w:ascii="Arial" w:cs="Arial" w:eastAsia="Arial" w:hAnsi="Arial"/>
          <w:sz w:val="15"/>
          <w:szCs w:val="15"/>
          <w:u w:val="single" w:color="auto"/>
          <w:color w:val="auto"/>
        </w:rPr>
        <w:t>Eligibility; Disqualification</w:t>
      </w:r>
      <w:r>
        <w:rPr>
          <w:rFonts w:ascii="Arial" w:cs="Arial" w:eastAsia="Arial" w:hAnsi="Arial"/>
          <w:sz w:val="15"/>
          <w:szCs w:val="15"/>
          <w:color w:val="auto"/>
        </w:rPr>
        <w:t>.</w:t>
      </w:r>
    </w:p>
    <w:p>
      <w:pPr>
        <w:spacing w:after="0" w:line="221" w:lineRule="exact"/>
        <w:rPr>
          <w:sz w:val="20"/>
          <w:szCs w:val="20"/>
          <w:color w:val="auto"/>
        </w:rPr>
      </w:pPr>
    </w:p>
    <w:p>
      <w:pPr>
        <w:ind w:right="80" w:firstLine="1305"/>
        <w:spacing w:after="0" w:line="273" w:lineRule="auto"/>
        <w:tabs>
          <w:tab w:leader="none" w:pos="1679"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Trustee shall at all times satisfy the requirements of TIA Section 310(a). The Trustee, together with its parent company, shall have a combined capital and surplus of at least $50 million as set forth in its most recent published annual report of condition, and shall have a Corporate Trust Office. If at any time the Trustee shall cease to be eligible in accordance with the provisions of this Section 11.04, it shall resign immediately in the manner and with the effect hereinafter specified in this Article.</w:t>
      </w:r>
    </w:p>
    <w:p>
      <w:pPr>
        <w:spacing w:after="0" w:line="175" w:lineRule="exact"/>
        <w:rPr>
          <w:rFonts w:ascii="Arial" w:cs="Arial" w:eastAsia="Arial" w:hAnsi="Arial"/>
          <w:sz w:val="16"/>
          <w:szCs w:val="16"/>
          <w:color w:val="auto"/>
        </w:rPr>
      </w:pPr>
    </w:p>
    <w:p>
      <w:pPr>
        <w:ind w:right="80" w:firstLine="1305"/>
        <w:spacing w:after="0" w:line="269" w:lineRule="auto"/>
        <w:tabs>
          <w:tab w:leader="none" w:pos="1688"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Trustee shall comply with TIA Section 310(b); provided, however, that there shall be excluded from the operation of TIA Section 310(b)(i) any indenture or indentures under which other securities or certificates of interest or participation in other securities of the Company are outstanding if the requirements for such exclusion set forth in TIA Section 310(b)(i) are met. If the Trustee has or shall acquire a conflicting interest within the meaning of Section 310(b) of the Trust Indenture Act, the Trustee shall either eliminate such interest or resign, to the extent and in the manner provided by, and subject to the provisions of, the Trust Indenture Act and this Indenture. If Section 310(b) of the Trust Indenture Act is amended any time after the date of this Indenture to change the circumstances under which a Trustee shall be deemed to have a conflicting interest with respect to the Securities of any series or to change any of the definitions in connection therewith, this Section 11.04 shall be automatically amended to incorporate such changes.</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11.05</w:t>
      </w:r>
      <w:r>
        <w:rPr>
          <w:sz w:val="20"/>
          <w:szCs w:val="20"/>
          <w:color w:val="auto"/>
        </w:rPr>
        <w:tab/>
      </w:r>
      <w:r>
        <w:rPr>
          <w:rFonts w:ascii="Arial" w:cs="Arial" w:eastAsia="Arial" w:hAnsi="Arial"/>
          <w:sz w:val="14"/>
          <w:szCs w:val="14"/>
          <w:u w:val="single" w:color="auto"/>
          <w:color w:val="auto"/>
        </w:rPr>
        <w:t>Registration and Notice; Removal</w:t>
      </w:r>
      <w:r>
        <w:rPr>
          <w:rFonts w:ascii="Arial" w:cs="Arial" w:eastAsia="Arial" w:hAnsi="Arial"/>
          <w:sz w:val="14"/>
          <w:szCs w:val="14"/>
          <w:color w:val="auto"/>
        </w:rPr>
        <w:t>.</w:t>
      </w:r>
    </w:p>
    <w:p>
      <w:pPr>
        <w:spacing w:after="0" w:line="221" w:lineRule="exact"/>
        <w:rPr>
          <w:sz w:val="20"/>
          <w:szCs w:val="20"/>
          <w:color w:val="auto"/>
        </w:rPr>
      </w:pPr>
    </w:p>
    <w:p>
      <w:pPr>
        <w:ind w:right="200" w:firstLine="486"/>
        <w:spacing w:after="0" w:line="271" w:lineRule="auto"/>
        <w:rPr>
          <w:sz w:val="20"/>
          <w:szCs w:val="20"/>
          <w:color w:val="auto"/>
        </w:rPr>
      </w:pPr>
      <w:r>
        <w:rPr>
          <w:rFonts w:ascii="Arial" w:cs="Arial" w:eastAsia="Arial" w:hAnsi="Arial"/>
          <w:sz w:val="16"/>
          <w:szCs w:val="16"/>
          <w:color w:val="auto"/>
        </w:rPr>
        <w:t>The Trustee, or any successor to it hereafter appointed, may at any time resign and be discharged of the trusts hereby created with respect to any one or more or all series of Securities by giving to the Company notice in writing. Such resignation shall take effect upon the appointment of a successor Trustee and the acceptance of such appointment by such successor Trustee. Any Trustee hereunder may be removed with respect to any series of Securities at any time by the filing with such Trustee and the delivery to the Company of an instrument or instruments in writing signed by the Holders of a majority in principal amount of the Securities of such series then Outstanding, specifying such removal and the date when it shall become effective.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at any time:</w:t>
      </w:r>
    </w:p>
    <w:p>
      <w:pPr>
        <w:spacing w:after="0" w:line="221" w:lineRule="exact"/>
        <w:rPr>
          <w:sz w:val="20"/>
          <w:szCs w:val="20"/>
          <w:color w:val="auto"/>
        </w:rPr>
      </w:pPr>
    </w:p>
    <w:p>
      <w:pPr>
        <w:ind w:left="1300" w:right="20" w:hanging="644"/>
        <w:spacing w:after="0" w:line="329" w:lineRule="auto"/>
        <w:tabs>
          <w:tab w:leader="none" w:pos="13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Trustee shall fail to comply with the provisions of TIA Section 310(b) after written request therefor by the Company or by any Holder who has been a bona fide Holder of a Security for at least six months (or, if it is a shorter period, the period since the initial issuance of the Securities of such series), or</w:t>
      </w:r>
    </w:p>
    <w:p>
      <w:pPr>
        <w:spacing w:after="0" w:line="134" w:lineRule="exact"/>
        <w:rPr>
          <w:rFonts w:ascii="Arial" w:cs="Arial" w:eastAsia="Arial" w:hAnsi="Arial"/>
          <w:sz w:val="15"/>
          <w:szCs w:val="15"/>
          <w:color w:val="auto"/>
        </w:rPr>
      </w:pPr>
    </w:p>
    <w:p>
      <w:pPr>
        <w:jc w:val="both"/>
        <w:ind w:left="1300" w:hanging="644"/>
        <w:spacing w:after="0" w:line="278"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Trustee shall cease to be eligible under Section 11.04 and shall fail to resign after written request therefor by the Company or by any Holder who has been a bona fide Holder of a Security for at least six months (or, if it is a shorter period, the period since the initial issuance of the Securities of such series), or</w:t>
      </w:r>
    </w:p>
    <w:p>
      <w:pPr>
        <w:spacing w:after="0" w:line="170" w:lineRule="exact"/>
        <w:rPr>
          <w:rFonts w:ascii="Arial" w:cs="Arial" w:eastAsia="Arial" w:hAnsi="Arial"/>
          <w:sz w:val="16"/>
          <w:szCs w:val="16"/>
          <w:color w:val="auto"/>
        </w:rPr>
      </w:pPr>
    </w:p>
    <w:p>
      <w:pPr>
        <w:ind w:left="1300" w:hanging="644"/>
        <w:spacing w:after="0" w:line="369" w:lineRule="auto"/>
        <w:tabs>
          <w:tab w:leader="none" w:pos="13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61" w:name="page62"/>
    <w:bookmarkEnd w:id="61"/>
    <w:p>
      <w:pPr>
        <w:jc w:val="both"/>
        <w:spacing w:after="0" w:line="273" w:lineRule="auto"/>
        <w:rPr>
          <w:sz w:val="20"/>
          <w:szCs w:val="20"/>
          <w:color w:val="auto"/>
        </w:rPr>
      </w:pPr>
      <w:r>
        <w:rPr>
          <w:rFonts w:ascii="Arial" w:cs="Arial" w:eastAsia="Arial" w:hAnsi="Arial"/>
          <w:sz w:val="16"/>
          <w:szCs w:val="16"/>
          <w:color w:val="auto"/>
        </w:rPr>
        <w:t>then, in any such case, (i) the Company by written notice to the Trustee may remove the Trustee and appoint a successor Trustee with respect to all Securities, or (ii) subject to TIA Section 315(e), any Securityholder who has been a bona fide Holder of a Security for at least six months (or, if it is a shorter period, the period since the initial issuance of the Securities of such series) may, on behalf of himself and all others similarly situated, petition any court of competent jurisdiction for the removal of the Trustee with respect to all Securities and the appointment of a successor Trustee or Trustees.</w:t>
      </w:r>
    </w:p>
    <w:p>
      <w:pPr>
        <w:spacing w:after="0" w:line="176" w:lineRule="exact"/>
        <w:rPr>
          <w:sz w:val="20"/>
          <w:szCs w:val="20"/>
          <w:color w:val="auto"/>
        </w:rPr>
      </w:pPr>
    </w:p>
    <w:p>
      <w:pPr>
        <w:ind w:right="40" w:firstLine="486"/>
        <w:spacing w:after="0" w:line="278" w:lineRule="auto"/>
        <w:rPr>
          <w:sz w:val="20"/>
          <w:szCs w:val="20"/>
          <w:color w:val="auto"/>
        </w:rPr>
      </w:pPr>
      <w:r>
        <w:rPr>
          <w:rFonts w:ascii="Arial" w:cs="Arial" w:eastAsia="Arial" w:hAnsi="Arial"/>
          <w:sz w:val="16"/>
          <w:szCs w:val="16"/>
          <w:color w:val="auto"/>
        </w:rPr>
        <w:t>Upon its resignation or removal, any Trustee shall be entitled to the payment of reasonable compensation for the services rendered hereunder by such Trustee and to the payment of all reasonable expenses incurred hereunder and all moneys then due to it hereunder. The Trustee’s rights to indemnification provided in Section 11.01(a) shall survive its resignation or removal.</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11.06</w:t>
      </w:r>
      <w:r>
        <w:rPr>
          <w:sz w:val="20"/>
          <w:szCs w:val="20"/>
          <w:color w:val="auto"/>
        </w:rPr>
        <w:tab/>
      </w:r>
      <w:r>
        <w:rPr>
          <w:rFonts w:ascii="Arial" w:cs="Arial" w:eastAsia="Arial" w:hAnsi="Arial"/>
          <w:sz w:val="14"/>
          <w:szCs w:val="14"/>
          <w:u w:val="single" w:color="auto"/>
          <w:color w:val="auto"/>
        </w:rPr>
        <w:t>Successor Trustee by Appointment</w:t>
      </w:r>
      <w:r>
        <w:rPr>
          <w:rFonts w:ascii="Arial" w:cs="Arial" w:eastAsia="Arial" w:hAnsi="Arial"/>
          <w:sz w:val="14"/>
          <w:szCs w:val="14"/>
          <w:color w:val="auto"/>
        </w:rPr>
        <w:t>.</w:t>
      </w:r>
    </w:p>
    <w:p>
      <w:pPr>
        <w:spacing w:after="0" w:line="221" w:lineRule="exact"/>
        <w:rPr>
          <w:sz w:val="20"/>
          <w:szCs w:val="20"/>
          <w:color w:val="auto"/>
        </w:rPr>
      </w:pPr>
    </w:p>
    <w:p>
      <w:pPr>
        <w:ind w:right="20" w:firstLine="1305"/>
        <w:spacing w:after="0" w:line="306" w:lineRule="auto"/>
        <w:tabs>
          <w:tab w:leader="none" w:pos="1679"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 case at any time the Trustee shall resign, or shall be removed (unless the Trustee shall be removed as provided in Section 11.04(b), in which event the vacancy shall be filled as provided in said subdivision), or shall become incapable of acting, or shall be adjudged bankrupt or insolvent, or if a receiver of the Trustee or of its property shall be appointed, or if any public officer shall take charge or control of the Trustee or of its property or affairs for the purpose of rehabilitation, conservation or liquidation with respect to the Securities of one or more series, a successor Trustee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series) may be appointed by the Holders of a majority in principal amount of the Securities of that or those series then Outstanding, by an instrument or instruments in writing signed in duplicate by such Holders and filed, one original thereof with the Company and the other with the successor Trustee; but, until a successor Trustee shall have been so appointed by the Holders of Securities of that or those series as herein authorized, the Company, or, in case all or substantially all the assets of the Company shall be in the possession of one or more custodians or receivers lawfully appointed, or of trustees in bankruptcy or reorganization proceedings (including a trustee or trustees appointed under the provisions of the federal bankruptcy laws, as now or hereafter constituted), or of assignees for the benefit of creditors, such receivers, custodians, trustees or assignees, as the case may be, by an instrument in writing, shall appoint a successor Trustee with respect to the Securities of such series. Subject to the provisions of Sections 11.04 and 11.05, upon the appointment as aforesaid of a successor Trustee with respect to the Securities of any series, the Trustee with respect to the Securities of such series shall cease to be Trustee hereunder. After any such appointment other than by the Holders of Securities of that or those series, the Person making such appointment shall forthwith cause notice thereof to be mailed to the Holders of Securities of such series at their addresses as the same shall then appear on the Register of the Company but any successor Trustee with respect to the Securities of such series so appointed shall, immediately and without further act, be superseded by a successor Trustee appointed by the Holders of Securities of such series in the manner above prescribed, if such appointment be made prior to the expiration of one year from the date of the mailing of such notice by the Company, or by such receivers, trustees or assignees. Each notice shall include the name of the successor Trustee and the address of its Corporate Trust Office.</w:t>
      </w:r>
    </w:p>
    <w:p>
      <w:pPr>
        <w:spacing w:after="0" w:line="156" w:lineRule="exact"/>
        <w:rPr>
          <w:rFonts w:ascii="Arial" w:cs="Arial" w:eastAsia="Arial" w:hAnsi="Arial"/>
          <w:sz w:val="14"/>
          <w:szCs w:val="14"/>
          <w:color w:val="auto"/>
        </w:rPr>
      </w:pPr>
    </w:p>
    <w:p>
      <w:pPr>
        <w:ind w:firstLine="1305"/>
        <w:spacing w:after="0" w:line="269" w:lineRule="auto"/>
        <w:tabs>
          <w:tab w:leader="none" w:pos="1688"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any Trustee with respect to the Securities of one or more series shall resign or be removed and a successor Trustee shall not have been appointed by the Company or by the Holders of the Securities of such series or, if any successor Trustee so appointed shall not have accepted its appointment by way of notice to the Trustee, then within 30 days after providing such notice, the resigning Trustee at the expense of the Company may apply to any court of competent jurisdiction for the appointment of a successor Trustee. If in any other case a successor Trustee shall not be appointed pursuant to the foregoing provisions of this Section 11.06 within three months after such appointment might have been made hereunder, the Holder of any Security of the applicable series or any retiring Trustee at the expense of the Company may apply to any court of competent jurisdiction to appoint a successor Trustee. Such court may thereupon, in any such case, after such notice, if any, as such court may deem proper and prescribe, appoint a successor Trustee.</w:t>
      </w:r>
    </w:p>
    <w:p>
      <w:pPr>
        <w:spacing w:after="0" w:line="177" w:lineRule="exact"/>
        <w:rPr>
          <w:rFonts w:ascii="Arial" w:cs="Arial" w:eastAsia="Arial" w:hAnsi="Arial"/>
          <w:sz w:val="16"/>
          <w:szCs w:val="16"/>
          <w:color w:val="auto"/>
        </w:rPr>
      </w:pPr>
    </w:p>
    <w:p>
      <w:pPr>
        <w:ind w:right="20" w:firstLine="1305"/>
        <w:spacing w:after="0" w:line="308" w:lineRule="auto"/>
        <w:tabs>
          <w:tab w:leader="none" w:pos="1679" w:val="left"/>
        </w:tabs>
        <w:numPr>
          <w:ilvl w:val="0"/>
          <w:numId w:val="81"/>
        </w:numPr>
        <w:rPr>
          <w:rFonts w:ascii="Arial" w:cs="Arial" w:eastAsia="Arial" w:hAnsi="Arial"/>
          <w:sz w:val="14"/>
          <w:szCs w:val="14"/>
          <w:color w:val="auto"/>
        </w:rPr>
      </w:pPr>
      <w:r>
        <w:rPr>
          <w:rFonts w:ascii="Arial" w:cs="Arial" w:eastAsia="Arial" w:hAnsi="Arial"/>
          <w:sz w:val="14"/>
          <w:szCs w:val="14"/>
          <w:color w:val="auto"/>
        </w:rPr>
        <w:t>Any successor Trustee appointed hereunder with respect to the Securities of one or more series shall execute, acknowledge and deliver to its predecessor Trustee and to the Company, or to the receivers, trustees, assignees or court appointing it, as the case may be, an instrument accepting such appointment hereunder, and thereupon such successor Trustee, without any further act, deed or conveyance, shall become vested with all the authority, rights, powers, trusts, immunities, duties and obligations with respect to such series of such predecessor Trustee with like effect as if originally named as Trustee hereunder, and such predecessor Trustee, upon payment of its charges and disbursements then unpaid, shall thereupon become obligated to pay over, and such successor Trustee shall be entitled to receive, all moneys and properties held by such predecessor Trustee as Trustee hereunder, subject nevertheless to its lien provided for in Section 11.01(a). Nevertheless, on the written request of the Company or of the successor Trustee or of the Holders of at least 10% in principal amount of the Securities of such series then Outstanding, such predecessor Trustee, upon payment of its said charges and disbursements, shall execute and deliver an instrument transferring to such successor Trustee upon the trusts herein expressed all the rights, powers and trusts of such predecessor Trustee and shall assign, transfer and deliver to the successor Trustee all moneys and properties held by such predecessor Trustee, subject nevertheless to its lien provided for in Section 11.01(a); and, upon request of any such successor Trustee, the Company shall make, execute, acknowledge and deliver any and all instruments in writing for more fully and effectually vesting in and confirming to such successor Trustee all such authority, rights, powers, trusts, immunities, duties and obligations.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62" w:name="page63"/>
    <w:bookmarkEnd w:id="62"/>
    <w:p>
      <w:pPr>
        <w:spacing w:after="0"/>
        <w:tabs>
          <w:tab w:leader="none" w:pos="1120" w:val="left"/>
        </w:tabs>
        <w:rPr>
          <w:sz w:val="20"/>
          <w:szCs w:val="20"/>
          <w:color w:val="auto"/>
        </w:rPr>
      </w:pPr>
      <w:r>
        <w:rPr>
          <w:rFonts w:ascii="Arial" w:cs="Arial" w:eastAsia="Arial" w:hAnsi="Arial"/>
          <w:sz w:val="16"/>
          <w:szCs w:val="16"/>
          <w:color w:val="auto"/>
        </w:rPr>
        <w:t>Section 11.07</w:t>
      </w:r>
      <w:r>
        <w:rPr>
          <w:sz w:val="20"/>
          <w:szCs w:val="20"/>
          <w:color w:val="auto"/>
        </w:rPr>
        <w:tab/>
      </w:r>
      <w:r>
        <w:rPr>
          <w:rFonts w:ascii="Arial" w:cs="Arial" w:eastAsia="Arial" w:hAnsi="Arial"/>
          <w:sz w:val="14"/>
          <w:szCs w:val="14"/>
          <w:u w:val="single" w:color="auto"/>
          <w:color w:val="auto"/>
        </w:rPr>
        <w:t>Successor Trustee by Merger, Conversion, Consolidation or Succession to Business</w:t>
      </w:r>
      <w:r>
        <w:rPr>
          <w:rFonts w:ascii="Arial" w:cs="Arial" w:eastAsia="Arial" w:hAnsi="Arial"/>
          <w:sz w:val="14"/>
          <w:szCs w:val="14"/>
          <w:color w:val="auto"/>
        </w:rPr>
        <w:t>.</w:t>
      </w:r>
    </w:p>
    <w:p>
      <w:pPr>
        <w:spacing w:after="0" w:line="221" w:lineRule="exact"/>
        <w:rPr>
          <w:sz w:val="20"/>
          <w:szCs w:val="20"/>
          <w:color w:val="auto"/>
        </w:rPr>
      </w:pPr>
    </w:p>
    <w:p>
      <w:pPr>
        <w:ind w:right="80" w:firstLine="486"/>
        <w:spacing w:after="0" w:line="286" w:lineRule="auto"/>
        <w:rPr>
          <w:sz w:val="20"/>
          <w:szCs w:val="20"/>
          <w:color w:val="auto"/>
        </w:rPr>
      </w:pPr>
      <w:r>
        <w:rPr>
          <w:rFonts w:ascii="Arial" w:cs="Arial" w:eastAsia="Arial" w:hAnsi="Arial"/>
          <w:sz w:val="15"/>
          <w:szCs w:val="15"/>
          <w:color w:val="auto"/>
        </w:rPr>
        <w:t>Any Person into which the Trustee or any successor to it in the trusts created by this Indenture shall be merged or converted, or any Person with which it or any successor to it shall be consolidated, or any Person resulting from any merger, conversion or consolidation to which the Trustee or any such successor to it shall be a party, or any Person to which the Trustee or any successor to it shall sell or otherwise transfer all or substantially all of the corporate trust business of the Trustee, shall be the successor Trustee under this Indenture without the execution or filing of any paper or any further act on the part of any of the parties hereto; provided that such Person shall be otherwise qualified and eligible under this Article. In case at the time such successor to the Trustee shall succeed to the trusts created by this Indenture with respect to one or more series of Securities, any of such Securities shall have been authenticated but not delivered by the Trustee then in office, any successor to such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authenticate Securities in the name of any predecessor Trustee shall apply only to its successor or successors by merger, conversion or consolidation.</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11.08</w:t>
      </w:r>
      <w:r>
        <w:rPr>
          <w:sz w:val="20"/>
          <w:szCs w:val="20"/>
          <w:color w:val="auto"/>
        </w:rPr>
        <w:tab/>
      </w:r>
      <w:r>
        <w:rPr>
          <w:rFonts w:ascii="Arial" w:cs="Arial" w:eastAsia="Arial" w:hAnsi="Arial"/>
          <w:sz w:val="15"/>
          <w:szCs w:val="15"/>
          <w:u w:val="single" w:color="auto"/>
          <w:color w:val="auto"/>
        </w:rPr>
        <w:t>Right to Rely on Officer’s Certificate</w:t>
      </w:r>
      <w:r>
        <w:rPr>
          <w:rFonts w:ascii="Arial" w:cs="Arial" w:eastAsia="Arial" w:hAnsi="Arial"/>
          <w:sz w:val="15"/>
          <w:szCs w:val="15"/>
          <w:color w:val="auto"/>
        </w:rPr>
        <w:t>.</w:t>
      </w:r>
    </w:p>
    <w:p>
      <w:pPr>
        <w:spacing w:after="0" w:line="221" w:lineRule="exact"/>
        <w:rPr>
          <w:sz w:val="20"/>
          <w:szCs w:val="20"/>
          <w:color w:val="auto"/>
        </w:rPr>
      </w:pPr>
    </w:p>
    <w:p>
      <w:pPr>
        <w:ind w:firstLine="486"/>
        <w:spacing w:after="0" w:line="270" w:lineRule="auto"/>
        <w:rPr>
          <w:sz w:val="20"/>
          <w:szCs w:val="20"/>
          <w:color w:val="auto"/>
        </w:rPr>
      </w:pPr>
      <w:r>
        <w:rPr>
          <w:rFonts w:ascii="Arial" w:cs="Arial" w:eastAsia="Arial" w:hAnsi="Arial"/>
          <w:sz w:val="16"/>
          <w:szCs w:val="16"/>
          <w:color w:val="auto"/>
        </w:rPr>
        <w:t>Subject to Section 11.02, and subject to the provisions of Section 16.01 with respect to the certificates required thereby, whenever in the administration of the provisions of this Indenture the Trustee shall deem it necessary or desirable that a matter be proved or established prior to taking or suffering any action hereunder, such matter (unless other evidence in respect thereof be herein specifically prescribed) may, in the absence of gross negligence, bad faith or willful misconduct on the part of the Trustee, be deemed to be conclusively proved and established by an Officer’s Certificate with respect thereto delivered to the Trustee, and such Officer’s Certificate, in the absence of negligence, bad faith or willful misconduct on the part of the Trustee, shall be full warrant to the Trustee for any action taken, suffered or omitted by it under the provisions of this Indenture upon the faith thereof.</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11.09</w:t>
      </w:r>
      <w:r>
        <w:rPr>
          <w:sz w:val="20"/>
          <w:szCs w:val="20"/>
          <w:color w:val="auto"/>
        </w:rPr>
        <w:tab/>
      </w:r>
      <w:r>
        <w:rPr>
          <w:rFonts w:ascii="Arial" w:cs="Arial" w:eastAsia="Arial" w:hAnsi="Arial"/>
          <w:sz w:val="15"/>
          <w:szCs w:val="15"/>
          <w:u w:val="single" w:color="auto"/>
          <w:color w:val="auto"/>
        </w:rPr>
        <w:t>Appointment of Authenticating Agent</w:t>
      </w:r>
      <w:r>
        <w:rPr>
          <w:rFonts w:ascii="Arial" w:cs="Arial" w:eastAsia="Arial" w:hAnsi="Arial"/>
          <w:sz w:val="15"/>
          <w:szCs w:val="15"/>
          <w:color w:val="auto"/>
        </w:rPr>
        <w:t>.</w:t>
      </w:r>
    </w:p>
    <w:p>
      <w:pPr>
        <w:spacing w:after="0" w:line="221" w:lineRule="exact"/>
        <w:rPr>
          <w:sz w:val="20"/>
          <w:szCs w:val="20"/>
          <w:color w:val="auto"/>
        </w:rPr>
      </w:pPr>
    </w:p>
    <w:p>
      <w:pPr>
        <w:ind w:firstLine="486"/>
        <w:spacing w:after="0" w:line="315" w:lineRule="auto"/>
        <w:rPr>
          <w:sz w:val="20"/>
          <w:szCs w:val="20"/>
          <w:color w:val="auto"/>
        </w:rPr>
      </w:pPr>
      <w:r>
        <w:rPr>
          <w:rFonts w:ascii="Arial" w:cs="Arial" w:eastAsia="Arial" w:hAnsi="Arial"/>
          <w:sz w:val="14"/>
          <w:szCs w:val="14"/>
          <w:color w:val="auto"/>
        </w:rPr>
        <w:t>The Trustee may appoint an agent (the “Authenticating Agent”) reasonably acceptable to the Company to authenticate the Securities of the series issued upon exchange, registration of transfer or partial redemption thereof, and the Securities so authenticated shall be entitled to the benefits of this Indenture and shall be valid and obligatory for all purposes as if authenticated by the Trustee hereunder. The Trustee shall give written notice of such appointment to all Holders of Securities of the series with respect to which such Authenticating Agent will serve. Unless limited by the terms of such appointment, any such Authenticating Agent may authenticate Securities whenever the Trustee may do so. Each reference in this Indenture to authentication and delivery by the Trustee includes authentication and delivery by the Authenticating Agent. Securities so authenticated shall be entitled to the benefits of this Indenture and shall be valid and obligatory for all purposes as if authenticated by the Trustee hereunder.</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Each Authenticating Agent shall at all times be a bank or trust company or corporation organized and doing business and in good standing under the laws of the United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States, any State thereof or the District of Columbia, authorized under such laws to act as Authenticating Agent, having a combined capital and surplus of not less than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$50,000,000 and subject to supervision or examination by Federal or State authority. If such Authenticating Agent publishes reports of condition at least annually, pursuant to</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law or to the requirements of said supervising or examining authority, then for the purposes of this Article XI, the combined capital and surplus of such Authenticating Agent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shall be deemed to be its combined capital and surplus as set forth in its most recent report of condition so published. If at any time an Authenticating Agent shall cease to be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eligible in accordance with the provisions of this Article XI, it shall resign immediately in the manner and with the effect specified in this Article XI.</w:t>
      </w:r>
    </w:p>
    <w:p>
      <w:pPr>
        <w:spacing w:after="0" w:line="217" w:lineRule="exact"/>
        <w:rPr>
          <w:sz w:val="20"/>
          <w:szCs w:val="20"/>
          <w:color w:val="auto"/>
        </w:rPr>
      </w:pPr>
    </w:p>
    <w:p>
      <w:pPr>
        <w:ind w:right="80" w:firstLine="486"/>
        <w:spacing w:after="0" w:line="273"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Article XI, without the execution or filing of any paper or any further act on the part of the Trustee or the Authenticating Agent.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63" w:name="page64"/>
    <w:bookmarkEnd w:id="63"/>
    <w:p>
      <w:pPr>
        <w:ind w:firstLine="486"/>
        <w:spacing w:after="0" w:line="269"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11.09, the Trustee may appoint a successor Authenticating Agent which shall be acceptable to the Company and shall give written notice of such appointment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11.09.</w:t>
      </w:r>
    </w:p>
    <w:p>
      <w:pPr>
        <w:spacing w:after="0" w:line="177" w:lineRule="exact"/>
        <w:rPr>
          <w:sz w:val="20"/>
          <w:szCs w:val="20"/>
          <w:color w:val="auto"/>
        </w:rPr>
      </w:pPr>
    </w:p>
    <w:p>
      <w:pPr>
        <w:ind w:right="260" w:firstLine="486"/>
        <w:spacing w:after="0" w:line="293" w:lineRule="auto"/>
        <w:rPr>
          <w:sz w:val="20"/>
          <w:szCs w:val="20"/>
          <w:color w:val="auto"/>
        </w:rPr>
      </w:pPr>
      <w:r>
        <w:rPr>
          <w:rFonts w:ascii="Arial" w:cs="Arial" w:eastAsia="Arial" w:hAnsi="Arial"/>
          <w:sz w:val="16"/>
          <w:szCs w:val="16"/>
          <w:color w:val="auto"/>
        </w:rPr>
        <w:t>The Trustee agrees to pay to each Authenticating Agent from time to time reasonable compensation for its services under this Section 11.09, and the Trustee shall be entitled to be reimbursed for such payments, subject to the provisions of Section 11.01.</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11.10</w:t>
      </w:r>
      <w:r>
        <w:rPr>
          <w:sz w:val="20"/>
          <w:szCs w:val="20"/>
          <w:color w:val="auto"/>
        </w:rPr>
        <w:tab/>
      </w:r>
      <w:r>
        <w:rPr>
          <w:rFonts w:ascii="Arial" w:cs="Arial" w:eastAsia="Arial" w:hAnsi="Arial"/>
          <w:sz w:val="14"/>
          <w:szCs w:val="14"/>
          <w:u w:val="single" w:color="auto"/>
          <w:color w:val="auto"/>
        </w:rPr>
        <w:t>Communications by Securityholders with Other Securityholders</w:t>
      </w:r>
      <w:r>
        <w:rPr>
          <w:rFonts w:ascii="Arial" w:cs="Arial" w:eastAsia="Arial" w:hAnsi="Arial"/>
          <w:sz w:val="14"/>
          <w:szCs w:val="14"/>
          <w:color w:val="auto"/>
        </w:rPr>
        <w:t>.</w:t>
      </w:r>
    </w:p>
    <w:p>
      <w:pPr>
        <w:spacing w:after="0" w:line="221" w:lineRule="exact"/>
        <w:rPr>
          <w:sz w:val="20"/>
          <w:szCs w:val="20"/>
          <w:color w:val="auto"/>
        </w:rPr>
      </w:pPr>
    </w:p>
    <w:p>
      <w:pPr>
        <w:ind w:right="80" w:firstLine="486"/>
        <w:spacing w:after="0" w:line="278" w:lineRule="auto"/>
        <w:rPr>
          <w:sz w:val="20"/>
          <w:szCs w:val="20"/>
          <w:color w:val="auto"/>
        </w:rPr>
      </w:pPr>
      <w:r>
        <w:rPr>
          <w:rFonts w:ascii="Arial" w:cs="Arial" w:eastAsia="Arial" w:hAnsi="Arial"/>
          <w:sz w:val="16"/>
          <w:szCs w:val="16"/>
          <w:color w:val="auto"/>
        </w:rPr>
        <w:t>Holders of Securities may communicate pursuant to Section 312(b) of the Trust Indenture Act with other Holders with respect to their rights under this Indenture or the Securities. The Company, the Trustee, the Registrar and anyone else shall have the protection of Section 312(c) of the Trust Indenture Act with respect to such communications.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XII</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SATISFACTION AND DISCHARGE; DEFEASANCE</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12.01</w:t>
      </w:r>
      <w:r>
        <w:rPr>
          <w:sz w:val="20"/>
          <w:szCs w:val="20"/>
          <w:color w:val="auto"/>
        </w:rPr>
        <w:tab/>
      </w:r>
      <w:r>
        <w:rPr>
          <w:rFonts w:ascii="Arial" w:cs="Arial" w:eastAsia="Arial" w:hAnsi="Arial"/>
          <w:sz w:val="16"/>
          <w:szCs w:val="16"/>
          <w:u w:val="single" w:color="auto"/>
          <w:color w:val="auto"/>
        </w:rPr>
        <w:t>Applicability of Article</w:t>
      </w:r>
      <w:r>
        <w:rPr>
          <w:rFonts w:ascii="Arial" w:cs="Arial" w:eastAsia="Arial" w:hAnsi="Arial"/>
          <w:sz w:val="16"/>
          <w:szCs w:val="16"/>
          <w:color w:val="auto"/>
        </w:rPr>
        <w:t>.</w:t>
      </w:r>
    </w:p>
    <w:p>
      <w:pPr>
        <w:spacing w:after="0" w:line="221" w:lineRule="exact"/>
        <w:rPr>
          <w:sz w:val="20"/>
          <w:szCs w:val="20"/>
          <w:color w:val="auto"/>
        </w:rPr>
      </w:pPr>
    </w:p>
    <w:p>
      <w:pPr>
        <w:ind w:right="140" w:firstLine="486"/>
        <w:spacing w:after="0" w:line="305" w:lineRule="auto"/>
        <w:rPr>
          <w:sz w:val="20"/>
          <w:szCs w:val="20"/>
          <w:color w:val="auto"/>
        </w:rPr>
      </w:pPr>
      <w:r>
        <w:rPr>
          <w:rFonts w:ascii="Arial" w:cs="Arial" w:eastAsia="Arial" w:hAnsi="Arial"/>
          <w:sz w:val="15"/>
          <w:szCs w:val="15"/>
          <w:color w:val="auto"/>
        </w:rPr>
        <w:t>If, pursuant to Section 3.01, provision is made for the defeasance of Securities of a series and if the Securities of such series are denominated and payable only in U.S. Dollars (except as provided pursuant to Section 3.01), then the provisions of this Article shall be applicable except as otherwise specified pursuant to Section 3.01 for Securities of such series. Defeasance provisions, if any, for Securities denominated in a Foreign Currency may be specified pursuant to Section 3.01.</w:t>
      </w:r>
    </w:p>
    <w:p>
      <w:pPr>
        <w:spacing w:after="0" w:line="153"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12.02</w:t>
      </w:r>
      <w:r>
        <w:rPr>
          <w:sz w:val="20"/>
          <w:szCs w:val="20"/>
          <w:color w:val="auto"/>
        </w:rPr>
        <w:tab/>
      </w:r>
      <w:r>
        <w:rPr>
          <w:rFonts w:ascii="Arial" w:cs="Arial" w:eastAsia="Arial" w:hAnsi="Arial"/>
          <w:sz w:val="14"/>
          <w:szCs w:val="14"/>
          <w:u w:val="single" w:color="auto"/>
          <w:color w:val="auto"/>
        </w:rPr>
        <w:t>Satisfaction and Discharge of Indenture</w:t>
      </w:r>
      <w:r>
        <w:rPr>
          <w:rFonts w:ascii="Arial" w:cs="Arial" w:eastAsia="Arial" w:hAnsi="Arial"/>
          <w:sz w:val="14"/>
          <w:szCs w:val="14"/>
          <w:color w:val="auto"/>
        </w:rPr>
        <w:t>.</w:t>
      </w:r>
    </w:p>
    <w:p>
      <w:pPr>
        <w:spacing w:after="0" w:line="22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6"/>
          <w:szCs w:val="16"/>
          <w:color w:val="auto"/>
        </w:rPr>
        <w:t>This Indenture, with respect to the Securities of any series (if all series issued under this Indenture are not to be affected), shall, upon Company Order, cease to be of further effect (except as to any surviving rights of registration of transfer or exchange of such Securities herein expressly provided for and rights to receive payments of principal of and premium, if any, and interest on such Securities) and the Trustee, at the expense of the Company, shall execute proper instruments acknowledging satisfaction and discharge of this Indenture, when,</w:t>
      </w:r>
    </w:p>
    <w:p>
      <w:pPr>
        <w:spacing w:after="0" w:line="176" w:lineRule="exact"/>
        <w:rPr>
          <w:sz w:val="20"/>
          <w:szCs w:val="20"/>
          <w:color w:val="auto"/>
        </w:rPr>
      </w:pPr>
    </w:p>
    <w:p>
      <w:pPr>
        <w:ind w:left="1680" w:hanging="375"/>
        <w:spacing w:after="0"/>
        <w:tabs>
          <w:tab w:leader="none" w:pos="16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either:</w:t>
      </w:r>
    </w:p>
    <w:p>
      <w:pPr>
        <w:spacing w:after="0" w:line="221" w:lineRule="exact"/>
        <w:rPr>
          <w:rFonts w:ascii="Arial" w:cs="Arial" w:eastAsia="Arial" w:hAnsi="Arial"/>
          <w:sz w:val="16"/>
          <w:szCs w:val="16"/>
          <w:color w:val="auto"/>
        </w:rPr>
      </w:pPr>
    </w:p>
    <w:p>
      <w:pPr>
        <w:jc w:val="both"/>
        <w:ind w:right="160" w:firstLine="1791"/>
        <w:spacing w:after="0" w:line="335" w:lineRule="auto"/>
        <w:tabs>
          <w:tab w:leader="none" w:pos="2098" w:val="left"/>
        </w:tabs>
        <w:numPr>
          <w:ilvl w:val="1"/>
          <w:numId w:val="82"/>
        </w:numPr>
        <w:rPr>
          <w:rFonts w:ascii="Arial" w:cs="Arial" w:eastAsia="Arial" w:hAnsi="Arial"/>
          <w:sz w:val="14"/>
          <w:szCs w:val="14"/>
          <w:color w:val="auto"/>
        </w:rPr>
      </w:pPr>
      <w:r>
        <w:rPr>
          <w:rFonts w:ascii="Arial" w:cs="Arial" w:eastAsia="Arial" w:hAnsi="Arial"/>
          <w:sz w:val="14"/>
          <w:szCs w:val="14"/>
          <w:color w:val="auto"/>
        </w:rPr>
        <w:t>all Securities of such series theretofore authenticated and delivered (other than (A) Securities that have been destroyed, lost or stolen and that have been replaced or paid as provided in Section 3.07 and (B) Securities for whose payment money has theretofore been deposited in trust or segregated and held in trust by the Company and thereafter repaid to the Company or discharged from such trust, as provided in Section 6.03) have been delivered to the Trustee for cancellation; or</w:t>
      </w:r>
    </w:p>
    <w:p>
      <w:pPr>
        <w:spacing w:after="0" w:line="176" w:lineRule="exact"/>
        <w:rPr>
          <w:rFonts w:ascii="Arial" w:cs="Arial" w:eastAsia="Arial" w:hAnsi="Arial"/>
          <w:sz w:val="14"/>
          <w:szCs w:val="14"/>
          <w:color w:val="auto"/>
        </w:rPr>
      </w:pPr>
    </w:p>
    <w:p>
      <w:pPr>
        <w:ind w:left="2160" w:hanging="369"/>
        <w:spacing w:after="0"/>
        <w:tabs>
          <w:tab w:leader="none" w:pos="21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Securities of such series not theretofore delivered to the Trustee for cancellation,</w:t>
      </w:r>
    </w:p>
    <w:p>
      <w:pPr>
        <w:spacing w:after="0" w:line="221" w:lineRule="exact"/>
        <w:rPr>
          <w:rFonts w:ascii="Arial" w:cs="Arial" w:eastAsia="Arial" w:hAnsi="Arial"/>
          <w:sz w:val="16"/>
          <w:szCs w:val="16"/>
          <w:color w:val="auto"/>
        </w:rPr>
      </w:pPr>
    </w:p>
    <w:p>
      <w:pPr>
        <w:ind w:left="3320" w:hanging="395"/>
        <w:spacing w:after="0"/>
        <w:tabs>
          <w:tab w:leader="none" w:pos="3320" w:val="left"/>
        </w:tabs>
        <w:numPr>
          <w:ilvl w:val="2"/>
          <w:numId w:val="82"/>
        </w:numPr>
        <w:rPr>
          <w:rFonts w:ascii="Arial" w:cs="Arial" w:eastAsia="Arial" w:hAnsi="Arial"/>
          <w:sz w:val="16"/>
          <w:szCs w:val="16"/>
          <w:color w:val="auto"/>
        </w:rPr>
      </w:pPr>
      <w:r>
        <w:rPr>
          <w:rFonts w:ascii="Arial" w:cs="Arial" w:eastAsia="Arial" w:hAnsi="Arial"/>
          <w:sz w:val="16"/>
          <w:szCs w:val="16"/>
          <w:color w:val="auto"/>
        </w:rPr>
        <w:t>have become due and payable, or</w:t>
      </w:r>
    </w:p>
    <w:p>
      <w:pPr>
        <w:spacing w:after="0" w:line="221" w:lineRule="exact"/>
        <w:rPr>
          <w:rFonts w:ascii="Arial" w:cs="Arial" w:eastAsia="Arial" w:hAnsi="Arial"/>
          <w:sz w:val="16"/>
          <w:szCs w:val="16"/>
          <w:color w:val="auto"/>
        </w:rPr>
      </w:pPr>
    </w:p>
    <w:p>
      <w:pPr>
        <w:ind w:left="3300" w:hanging="375"/>
        <w:spacing w:after="0"/>
        <w:tabs>
          <w:tab w:leader="none" w:pos="3300" w:val="left"/>
        </w:tabs>
        <w:numPr>
          <w:ilvl w:val="2"/>
          <w:numId w:val="82"/>
        </w:numPr>
        <w:rPr>
          <w:rFonts w:ascii="Arial" w:cs="Arial" w:eastAsia="Arial" w:hAnsi="Arial"/>
          <w:sz w:val="16"/>
          <w:szCs w:val="16"/>
          <w:color w:val="auto"/>
        </w:rPr>
      </w:pPr>
      <w:r>
        <w:rPr>
          <w:rFonts w:ascii="Arial" w:cs="Arial" w:eastAsia="Arial" w:hAnsi="Arial"/>
          <w:sz w:val="16"/>
          <w:szCs w:val="16"/>
          <w:color w:val="auto"/>
        </w:rPr>
        <w:t>will become due and payable at their Stated Maturity within one year, or</w:t>
      </w:r>
    </w:p>
    <w:p>
      <w:pPr>
        <w:spacing w:after="0" w:line="221" w:lineRule="exact"/>
        <w:rPr>
          <w:rFonts w:ascii="Arial" w:cs="Arial" w:eastAsia="Arial" w:hAnsi="Arial"/>
          <w:sz w:val="16"/>
          <w:szCs w:val="16"/>
          <w:color w:val="auto"/>
        </w:rPr>
      </w:pPr>
    </w:p>
    <w:p>
      <w:pPr>
        <w:ind w:right="60" w:firstLine="2925"/>
        <w:spacing w:after="0" w:line="288" w:lineRule="auto"/>
        <w:tabs>
          <w:tab w:leader="none" w:pos="3295" w:val="left"/>
        </w:tabs>
        <w:numPr>
          <w:ilvl w:val="2"/>
          <w:numId w:val="82"/>
        </w:numPr>
        <w:rPr>
          <w:rFonts w:ascii="Arial" w:cs="Arial" w:eastAsia="Arial" w:hAnsi="Arial"/>
          <w:sz w:val="15"/>
          <w:szCs w:val="15"/>
          <w:color w:val="auto"/>
        </w:rPr>
      </w:pPr>
      <w:r>
        <w:rPr>
          <w:rFonts w:ascii="Arial" w:cs="Arial" w:eastAsia="Arial" w:hAnsi="Arial"/>
          <w:sz w:val="15"/>
          <w:szCs w:val="15"/>
          <w:color w:val="auto"/>
        </w:rPr>
        <w:t>are to be called for redemption within one year under arrangements satisfactory to the Trustee for the giving of notice by the Trustee in the name, and at the expense, of the Company, and the Company, and in the case of (A), (B) or (C) above, has deposited or caused to be deposited with the Trustee or Paying Agent as trust funds in trust for the purpose an amount in the Currency in which such Securities are denominated (except as otherwise provided pursuant to Section 3.01) sufficient to pay and discharge the entire Indebtedness on such Securities for principal and premium, if any, and interest to the date of such deposit (in the case of Securities that have become due and payable) or to the Stated Maturity or Redemption Date, as the case may be; provided, however, in the event a petition for relief under federal bankruptcy laws, as now or hereafter constituted, or any other applicable federal or state bankruptcy, insolvency or other similar law, is filed with respect to the Company within 91 days after the deposit and the Trustee is required to return the moneys then on deposit with the Trustee to the Company, the obligations of the Company under this Indenture with respect to such Securities shall not be deemed terminated or discharged;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64" w:name="page65"/>
    <w:bookmarkEnd w:id="64"/>
    <w:p>
      <w:pPr>
        <w:ind w:left="1700" w:hanging="395"/>
        <w:spacing w:after="0"/>
        <w:tabs>
          <w:tab w:leader="none" w:pos="1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has paid or caused to be paid all other sums payable hereunder by the Company; and</w:t>
      </w:r>
    </w:p>
    <w:p>
      <w:pPr>
        <w:spacing w:after="0" w:line="221" w:lineRule="exact"/>
        <w:rPr>
          <w:rFonts w:ascii="Arial" w:cs="Arial" w:eastAsia="Arial" w:hAnsi="Arial"/>
          <w:sz w:val="16"/>
          <w:szCs w:val="16"/>
          <w:color w:val="auto"/>
        </w:rPr>
      </w:pPr>
    </w:p>
    <w:p>
      <w:pPr>
        <w:ind w:right="80" w:firstLine="1305"/>
        <w:spacing w:after="0" w:line="297" w:lineRule="auto"/>
        <w:tabs>
          <w:tab w:leader="none" w:pos="1679"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Company has delivered to the Trustee an Officer’s Certificate and an Opinion of Counsel each stating that all conditions precedent herein provided for relating to the satisfaction and discharge of this Indenture with respect to such series have been complied with. Notwithstanding the satisfaction and discharge of this Indenture, the obligations of the Company to the Trustee under Section 11.01 and, if money shall have been deposited with the Trustee pursuant to subclause (B) of clause (a)(i) of this Section, the obligations of the Trustee under Section 12.07 and the last paragraph of Section 6.03(e) shall survive.</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12.03</w:t>
      </w:r>
      <w:r>
        <w:rPr>
          <w:sz w:val="20"/>
          <w:szCs w:val="20"/>
          <w:color w:val="auto"/>
        </w:rPr>
        <w:tab/>
      </w:r>
      <w:r>
        <w:rPr>
          <w:rFonts w:ascii="Arial" w:cs="Arial" w:eastAsia="Arial" w:hAnsi="Arial"/>
          <w:sz w:val="14"/>
          <w:szCs w:val="14"/>
          <w:u w:val="single" w:color="auto"/>
          <w:color w:val="auto"/>
        </w:rPr>
        <w:t>Defeasance upon Deposit of Moneys or U.S. Government Obligations</w:t>
      </w:r>
      <w:r>
        <w:rPr>
          <w:rFonts w:ascii="Arial" w:cs="Arial" w:eastAsia="Arial" w:hAnsi="Arial"/>
          <w:sz w:val="14"/>
          <w:szCs w:val="14"/>
          <w:color w:val="auto"/>
        </w:rPr>
        <w:t>.</w:t>
      </w:r>
    </w:p>
    <w:p>
      <w:pPr>
        <w:spacing w:after="0" w:line="221" w:lineRule="exact"/>
        <w:rPr>
          <w:sz w:val="20"/>
          <w:szCs w:val="20"/>
          <w:color w:val="auto"/>
        </w:rPr>
      </w:pPr>
    </w:p>
    <w:p>
      <w:pPr>
        <w:ind w:right="40" w:firstLine="486"/>
        <w:spacing w:after="0" w:line="303" w:lineRule="auto"/>
        <w:rPr>
          <w:sz w:val="20"/>
          <w:szCs w:val="20"/>
          <w:color w:val="auto"/>
        </w:rPr>
      </w:pPr>
      <w:r>
        <w:rPr>
          <w:rFonts w:ascii="Arial" w:cs="Arial" w:eastAsia="Arial" w:hAnsi="Arial"/>
          <w:sz w:val="14"/>
          <w:szCs w:val="14"/>
          <w:color w:val="auto"/>
        </w:rPr>
        <w:t>At the Company’s option, either (a) the Company shall be deemed to have been Discharged (as defined below) from its obligations with respect to Securities of any series on the first day after the applicable conditions set forth below have been satisfied or (b) the Company shall cease to be under any obligation to comply with any term, provision or condition set forth in Section 6.04 and Section 10.02 with respect to Securities of any series (and, if so specified pursuant to Section 3.01, any other restrictive covenant added for the benefit of such series pursuant to Section 3.01) at any time after the applicable conditions set forth below have been satisfied (such action under clauses</w:t>
      </w:r>
    </w:p>
    <w:p>
      <w:pPr>
        <w:spacing w:after="0" w:line="1" w:lineRule="exact"/>
        <w:rPr>
          <w:sz w:val="20"/>
          <w:szCs w:val="20"/>
          <w:color w:val="auto"/>
        </w:rPr>
      </w:pPr>
    </w:p>
    <w:p>
      <w:pPr>
        <w:ind w:left="220" w:hanging="212"/>
        <w:spacing w:after="0"/>
        <w:tabs>
          <w:tab w:leader="none" w:pos="2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or (b) of this paragraph in no circumstance may be construed as an Event of Default under Section 7.01):</w:t>
      </w:r>
    </w:p>
    <w:p>
      <w:pPr>
        <w:spacing w:after="0" w:line="217" w:lineRule="exact"/>
        <w:rPr>
          <w:rFonts w:ascii="Arial" w:cs="Arial" w:eastAsia="Arial" w:hAnsi="Arial"/>
          <w:sz w:val="16"/>
          <w:szCs w:val="16"/>
          <w:color w:val="auto"/>
        </w:rPr>
      </w:pPr>
    </w:p>
    <w:p>
      <w:pPr>
        <w:ind w:firstLine="1305"/>
        <w:spacing w:after="0" w:line="269" w:lineRule="auto"/>
        <w:tabs>
          <w:tab w:leader="none" w:pos="1679"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Company shall have deposited or caused to be deposited irrevocably with the Trustee as trust funds in trust, specifically pledged as security for, and dedicated solely to, the benefit of the Holders of the Securities of such series (i) cash in U.S. Dollars in an amount, or (ii) U.S. Government Obligations (as defined below) that through the payment of interest and principal in respect thereof in accordance with their terms will provide, not later than one day before the due date of any payment, cash in U.S. Dollars in an amount, or (iii) a combination of (i) and (ii), sufficient to pay and discharge each installment of principal (including any mandatory sinking fund payments or any analogous payments applicable to the Outstanding Securities) of and premium, if any, and interest on, the Outstanding Securities of such series on the dates such installments of interest or principal and premium are due; provided that the Trustee shall have been irrevocably instructed to apply such cash or the proceeds of such U.S. Government Obligations to said payments with respect to the Securities.</w:t>
      </w:r>
    </w:p>
    <w:p>
      <w:pPr>
        <w:spacing w:after="0" w:line="177" w:lineRule="exact"/>
        <w:rPr>
          <w:rFonts w:ascii="Arial" w:cs="Arial" w:eastAsia="Arial" w:hAnsi="Arial"/>
          <w:sz w:val="16"/>
          <w:szCs w:val="16"/>
          <w:color w:val="auto"/>
        </w:rPr>
      </w:pPr>
    </w:p>
    <w:p>
      <w:pPr>
        <w:ind w:right="480" w:firstLine="1305"/>
        <w:spacing w:after="0" w:line="293" w:lineRule="auto"/>
        <w:tabs>
          <w:tab w:leader="none" w:pos="1688" w:val="left"/>
        </w:tabs>
        <w:numPr>
          <w:ilvl w:val="1"/>
          <w:numId w:val="84"/>
        </w:numPr>
        <w:rPr>
          <w:rFonts w:ascii="Arial" w:cs="Arial" w:eastAsia="Arial" w:hAnsi="Arial"/>
          <w:sz w:val="16"/>
          <w:szCs w:val="16"/>
          <w:color w:val="auto"/>
        </w:rPr>
      </w:pPr>
      <w:r>
        <w:rPr>
          <w:rFonts w:ascii="Arial" w:cs="Arial" w:eastAsia="Arial" w:hAnsi="Arial"/>
          <w:sz w:val="16"/>
          <w:szCs w:val="16"/>
          <w:color w:val="auto"/>
        </w:rPr>
        <w:t>No Default with respect to the Securities of such series shall have occurred and be continuing on the date of such deposit (other than a Default resulting from the borrowing of funds and the grant of any related liens to be applied to such deposit); and</w:t>
      </w:r>
    </w:p>
    <w:p>
      <w:pPr>
        <w:spacing w:after="0" w:line="158" w:lineRule="exact"/>
        <w:rPr>
          <w:rFonts w:ascii="Arial" w:cs="Arial" w:eastAsia="Arial" w:hAnsi="Arial"/>
          <w:sz w:val="16"/>
          <w:szCs w:val="16"/>
          <w:color w:val="auto"/>
        </w:rPr>
      </w:pPr>
    </w:p>
    <w:p>
      <w:pPr>
        <w:ind w:right="60" w:firstLine="1305"/>
        <w:spacing w:after="0" w:line="297" w:lineRule="auto"/>
        <w:tabs>
          <w:tab w:leader="none" w:pos="1679" w:val="left"/>
        </w:tabs>
        <w:numPr>
          <w:ilvl w:val="1"/>
          <w:numId w:val="84"/>
        </w:numPr>
        <w:rPr>
          <w:rFonts w:ascii="Arial" w:cs="Arial" w:eastAsia="Arial" w:hAnsi="Arial"/>
          <w:sz w:val="15"/>
          <w:szCs w:val="15"/>
          <w:color w:val="auto"/>
        </w:rPr>
      </w:pPr>
      <w:r>
        <w:rPr>
          <w:rFonts w:ascii="Arial" w:cs="Arial" w:eastAsia="Arial" w:hAnsi="Arial"/>
          <w:sz w:val="15"/>
          <w:szCs w:val="15"/>
          <w:color w:val="auto"/>
        </w:rPr>
        <w:t>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action had not been exercised and, in the case of the Securities of such series being Discharged accompanied by a ruling to that effect received from or published by the Internal Revenue Service.</w:t>
      </w:r>
    </w:p>
    <w:p>
      <w:pPr>
        <w:spacing w:after="0" w:line="159" w:lineRule="exact"/>
        <w:rPr>
          <w:sz w:val="20"/>
          <w:szCs w:val="20"/>
          <w:color w:val="auto"/>
        </w:rPr>
      </w:pPr>
    </w:p>
    <w:p>
      <w:pPr>
        <w:ind w:right="40" w:firstLine="1621"/>
        <w:spacing w:after="0" w:line="303" w:lineRule="auto"/>
        <w:rPr>
          <w:sz w:val="20"/>
          <w:szCs w:val="20"/>
          <w:color w:val="auto"/>
        </w:rPr>
      </w:pPr>
      <w:r>
        <w:rPr>
          <w:rFonts w:ascii="Arial" w:cs="Arial" w:eastAsia="Arial" w:hAnsi="Arial"/>
          <w:sz w:val="14"/>
          <w:szCs w:val="14"/>
          <w:color w:val="auto"/>
        </w:rPr>
        <w:t>“Discharged” means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(A) the rights of Holders of Securities of such series to receive, from the trust fund described in clause</w:t>
      </w:r>
    </w:p>
    <w:p>
      <w:pPr>
        <w:spacing w:after="0" w:line="2" w:lineRule="exact"/>
        <w:rPr>
          <w:sz w:val="20"/>
          <w:szCs w:val="20"/>
          <w:color w:val="auto"/>
        </w:rPr>
      </w:pPr>
    </w:p>
    <w:p>
      <w:pPr>
        <w:ind w:right="560" w:firstLine="8"/>
        <w:spacing w:after="0" w:line="363" w:lineRule="auto"/>
        <w:tabs>
          <w:tab w:leader="none" w:pos="2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above, payment of the principal of and premium, if any, and interest on such Securities when such payments are due, (B) the Company’s obligations with respect to Securities of such series under Sections 3.04, 3.06, 3.07, 6.02, 12.06 and 12.07 and (C) the rights, powers, trusts, duties and immunities of the Trustee hereunder.</w:t>
      </w:r>
    </w:p>
    <w:p>
      <w:pPr>
        <w:spacing w:after="0" w:line="117" w:lineRule="exact"/>
        <w:rPr>
          <w:sz w:val="20"/>
          <w:szCs w:val="20"/>
          <w:color w:val="auto"/>
        </w:rPr>
      </w:pPr>
    </w:p>
    <w:p>
      <w:pPr>
        <w:ind w:right="60" w:firstLine="1621"/>
        <w:spacing w:after="0" w:line="288" w:lineRule="auto"/>
        <w:rPr>
          <w:sz w:val="20"/>
          <w:szCs w:val="20"/>
          <w:color w:val="auto"/>
        </w:rPr>
      </w:pPr>
      <w:r>
        <w:rPr>
          <w:rFonts w:ascii="Arial" w:cs="Arial" w:eastAsia="Arial" w:hAnsi="Arial"/>
          <w:sz w:val="15"/>
          <w:szCs w:val="15"/>
          <w:color w:val="auto"/>
        </w:rPr>
        <w:t>“U.S. Government Obligations” means securities that are (i) direct obligations of the United States for the payment of which its full faith and credit is pledged or (ii) obligations of a Person controlled or supervised by and acting as an agency or instrumentality of the United States the timely of payment of which is unconditionally guaranteed as a full faith and credit obligation by the United States, that, in either case under clauses (i) or (ii) are not callable or redeemable at the action of the issuer thereof, and shall also include a depositary receipt issued by a bank (as defined in Section 3(a)(2) of the Securities Act of 1933, as amended) or trust company as custodian with respect to any such U.S. Government Obligation or a specific payment of interest on or principal of any such U.S.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U.S. Government Obligation or the specific payment of interest on or principal of the U.S. Government Obligation evidenced by such depositary receipt.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65" w:name="page66"/>
    <w:bookmarkEnd w:id="65"/>
    <w:p>
      <w:pPr>
        <w:spacing w:after="0"/>
        <w:tabs>
          <w:tab w:leader="none" w:pos="1120" w:val="left"/>
        </w:tabs>
        <w:rPr>
          <w:sz w:val="20"/>
          <w:szCs w:val="20"/>
          <w:color w:val="auto"/>
        </w:rPr>
      </w:pPr>
      <w:r>
        <w:rPr>
          <w:rFonts w:ascii="Arial" w:cs="Arial" w:eastAsia="Arial" w:hAnsi="Arial"/>
          <w:sz w:val="16"/>
          <w:szCs w:val="16"/>
          <w:color w:val="auto"/>
        </w:rPr>
        <w:t>Section 12.04</w:t>
      </w:r>
      <w:r>
        <w:rPr>
          <w:sz w:val="20"/>
          <w:szCs w:val="20"/>
          <w:color w:val="auto"/>
        </w:rPr>
        <w:tab/>
      </w:r>
      <w:r>
        <w:rPr>
          <w:rFonts w:ascii="Arial" w:cs="Arial" w:eastAsia="Arial" w:hAnsi="Arial"/>
          <w:sz w:val="14"/>
          <w:szCs w:val="14"/>
          <w:u w:val="single" w:color="auto"/>
          <w:color w:val="auto"/>
        </w:rPr>
        <w:t>Repayment to Company</w:t>
      </w:r>
      <w:r>
        <w:rPr>
          <w:rFonts w:ascii="Arial" w:cs="Arial" w:eastAsia="Arial" w:hAnsi="Arial"/>
          <w:sz w:val="14"/>
          <w:szCs w:val="14"/>
          <w:color w:val="auto"/>
        </w:rPr>
        <w:t>.</w:t>
      </w:r>
    </w:p>
    <w:p>
      <w:pPr>
        <w:spacing w:after="0" w:line="221" w:lineRule="exact"/>
        <w:rPr>
          <w:sz w:val="20"/>
          <w:szCs w:val="20"/>
          <w:color w:val="auto"/>
        </w:rPr>
      </w:pPr>
    </w:p>
    <w:p>
      <w:pPr>
        <w:ind w:right="60" w:firstLine="486"/>
        <w:spacing w:after="0" w:line="297" w:lineRule="auto"/>
        <w:rPr>
          <w:sz w:val="20"/>
          <w:szCs w:val="20"/>
          <w:color w:val="auto"/>
        </w:rPr>
      </w:pPr>
      <w:r>
        <w:rPr>
          <w:rFonts w:ascii="Arial" w:cs="Arial" w:eastAsia="Arial" w:hAnsi="Arial"/>
          <w:sz w:val="15"/>
          <w:szCs w:val="15"/>
          <w:color w:val="auto"/>
        </w:rPr>
        <w:t>The Trustee and any Paying Agent shall promptly pay to the Company (or to its designee) upon Company Order any excess moneys or U.S. Government Obligations held by them at any time, including any such moneys or obligations held by the Trustee under any escrow trust agreement entered into pursuant to Section 12.06. The provisions of the last paragraph of Section 6.03 shall apply to any money held by the Trustee or any Paying Agent under this Article that remains unclaimed for two years after the Maturity of any series of Securities for which money or U.S. Government Obligations have been deposited pursuant to Section 12.03.</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12.05</w:t>
      </w:r>
      <w:r>
        <w:rPr>
          <w:sz w:val="20"/>
          <w:szCs w:val="20"/>
          <w:color w:val="auto"/>
        </w:rPr>
        <w:tab/>
      </w:r>
      <w:r>
        <w:rPr>
          <w:rFonts w:ascii="Arial" w:cs="Arial" w:eastAsia="Arial" w:hAnsi="Arial"/>
          <w:sz w:val="15"/>
          <w:szCs w:val="15"/>
          <w:u w:val="single" w:color="auto"/>
          <w:color w:val="auto"/>
        </w:rPr>
        <w:t>Indemnity for U.S. Government Obligations</w:t>
      </w:r>
      <w:r>
        <w:rPr>
          <w:rFonts w:ascii="Arial" w:cs="Arial" w:eastAsia="Arial" w:hAnsi="Arial"/>
          <w:sz w:val="15"/>
          <w:szCs w:val="15"/>
          <w:color w:val="auto"/>
        </w:rPr>
        <w:t>.</w:t>
      </w:r>
    </w:p>
    <w:p>
      <w:pPr>
        <w:spacing w:after="0" w:line="221" w:lineRule="exact"/>
        <w:rPr>
          <w:sz w:val="20"/>
          <w:szCs w:val="20"/>
          <w:color w:val="auto"/>
        </w:rPr>
      </w:pPr>
    </w:p>
    <w:p>
      <w:pPr>
        <w:ind w:right="340" w:firstLine="486"/>
        <w:spacing w:after="0" w:line="293" w:lineRule="auto"/>
        <w:rPr>
          <w:sz w:val="20"/>
          <w:szCs w:val="20"/>
          <w:color w:val="auto"/>
        </w:rPr>
      </w:pPr>
      <w:r>
        <w:rPr>
          <w:rFonts w:ascii="Arial" w:cs="Arial" w:eastAsia="Arial" w:hAnsi="Arial"/>
          <w:sz w:val="16"/>
          <w:szCs w:val="16"/>
          <w:color w:val="auto"/>
        </w:rPr>
        <w:t>The Company shall pay and shall indemnify the Trustee against any tax, fee or other charge imposed on or assessed against the cash or deposited U.S. Government Obligations or the principal or interest received in respect thereof.</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12.06</w:t>
      </w:r>
      <w:r>
        <w:rPr>
          <w:sz w:val="20"/>
          <w:szCs w:val="20"/>
          <w:color w:val="auto"/>
        </w:rPr>
        <w:tab/>
      </w:r>
      <w:r>
        <w:rPr>
          <w:rFonts w:ascii="Arial" w:cs="Arial" w:eastAsia="Arial" w:hAnsi="Arial"/>
          <w:sz w:val="14"/>
          <w:szCs w:val="14"/>
          <w:u w:val="single" w:color="auto"/>
          <w:color w:val="auto"/>
        </w:rPr>
        <w:t>Deposits to Be Held in Escrow</w:t>
      </w:r>
      <w:r>
        <w:rPr>
          <w:rFonts w:ascii="Arial" w:cs="Arial" w:eastAsia="Arial" w:hAnsi="Arial"/>
          <w:sz w:val="14"/>
          <w:szCs w:val="14"/>
          <w:color w:val="auto"/>
        </w:rPr>
        <w:t>.</w:t>
      </w:r>
    </w:p>
    <w:p>
      <w:pPr>
        <w:spacing w:after="0" w:line="221" w:lineRule="exact"/>
        <w:rPr>
          <w:sz w:val="20"/>
          <w:szCs w:val="20"/>
          <w:color w:val="auto"/>
        </w:rPr>
      </w:pPr>
    </w:p>
    <w:p>
      <w:pPr>
        <w:ind w:right="20" w:firstLine="486"/>
        <w:spacing w:after="0" w:line="268" w:lineRule="auto"/>
        <w:rPr>
          <w:sz w:val="20"/>
          <w:szCs w:val="20"/>
          <w:color w:val="auto"/>
        </w:rPr>
      </w:pPr>
      <w:r>
        <w:rPr>
          <w:rFonts w:ascii="Arial" w:cs="Arial" w:eastAsia="Arial" w:hAnsi="Arial"/>
          <w:sz w:val="16"/>
          <w:szCs w:val="16"/>
          <w:color w:val="auto"/>
        </w:rPr>
        <w:t>Any deposits with the Trustee referred to in Section 12.03 above shall be irrevocable (except to the extent provided in Sections 12.04 and 12.07) and shall be made under the terms of an escrow trust agreement in form and substance agreed upon by the Trustee and the Company. If any Outstanding Securities of a series are to be redeemed prior to their Stated Maturity, whether pursuant to any optional redemption provisions or in accordance with any mandatory or optional sinking fund requirement, the applicable escrow trust agreement shall provide therefor and the Company shall make such arrangements as are satisfactory to the Trustee for the giving of notice of redemption by the Trustee in the name, and at the expense, of the Company. The agreement shall provide that, upon satisfaction of any mandatory sinking fund payment requirements, whether by deposit of moneys, application of proceeds of deposited U.S. Government Obligations or, if permitted, by delivery of Securities, the Trustee shall pay or deliver over to the Company as excess moneys pursuant to Section 12.04 all funds or obligations then held under the agreement and allocable to the sinking fund payment requirements so satisfied.</w:t>
      </w:r>
    </w:p>
    <w:p>
      <w:pPr>
        <w:spacing w:after="0" w:line="180" w:lineRule="exact"/>
        <w:rPr>
          <w:sz w:val="20"/>
          <w:szCs w:val="20"/>
          <w:color w:val="auto"/>
        </w:rPr>
      </w:pPr>
    </w:p>
    <w:p>
      <w:pPr>
        <w:ind w:firstLine="486"/>
        <w:spacing w:after="0" w:line="288" w:lineRule="auto"/>
        <w:rPr>
          <w:sz w:val="20"/>
          <w:szCs w:val="20"/>
          <w:color w:val="auto"/>
        </w:rPr>
      </w:pPr>
      <w:r>
        <w:rPr>
          <w:rFonts w:ascii="Arial" w:cs="Arial" w:eastAsia="Arial" w:hAnsi="Arial"/>
          <w:sz w:val="15"/>
          <w:szCs w:val="15"/>
          <w:color w:val="auto"/>
        </w:rPr>
        <w:t>If Securities of a series with respect to which such deposits are made may be subject to later redemption at the option of the Company or pursuant to optional sinking fund payments, the applicable escrow trust agreement may, at the option of the Company, provide therefor. In the case of an optional redemption in whole or in part, such agreement shall require the Company to deposit with the Trustee on or before the date notice of redemption is given funds sufficient to pay the Redemption Price of the Securities to be redeemed together with all unpaid interest thereon to the Redemption Date. Upon such deposit of funds, the Trustee shall pay or deliver over to the Company as excess funds pursuant to Section 12.04 all funds or obligations then held under such agreement and allocable to the Securities to be redeemed. In the case of exercise of optional sinking fund payment rights by the Company, such agreement shall, at the option of the Company, provide that upon deposit by the Company with the Trustee of funds pursuant to such exercise the Trustee shall pay or deliver over to the Company as excess funds pursuant to Section 12.04 all funds or obligations then held under such agreement for such series and allocable to the Securities to be redeemed.</w:t>
      </w:r>
    </w:p>
    <w:p>
      <w:pPr>
        <w:spacing w:after="0" w:line="16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12.07</w:t>
      </w:r>
      <w:r>
        <w:rPr>
          <w:sz w:val="20"/>
          <w:szCs w:val="20"/>
          <w:color w:val="auto"/>
        </w:rPr>
        <w:tab/>
      </w:r>
      <w:r>
        <w:rPr>
          <w:rFonts w:ascii="Arial" w:cs="Arial" w:eastAsia="Arial" w:hAnsi="Arial"/>
          <w:sz w:val="15"/>
          <w:szCs w:val="15"/>
          <w:u w:val="single" w:color="auto"/>
          <w:color w:val="auto"/>
        </w:rPr>
        <w:t>Application of Trust Money</w:t>
      </w:r>
      <w:r>
        <w:rPr>
          <w:rFonts w:ascii="Arial" w:cs="Arial" w:eastAsia="Arial" w:hAnsi="Arial"/>
          <w:sz w:val="15"/>
          <w:szCs w:val="15"/>
          <w:color w:val="auto"/>
        </w:rPr>
        <w:t>.</w:t>
      </w:r>
    </w:p>
    <w:p>
      <w:pPr>
        <w:spacing w:after="0" w:line="221" w:lineRule="exact"/>
        <w:rPr>
          <w:sz w:val="20"/>
          <w:szCs w:val="20"/>
          <w:color w:val="auto"/>
        </w:rPr>
      </w:pPr>
    </w:p>
    <w:p>
      <w:pPr>
        <w:ind w:right="20" w:firstLine="1305"/>
        <w:spacing w:after="0" w:line="315" w:lineRule="auto"/>
        <w:tabs>
          <w:tab w:leader="none" w:pos="1679" w:val="left"/>
        </w:tabs>
        <w:numPr>
          <w:ilvl w:val="0"/>
          <w:numId w:val="86"/>
        </w:numPr>
        <w:rPr>
          <w:rFonts w:ascii="Arial" w:cs="Arial" w:eastAsia="Arial" w:hAnsi="Arial"/>
          <w:sz w:val="14"/>
          <w:szCs w:val="14"/>
          <w:color w:val="auto"/>
        </w:rPr>
      </w:pPr>
      <w:r>
        <w:rPr>
          <w:rFonts w:ascii="Arial" w:cs="Arial" w:eastAsia="Arial" w:hAnsi="Arial"/>
          <w:sz w:val="14"/>
          <w:szCs w:val="14"/>
          <w:color w:val="auto"/>
        </w:rPr>
        <w:t>Neither the Trustee nor any other Paying Agent shall be required to pay interest on any moneys deposited pursuant to the provisions of this Indenture, except such as it shall agree with the Company in writing to pay thereon. Any moneys so deposited for the payment of the principal of, or premium, if any, or interest on the Securities of any series and remaining unclaimed for two years after the date of the maturity of the Securities of such series or the date fixed for the redemption of all the Securities of such series at the time outstanding, as the case may be, shall be repaid by the Trustee or such other Paying Agent to the Company upon its written request and thereafter, anything in this Indenture to the contrary notwithstanding, any rights of the Holders of Securities of such series in respect of which such moneys shall have been deposited shall be enforceable only against the Company, and all liability of the Trustee or such other Paying Agent with respect to such moneys shall thereafter cease.</w:t>
      </w:r>
    </w:p>
    <w:p>
      <w:pPr>
        <w:spacing w:after="0" w:line="150" w:lineRule="exact"/>
        <w:rPr>
          <w:rFonts w:ascii="Arial" w:cs="Arial" w:eastAsia="Arial" w:hAnsi="Arial"/>
          <w:sz w:val="14"/>
          <w:szCs w:val="14"/>
          <w:color w:val="auto"/>
        </w:rPr>
      </w:pPr>
    </w:p>
    <w:p>
      <w:pPr>
        <w:ind w:right="20" w:firstLine="1305"/>
        <w:spacing w:after="0" w:line="273" w:lineRule="auto"/>
        <w:tabs>
          <w:tab w:leader="none" w:pos="1688" w:val="left"/>
        </w:tabs>
        <w:numPr>
          <w:ilvl w:val="0"/>
          <w:numId w:val="86"/>
        </w:numPr>
        <w:rPr>
          <w:rFonts w:ascii="Arial" w:cs="Arial" w:eastAsia="Arial" w:hAnsi="Arial"/>
          <w:sz w:val="16"/>
          <w:szCs w:val="16"/>
          <w:color w:val="auto"/>
        </w:rPr>
      </w:pPr>
      <w:r>
        <w:rPr>
          <w:rFonts w:ascii="Arial" w:cs="Arial" w:eastAsia="Arial" w:hAnsi="Arial"/>
          <w:sz w:val="16"/>
          <w:szCs w:val="16"/>
          <w:color w:val="auto"/>
        </w:rPr>
        <w:t>Subject to the provisions of the foregoing paragraph, any moneys which at any time shall be deposited by the Company or on its behalf with the Trustee or any other Paying Agent for the purpose of paying the principal of, premium, if any, and interest on any of the Securities shall be and are hereby assigned, transferred and set over to the Trustee or such other Paying Agent in trust for the respective Holders of the Securities for the purpose for which such moneys shall have been deposited; but such moneys need not be segregated from other funds except to the extent required by law.</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12.08</w:t>
      </w:r>
      <w:r>
        <w:rPr>
          <w:sz w:val="20"/>
          <w:szCs w:val="20"/>
          <w:color w:val="auto"/>
        </w:rPr>
        <w:tab/>
      </w:r>
      <w:r>
        <w:rPr>
          <w:rFonts w:ascii="Arial" w:cs="Arial" w:eastAsia="Arial" w:hAnsi="Arial"/>
          <w:sz w:val="14"/>
          <w:szCs w:val="14"/>
          <w:u w:val="single" w:color="auto"/>
          <w:color w:val="auto"/>
        </w:rPr>
        <w:t>Deposits of Non-U.S. Currencies</w:t>
      </w:r>
      <w:r>
        <w:rPr>
          <w:rFonts w:ascii="Arial" w:cs="Arial" w:eastAsia="Arial" w:hAnsi="Arial"/>
          <w:sz w:val="14"/>
          <w:szCs w:val="14"/>
          <w:color w:val="auto"/>
        </w:rPr>
        <w:t>.</w:t>
      </w:r>
    </w:p>
    <w:p>
      <w:pPr>
        <w:spacing w:after="0" w:line="221" w:lineRule="exact"/>
        <w:rPr>
          <w:sz w:val="20"/>
          <w:szCs w:val="20"/>
          <w:color w:val="auto"/>
        </w:rPr>
      </w:pPr>
    </w:p>
    <w:p>
      <w:pPr>
        <w:jc w:val="both"/>
        <w:ind w:right="120" w:firstLine="486"/>
        <w:spacing w:after="0" w:line="278" w:lineRule="auto"/>
        <w:rPr>
          <w:sz w:val="20"/>
          <w:szCs w:val="20"/>
          <w:color w:val="auto"/>
        </w:rPr>
      </w:pPr>
      <w:r>
        <w:rPr>
          <w:rFonts w:ascii="Arial" w:cs="Arial" w:eastAsia="Arial" w:hAnsi="Arial"/>
          <w:sz w:val="16"/>
          <w:szCs w:val="16"/>
          <w:color w:val="auto"/>
        </w:rPr>
        <w:t>Notwithstanding the foregoing provisions of this Article, if the Securities of any series are payable in a Currency other than U.S. Dollars, the Currency or the nature of the government obligations to be deposited with the Trustee under the foregoing provisions of this Article shall be as set forth in the Officer’s Certificate or established in the supplemental indenture under which the Securities of such series are issued.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6"/>
          <w:szCs w:val="16"/>
          <w:b w:val="1"/>
          <w:bCs w:val="1"/>
          <w:color w:val="auto"/>
        </w:rPr>
        <w:t>ARTICLE XIII</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IMMUNITY OF CERTAIN PERSONS</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13.01</w:t>
      </w:r>
      <w:r>
        <w:rPr>
          <w:sz w:val="20"/>
          <w:szCs w:val="20"/>
          <w:color w:val="auto"/>
        </w:rPr>
        <w:tab/>
      </w:r>
      <w:r>
        <w:rPr>
          <w:rFonts w:ascii="Arial" w:cs="Arial" w:eastAsia="Arial" w:hAnsi="Arial"/>
          <w:sz w:val="15"/>
          <w:szCs w:val="15"/>
          <w:u w:val="single" w:color="auto"/>
          <w:color w:val="auto"/>
        </w:rPr>
        <w:t>No Personal Liability</w:t>
      </w:r>
      <w:r>
        <w:rPr>
          <w:rFonts w:ascii="Arial" w:cs="Arial" w:eastAsia="Arial" w:hAnsi="Arial"/>
          <w:sz w:val="15"/>
          <w:szCs w:val="15"/>
          <w:color w:val="auto"/>
        </w:rPr>
        <w:t>.</w:t>
      </w:r>
    </w:p>
    <w:p>
      <w:pPr>
        <w:spacing w:after="0" w:line="22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4"/>
          <w:szCs w:val="14"/>
          <w:color w:val="auto"/>
        </w:rPr>
        <w:t>No recourse shall be had for the payment of the principal of, or the premium, if any, or interest on, any Security or for any claim based thereon or otherwise in respect thereof or of the Indebtedness represented thereby, or upon any obligation, covenant or agreement of this Indenture, against any incorporator, stockholder, officer or director, as such, past, present or future, of the Company or of any successor corporation, either directly or through the Company or any successor corporation, whether by virtue of any constitutional provision, statute or rule of law, or by the enforcement of any assessment or penalty or otherwise; it being expressly agreed and understood that this Indenture and the Securities are solely corporate obligations, and that no personal liability whatsoever shall attach to, or be incurred by, any incorporator, stockholder, officer or director, as such, past, present or future, of the Company or of any successor corporation, either directly or through the Company or any successor corporation, because of the incurring of the Indebtedness hereby authorized or under or by reason of any of the obligations, covenants, promises or agreements contained in this Indenture or in any of the Securities, or to be implied herefrom or therefrom, and that all liability, if any, of that character against every such incorporator, stockholder, officer and director is, by the acceptance of the Securities and as a condition of, and as part of the consideration for, the execution of this Indenture and the issue of the Securities expressly waived and released.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XIV</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SUPPLEMENTAL INDENTURES</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14.01</w:t>
      </w:r>
      <w:r>
        <w:rPr>
          <w:sz w:val="20"/>
          <w:szCs w:val="20"/>
          <w:color w:val="auto"/>
        </w:rPr>
        <w:tab/>
      </w:r>
      <w:r>
        <w:rPr>
          <w:rFonts w:ascii="Arial" w:cs="Arial" w:eastAsia="Arial" w:hAnsi="Arial"/>
          <w:sz w:val="14"/>
          <w:szCs w:val="14"/>
          <w:u w:val="single" w:color="auto"/>
          <w:color w:val="auto"/>
        </w:rPr>
        <w:t>Without Consent of Securityholders</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5"/>
          <w:szCs w:val="15"/>
          <w:color w:val="auto"/>
        </w:rPr>
        <w:t>Except as otherwise provided as contemplated by Section 3.01 with respect to any series of Securities, the Company and the Trustee, at any time and from time to time, may enter into one or more indentures supplemental hereto, in form satisfactory to the Trustee, for any one or more of or all the following purposes:</w:t>
      </w:r>
    </w:p>
    <w:p>
      <w:pPr>
        <w:spacing w:after="0" w:line="135" w:lineRule="exact"/>
        <w:rPr>
          <w:sz w:val="20"/>
          <w:szCs w:val="20"/>
          <w:color w:val="auto"/>
        </w:rPr>
      </w:pPr>
    </w:p>
    <w:p>
      <w:pPr>
        <w:ind w:right="280" w:firstLine="1305"/>
        <w:spacing w:after="0" w:line="297" w:lineRule="auto"/>
        <w:tabs>
          <w:tab w:leader="none" w:pos="1679" w:val="left"/>
        </w:tabs>
        <w:numPr>
          <w:ilvl w:val="0"/>
          <w:numId w:val="87"/>
        </w:numPr>
        <w:rPr>
          <w:rFonts w:ascii="Arial" w:cs="Arial" w:eastAsia="Arial" w:hAnsi="Arial"/>
          <w:sz w:val="15"/>
          <w:szCs w:val="15"/>
          <w:color w:val="auto"/>
        </w:rPr>
      </w:pPr>
      <w:r>
        <w:rPr>
          <w:rFonts w:ascii="Arial" w:cs="Arial" w:eastAsia="Arial" w:hAnsi="Arial"/>
          <w:sz w:val="15"/>
          <w:szCs w:val="15"/>
          <w:color w:val="auto"/>
        </w:rPr>
        <w:t>to add to the covenants and agreements of the Company, to be observed thereafter and during the period, if any, in such supplemental indenture or indentures expressed, and to add Events of Default, in each case for the protection or benefit of the Holders of all or any series of the Securities (and if such covenants, agreements and Events of Default are to be for the benefit of fewer than all series of Securities, stating that such covenants, agreements and Events of Default are expressly being included for the benefit of such series as shall be identified therein), or to surrender any right or power herein conferred upon the Company;</w:t>
      </w:r>
    </w:p>
    <w:p>
      <w:pPr>
        <w:spacing w:after="0" w:line="159" w:lineRule="exact"/>
        <w:rPr>
          <w:rFonts w:ascii="Arial" w:cs="Arial" w:eastAsia="Arial" w:hAnsi="Arial"/>
          <w:sz w:val="15"/>
          <w:szCs w:val="15"/>
          <w:color w:val="auto"/>
        </w:rPr>
      </w:pPr>
    </w:p>
    <w:p>
      <w:pPr>
        <w:ind w:right="140" w:firstLine="1305"/>
        <w:spacing w:after="0" w:line="335" w:lineRule="auto"/>
        <w:tabs>
          <w:tab w:leader="none" w:pos="1688" w:val="left"/>
        </w:tabs>
        <w:numPr>
          <w:ilvl w:val="0"/>
          <w:numId w:val="87"/>
        </w:numPr>
        <w:rPr>
          <w:rFonts w:ascii="Arial" w:cs="Arial" w:eastAsia="Arial" w:hAnsi="Arial"/>
          <w:sz w:val="14"/>
          <w:szCs w:val="14"/>
          <w:color w:val="auto"/>
        </w:rPr>
      </w:pPr>
      <w:r>
        <w:rPr>
          <w:rFonts w:ascii="Arial" w:cs="Arial" w:eastAsia="Arial" w:hAnsi="Arial"/>
          <w:sz w:val="14"/>
          <w:szCs w:val="14"/>
          <w:color w:val="auto"/>
        </w:rPr>
        <w:t>to delete or modify any Events of Default with respect to all or any series of the Securities, the form and terms of which are being established pursuant to such supplemental indenture as permitted in Section 3.01 (and, if any such Event of Default is applicable to fewer than all such series of the Securities, specifying the series to which such Event of Default is applicable), and to specify the rights and remedies of the Trustee and the Holders of such Securities in connection therewith;</w:t>
      </w:r>
    </w:p>
    <w:p>
      <w:pPr>
        <w:spacing w:after="0" w:line="136" w:lineRule="exact"/>
        <w:rPr>
          <w:rFonts w:ascii="Arial" w:cs="Arial" w:eastAsia="Arial" w:hAnsi="Arial"/>
          <w:sz w:val="14"/>
          <w:szCs w:val="14"/>
          <w:color w:val="auto"/>
        </w:rPr>
      </w:pPr>
    </w:p>
    <w:p>
      <w:pPr>
        <w:ind w:right="20" w:firstLine="1305"/>
        <w:spacing w:after="0" w:line="329" w:lineRule="auto"/>
        <w:tabs>
          <w:tab w:leader="none" w:pos="1679" w:val="left"/>
        </w:tabs>
        <w:numPr>
          <w:ilvl w:val="0"/>
          <w:numId w:val="87"/>
        </w:numPr>
        <w:rPr>
          <w:rFonts w:ascii="Arial" w:cs="Arial" w:eastAsia="Arial" w:hAnsi="Arial"/>
          <w:sz w:val="15"/>
          <w:szCs w:val="15"/>
          <w:color w:val="auto"/>
        </w:rPr>
      </w:pPr>
      <w:r>
        <w:rPr>
          <w:rFonts w:ascii="Arial" w:cs="Arial" w:eastAsia="Arial" w:hAnsi="Arial"/>
          <w:sz w:val="15"/>
          <w:szCs w:val="15"/>
          <w:color w:val="auto"/>
        </w:rPr>
        <w:t>to add to or change any of the provisions of this Indenture to provide, change or eliminate any restrictions on the payment of principal of or premium, if any, on Securities; provided that any such action shall not adversely affect the interests of the Holders of Securities of any series in any material respect;</w:t>
      </w:r>
    </w:p>
    <w:p>
      <w:pPr>
        <w:spacing w:after="0" w:line="134" w:lineRule="exact"/>
        <w:rPr>
          <w:rFonts w:ascii="Arial" w:cs="Arial" w:eastAsia="Arial" w:hAnsi="Arial"/>
          <w:sz w:val="15"/>
          <w:szCs w:val="15"/>
          <w:color w:val="auto"/>
        </w:rPr>
      </w:pPr>
    </w:p>
    <w:p>
      <w:pPr>
        <w:ind w:right="20" w:firstLine="1305"/>
        <w:spacing w:after="0" w:line="278" w:lineRule="auto"/>
        <w:tabs>
          <w:tab w:leader="none" w:pos="1688" w:val="left"/>
        </w:tabs>
        <w:numPr>
          <w:ilvl w:val="0"/>
          <w:numId w:val="87"/>
        </w:numPr>
        <w:rPr>
          <w:rFonts w:ascii="Arial" w:cs="Arial" w:eastAsia="Arial" w:hAnsi="Arial"/>
          <w:sz w:val="16"/>
          <w:szCs w:val="16"/>
          <w:color w:val="auto"/>
        </w:rPr>
      </w:pPr>
      <w:r>
        <w:rPr>
          <w:rFonts w:ascii="Arial" w:cs="Arial" w:eastAsia="Arial" w:hAnsi="Arial"/>
          <w:sz w:val="16"/>
          <w:szCs w:val="16"/>
          <w:color w:val="auto"/>
        </w:rPr>
        <w:t>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170" w:lineRule="exact"/>
        <w:rPr>
          <w:rFonts w:ascii="Arial" w:cs="Arial" w:eastAsia="Arial" w:hAnsi="Arial"/>
          <w:sz w:val="16"/>
          <w:szCs w:val="16"/>
          <w:color w:val="auto"/>
        </w:rPr>
      </w:pPr>
    </w:p>
    <w:p>
      <w:pPr>
        <w:ind w:right="80" w:firstLine="1305"/>
        <w:spacing w:after="0" w:line="293" w:lineRule="auto"/>
        <w:tabs>
          <w:tab w:leader="none" w:pos="1679" w:val="left"/>
        </w:tabs>
        <w:numPr>
          <w:ilvl w:val="0"/>
          <w:numId w:val="87"/>
        </w:numPr>
        <w:rPr>
          <w:rFonts w:ascii="Arial" w:cs="Arial" w:eastAsia="Arial" w:hAnsi="Arial"/>
          <w:sz w:val="16"/>
          <w:szCs w:val="16"/>
          <w:color w:val="auto"/>
        </w:rPr>
      </w:pPr>
      <w:r>
        <w:rPr>
          <w:rFonts w:ascii="Arial" w:cs="Arial" w:eastAsia="Arial" w:hAnsi="Arial"/>
          <w:sz w:val="16"/>
          <w:szCs w:val="16"/>
          <w:color w:val="auto"/>
        </w:rPr>
        <w:t>to evidence the succession of another corporation to the Company, or successive successions, and the assumption by such successor of the covenants and obligations of the Company contained in the Securities of one or more series and in this Indenture or any supplemental indenture;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7" w:name="page68"/>
    <w:bookmarkEnd w:id="67"/>
    <w:p>
      <w:pPr>
        <w:jc w:val="both"/>
        <w:ind w:right="220" w:firstLine="1305"/>
        <w:spacing w:after="0" w:line="278" w:lineRule="auto"/>
        <w:tabs>
          <w:tab w:leader="none" w:pos="166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11.06(c);</w:t>
      </w:r>
    </w:p>
    <w:p>
      <w:pPr>
        <w:spacing w:after="0" w:line="170" w:lineRule="exact"/>
        <w:rPr>
          <w:rFonts w:ascii="Arial" w:cs="Arial" w:eastAsia="Arial" w:hAnsi="Arial"/>
          <w:sz w:val="16"/>
          <w:szCs w:val="16"/>
          <w:color w:val="auto"/>
        </w:rPr>
      </w:pPr>
    </w:p>
    <w:p>
      <w:pPr>
        <w:ind w:left="1700" w:hanging="395"/>
        <w:spacing w:after="0"/>
        <w:tabs>
          <w:tab w:leader="none" w:pos="17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secure any series of Securities;</w:t>
      </w:r>
    </w:p>
    <w:p>
      <w:pPr>
        <w:spacing w:after="0" w:line="221" w:lineRule="exact"/>
        <w:rPr>
          <w:rFonts w:ascii="Arial" w:cs="Arial" w:eastAsia="Arial" w:hAnsi="Arial"/>
          <w:sz w:val="16"/>
          <w:szCs w:val="16"/>
          <w:color w:val="auto"/>
        </w:rPr>
      </w:pPr>
    </w:p>
    <w:p>
      <w:pPr>
        <w:ind w:left="1700" w:hanging="395"/>
        <w:spacing w:after="0"/>
        <w:tabs>
          <w:tab w:leader="none" w:pos="17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evidence any changes to this Indenture pursuant to Sections 11.05, 11.06 or 11.07 hereof as permitted by the terms thereof;</w:t>
      </w:r>
    </w:p>
    <w:p>
      <w:pPr>
        <w:spacing w:after="0" w:line="221" w:lineRule="exact"/>
        <w:rPr>
          <w:rFonts w:ascii="Arial" w:cs="Arial" w:eastAsia="Arial" w:hAnsi="Arial"/>
          <w:sz w:val="16"/>
          <w:szCs w:val="16"/>
          <w:color w:val="auto"/>
        </w:rPr>
      </w:pPr>
    </w:p>
    <w:p>
      <w:pPr>
        <w:ind w:right="40" w:firstLine="1305"/>
        <w:spacing w:after="0" w:line="271" w:lineRule="auto"/>
        <w:tabs>
          <w:tab w:leader="none" w:pos="16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 provided that any such action shall not adversely affect the interests of the Holders of Securities of such series or any other series of Securities;</w:t>
      </w:r>
    </w:p>
    <w:p>
      <w:pPr>
        <w:spacing w:after="0" w:line="176" w:lineRule="exact"/>
        <w:rPr>
          <w:rFonts w:ascii="Arial" w:cs="Arial" w:eastAsia="Arial" w:hAnsi="Arial"/>
          <w:sz w:val="16"/>
          <w:szCs w:val="16"/>
          <w:color w:val="auto"/>
        </w:rPr>
      </w:pPr>
    </w:p>
    <w:p>
      <w:pPr>
        <w:ind w:left="1660" w:hanging="355"/>
        <w:spacing w:after="0"/>
        <w:tabs>
          <w:tab w:leader="none" w:pos="16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to add to or change or eliminate any provision of this Indenture as shall be necessary or desirable in accordance with any amendments to the Trust</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Indenture Act;</w:t>
      </w:r>
    </w:p>
    <w:p>
      <w:pPr>
        <w:spacing w:after="0" w:line="217" w:lineRule="exact"/>
        <w:rPr>
          <w:rFonts w:ascii="Arial" w:cs="Arial" w:eastAsia="Arial" w:hAnsi="Arial"/>
          <w:sz w:val="15"/>
          <w:szCs w:val="15"/>
          <w:color w:val="auto"/>
        </w:rPr>
      </w:pPr>
    </w:p>
    <w:p>
      <w:pPr>
        <w:ind w:firstLine="1305"/>
        <w:spacing w:after="0" w:line="293" w:lineRule="auto"/>
        <w:tabs>
          <w:tab w:leader="none" w:pos="1688"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add guarantors or co-obligors with respect to any series of Securities or to release guarantors from their guarantees of Securities in accordance with the terms of the applicable series of Securities;</w:t>
      </w:r>
    </w:p>
    <w:p>
      <w:pPr>
        <w:spacing w:after="0" w:line="158" w:lineRule="exact"/>
        <w:rPr>
          <w:rFonts w:ascii="Arial" w:cs="Arial" w:eastAsia="Arial" w:hAnsi="Arial"/>
          <w:sz w:val="16"/>
          <w:szCs w:val="16"/>
          <w:color w:val="auto"/>
        </w:rPr>
      </w:pPr>
    </w:p>
    <w:p>
      <w:pPr>
        <w:ind w:left="1660" w:hanging="355"/>
        <w:spacing w:after="0"/>
        <w:tabs>
          <w:tab w:leader="none" w:pos="16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to make any change in any series of Securities that does not adversely affect in any material respect the interests of the Holders of such Securities;</w:t>
      </w:r>
    </w:p>
    <w:p>
      <w:pPr>
        <w:spacing w:after="0" w:line="232" w:lineRule="exact"/>
        <w:rPr>
          <w:rFonts w:ascii="Arial" w:cs="Arial" w:eastAsia="Arial" w:hAnsi="Arial"/>
          <w:sz w:val="15"/>
          <w:szCs w:val="15"/>
          <w:color w:val="auto"/>
        </w:rPr>
      </w:pPr>
    </w:p>
    <w:p>
      <w:pPr>
        <w:ind w:left="1740" w:hanging="435"/>
        <w:spacing w:after="0"/>
        <w:tabs>
          <w:tab w:leader="none" w:pos="17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provide for uncertificated securities in addition to certificated securities;</w:t>
      </w:r>
    </w:p>
    <w:p>
      <w:pPr>
        <w:spacing w:after="0" w:line="221" w:lineRule="exact"/>
        <w:rPr>
          <w:rFonts w:ascii="Arial" w:cs="Arial" w:eastAsia="Arial" w:hAnsi="Arial"/>
          <w:sz w:val="16"/>
          <w:szCs w:val="16"/>
          <w:color w:val="auto"/>
        </w:rPr>
      </w:pPr>
    </w:p>
    <w:p>
      <w:pPr>
        <w:ind w:right="180" w:firstLine="1305"/>
        <w:spacing w:after="0" w:line="329" w:lineRule="auto"/>
        <w:tabs>
          <w:tab w:leader="none" w:pos="1688" w:val="left"/>
        </w:tabs>
        <w:numPr>
          <w:ilvl w:val="0"/>
          <w:numId w:val="88"/>
        </w:numPr>
        <w:rPr>
          <w:rFonts w:ascii="Arial" w:cs="Arial" w:eastAsia="Arial" w:hAnsi="Arial"/>
          <w:sz w:val="15"/>
          <w:szCs w:val="15"/>
          <w:color w:val="auto"/>
        </w:rPr>
      </w:pPr>
      <w:r>
        <w:rPr>
          <w:rFonts w:ascii="Arial" w:cs="Arial" w:eastAsia="Arial" w:hAnsi="Arial"/>
          <w:sz w:val="15"/>
          <w:szCs w:val="15"/>
          <w:color w:val="auto"/>
        </w:rPr>
        <w:t>to supplement any of the provisions of this Indenture to such extent as shall be necessary to permit or facilitate the defeasance and discharge of any series of Securities; provided that any such action shall not adversely affect the interests of the Holders of Securities of such series or any other series of Securities;</w:t>
      </w:r>
    </w:p>
    <w:p>
      <w:pPr>
        <w:spacing w:after="0" w:line="134" w:lineRule="exact"/>
        <w:rPr>
          <w:rFonts w:ascii="Arial" w:cs="Arial" w:eastAsia="Arial" w:hAnsi="Arial"/>
          <w:sz w:val="15"/>
          <w:szCs w:val="15"/>
          <w:color w:val="auto"/>
        </w:rPr>
      </w:pPr>
    </w:p>
    <w:p>
      <w:pPr>
        <w:ind w:left="1700" w:hanging="395"/>
        <w:spacing w:after="0"/>
        <w:tabs>
          <w:tab w:leader="none" w:pos="17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prohibit the authentication and delivery of additional series of Securities; or</w:t>
      </w:r>
    </w:p>
    <w:p>
      <w:pPr>
        <w:spacing w:after="0" w:line="221" w:lineRule="exact"/>
        <w:rPr>
          <w:rFonts w:ascii="Arial" w:cs="Arial" w:eastAsia="Arial" w:hAnsi="Arial"/>
          <w:sz w:val="16"/>
          <w:szCs w:val="16"/>
          <w:color w:val="auto"/>
        </w:rPr>
      </w:pPr>
    </w:p>
    <w:p>
      <w:pPr>
        <w:jc w:val="both"/>
        <w:ind w:right="60" w:firstLine="1305"/>
        <w:spacing w:after="0" w:line="278" w:lineRule="auto"/>
        <w:tabs>
          <w:tab w:leader="none" w:pos="1688"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establish the form and terms of Securities of any series as permitted in Section 3.01,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w:t>
      </w:r>
    </w:p>
    <w:p>
      <w:pPr>
        <w:spacing w:after="0" w:line="17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Subject to the provisions of Section 14.03,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Any supplemental indenture authorized by the provisions of this Section 14.01 may be executed by the Company and the Trustee without the consent of the Holders of any of the Securities at the time Outstanding, notwithstanding any of the provisions of Section 14.02.</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14.02</w:t>
      </w:r>
      <w:r>
        <w:rPr>
          <w:sz w:val="20"/>
          <w:szCs w:val="20"/>
          <w:color w:val="auto"/>
        </w:rPr>
        <w:tab/>
      </w:r>
      <w:r>
        <w:rPr>
          <w:rFonts w:ascii="Arial" w:cs="Arial" w:eastAsia="Arial" w:hAnsi="Arial"/>
          <w:sz w:val="15"/>
          <w:szCs w:val="15"/>
          <w:u w:val="single" w:color="auto"/>
          <w:color w:val="auto"/>
        </w:rPr>
        <w:t>With Consent of Securityholders; Limitations</w:t>
      </w:r>
      <w:r>
        <w:rPr>
          <w:rFonts w:ascii="Arial" w:cs="Arial" w:eastAsia="Arial" w:hAnsi="Arial"/>
          <w:sz w:val="15"/>
          <w:szCs w:val="15"/>
          <w:color w:val="auto"/>
        </w:rPr>
        <w:t>.</w:t>
      </w:r>
    </w:p>
    <w:p>
      <w:pPr>
        <w:spacing w:after="0" w:line="221" w:lineRule="exact"/>
        <w:rPr>
          <w:sz w:val="20"/>
          <w:szCs w:val="20"/>
          <w:color w:val="auto"/>
        </w:rPr>
      </w:pPr>
    </w:p>
    <w:p>
      <w:pPr>
        <w:ind w:right="60" w:firstLine="1305"/>
        <w:spacing w:after="0" w:line="271" w:lineRule="auto"/>
        <w:tabs>
          <w:tab w:leader="none" w:pos="1679" w:val="left"/>
        </w:tabs>
        <w:numPr>
          <w:ilvl w:val="0"/>
          <w:numId w:val="89"/>
        </w:numPr>
        <w:rPr>
          <w:rFonts w:ascii="Arial" w:cs="Arial" w:eastAsia="Arial" w:hAnsi="Arial"/>
          <w:sz w:val="16"/>
          <w:szCs w:val="16"/>
          <w:color w:val="auto"/>
        </w:rPr>
      </w:pPr>
      <w:r>
        <w:rPr>
          <w:rFonts w:ascii="Arial" w:cs="Arial" w:eastAsia="Arial" w:hAnsi="Arial"/>
          <w:sz w:val="16"/>
          <w:szCs w:val="16"/>
          <w:color w:val="auto"/>
        </w:rPr>
        <w:t>With the consent of the Holders (evidenced as provided in Article VIII) of a majority in aggregate principal amount of the Outstanding Securities of each series affected by such supplemental indenture voting separately, the Company and the Trustee may, from time to time and at any time, enter into an indenture or indentures supplemental hereto for the purpose of adding any provisions to or changing in any manner or eliminating any provisions of this Indenture or of modifying in any manner the rights of the Holders of the Securities of such series to be affected; provided, however, that no such supplemental indenture shall, without the consent of the Holder of each Outstanding Security of each such series affected thereby,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68" w:name="page69"/>
    <w:bookmarkEnd w:id="68"/>
    <w:p>
      <w:pPr>
        <w:ind w:right="80" w:firstLine="1791"/>
        <w:spacing w:after="0" w:line="270" w:lineRule="auto"/>
        <w:tabs>
          <w:tab w:leader="none" w:pos="2098" w:val="left"/>
        </w:tabs>
        <w:numPr>
          <w:ilvl w:val="1"/>
          <w:numId w:val="90"/>
        </w:numPr>
        <w:rPr>
          <w:rFonts w:ascii="Arial" w:cs="Arial" w:eastAsia="Arial" w:hAnsi="Arial"/>
          <w:sz w:val="16"/>
          <w:szCs w:val="16"/>
          <w:color w:val="auto"/>
        </w:rPr>
      </w:pPr>
      <w:r>
        <w:rPr>
          <w:rFonts w:ascii="Arial" w:cs="Arial" w:eastAsia="Arial" w:hAnsi="Arial"/>
          <w:sz w:val="16"/>
          <w:szCs w:val="16"/>
          <w:color w:val="auto"/>
        </w:rPr>
        <w:t>extend the Stated Maturity of the principal of, or any installment of interest on, any Security, or reduce the principal amount thereof or the interest thereon or any premium payable upon redemption thereof, or extend the Stated Maturity of, or change the place of payment where, or the Currency in which the principal of and premium, if any, or interest on such Security is denominated or payable, or reduce the amount of the principal of an Original Issue Discount Security that would be due and payable upon a declaration of acceleration of the Maturity thereof pursuant to Section 7.02, or impair the right to institute suit for the enforcement of any payment on or after the Stated Maturity thereof (or, in the case of redemption, on or after the Redemption Date), or materially adversely affect the economic terms of any right to convert or exchange any Security as may be provided pursuant to Section 3.01; or</w:t>
      </w:r>
    </w:p>
    <w:p>
      <w:pPr>
        <w:spacing w:after="0" w:line="176" w:lineRule="exact"/>
        <w:rPr>
          <w:rFonts w:ascii="Arial" w:cs="Arial" w:eastAsia="Arial" w:hAnsi="Arial"/>
          <w:sz w:val="16"/>
          <w:szCs w:val="16"/>
          <w:color w:val="auto"/>
        </w:rPr>
      </w:pPr>
    </w:p>
    <w:p>
      <w:pPr>
        <w:ind w:right="200" w:firstLine="1791"/>
        <w:spacing w:after="0" w:line="278" w:lineRule="auto"/>
        <w:tabs>
          <w:tab w:leader="none" w:pos="2143" w:val="left"/>
        </w:tabs>
        <w:numPr>
          <w:ilvl w:val="1"/>
          <w:numId w:val="90"/>
        </w:numPr>
        <w:rPr>
          <w:rFonts w:ascii="Arial" w:cs="Arial" w:eastAsia="Arial" w:hAnsi="Arial"/>
          <w:sz w:val="16"/>
          <w:szCs w:val="16"/>
          <w:color w:val="auto"/>
        </w:rPr>
      </w:pPr>
      <w:r>
        <w:rPr>
          <w:rFonts w:ascii="Arial" w:cs="Arial" w:eastAsia="Arial" w:hAnsi="Arial"/>
          <w:sz w:val="16"/>
          <w:szCs w:val="16"/>
          <w:color w:val="auto"/>
        </w:rPr>
        <w:t>reduce the percentage in principal amount of the Outstanding Securities of any series, the consent of whose Holders is required for any supplemental indenture, or the consent of whose Holders is required for any waiver of compliance with certain provisions of this Indenture or certain Defaults hereunder and their consequences provided for in this Indenture; or</w:t>
      </w:r>
    </w:p>
    <w:p>
      <w:pPr>
        <w:spacing w:after="0" w:line="211" w:lineRule="exact"/>
        <w:rPr>
          <w:rFonts w:ascii="Arial" w:cs="Arial" w:eastAsia="Arial" w:hAnsi="Arial"/>
          <w:sz w:val="16"/>
          <w:szCs w:val="16"/>
          <w:color w:val="auto"/>
        </w:rPr>
      </w:pPr>
    </w:p>
    <w:p>
      <w:pPr>
        <w:jc w:val="both"/>
        <w:ind w:right="160" w:firstLine="1791"/>
        <w:spacing w:after="0" w:line="273" w:lineRule="auto"/>
        <w:tabs>
          <w:tab w:leader="none" w:pos="2201" w:val="left"/>
        </w:tabs>
        <w:numPr>
          <w:ilvl w:val="1"/>
          <w:numId w:val="90"/>
        </w:numPr>
        <w:rPr>
          <w:rFonts w:ascii="Arial" w:cs="Arial" w:eastAsia="Arial" w:hAnsi="Arial"/>
          <w:sz w:val="16"/>
          <w:szCs w:val="16"/>
          <w:color w:val="auto"/>
        </w:rPr>
      </w:pPr>
      <w:r>
        <w:rPr>
          <w:rFonts w:ascii="Arial" w:cs="Arial" w:eastAsia="Arial" w:hAnsi="Arial"/>
          <w:sz w:val="16"/>
          <w:szCs w:val="16"/>
          <w:color w:val="auto"/>
        </w:rPr>
        <w:t>modify any of the provisions of this Section, Section 7.06 or Section 6.06,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6.06, or the deletion of this proviso, in accordance with the requirements of Sections 11.06 and 14.01(f); or</w:t>
      </w:r>
    </w:p>
    <w:p>
      <w:pPr>
        <w:spacing w:after="0" w:line="175" w:lineRule="exact"/>
        <w:rPr>
          <w:rFonts w:ascii="Arial" w:cs="Arial" w:eastAsia="Arial" w:hAnsi="Arial"/>
          <w:sz w:val="16"/>
          <w:szCs w:val="16"/>
          <w:color w:val="auto"/>
        </w:rPr>
      </w:pPr>
    </w:p>
    <w:p>
      <w:pPr>
        <w:ind w:left="2180" w:hanging="389"/>
        <w:spacing w:after="0"/>
        <w:tabs>
          <w:tab w:leader="none" w:pos="21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modify, without the written consent of the Trustee, the rights, duties or immunities of the Trustee.</w:t>
      </w:r>
    </w:p>
    <w:p>
      <w:pPr>
        <w:spacing w:after="0" w:line="221" w:lineRule="exact"/>
        <w:rPr>
          <w:rFonts w:ascii="Arial" w:cs="Arial" w:eastAsia="Arial" w:hAnsi="Arial"/>
          <w:sz w:val="16"/>
          <w:szCs w:val="16"/>
          <w:color w:val="auto"/>
        </w:rPr>
      </w:pPr>
    </w:p>
    <w:p>
      <w:pPr>
        <w:ind w:right="80" w:firstLine="1305"/>
        <w:spacing w:after="0" w:line="278" w:lineRule="auto"/>
        <w:tabs>
          <w:tab w:leader="none" w:pos="1688"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supplemental indenture that changes or eliminates any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0" w:lineRule="exact"/>
        <w:rPr>
          <w:rFonts w:ascii="Arial" w:cs="Arial" w:eastAsia="Arial" w:hAnsi="Arial"/>
          <w:sz w:val="16"/>
          <w:szCs w:val="16"/>
          <w:color w:val="auto"/>
        </w:rPr>
      </w:pPr>
    </w:p>
    <w:p>
      <w:pPr>
        <w:ind w:right="100" w:firstLine="1305"/>
        <w:spacing w:after="0" w:line="293" w:lineRule="auto"/>
        <w:tabs>
          <w:tab w:leader="none" w:pos="1679" w:val="left"/>
        </w:tabs>
        <w:numPr>
          <w:ilvl w:val="0"/>
          <w:numId w:val="91"/>
        </w:numPr>
        <w:rPr>
          <w:rFonts w:ascii="Arial" w:cs="Arial" w:eastAsia="Arial" w:hAnsi="Arial"/>
          <w:sz w:val="16"/>
          <w:szCs w:val="16"/>
          <w:color w:val="auto"/>
        </w:rPr>
      </w:pPr>
      <w:r>
        <w:rPr>
          <w:rFonts w:ascii="Arial" w:cs="Arial" w:eastAsia="Arial" w:hAnsi="Arial"/>
          <w:sz w:val="16"/>
          <w:szCs w:val="16"/>
          <w:color w:val="auto"/>
        </w:rPr>
        <w:t>It shall not be necessary for the consent of the Securityholders under this Section 14.02 to approve the particular form of any proposed supplemental indenture, but it shall be sufficient if such consent shall approve the substance thereof.</w:t>
      </w:r>
    </w:p>
    <w:p>
      <w:pPr>
        <w:spacing w:after="0" w:line="158" w:lineRule="exact"/>
        <w:rPr>
          <w:rFonts w:ascii="Arial" w:cs="Arial" w:eastAsia="Arial" w:hAnsi="Arial"/>
          <w:sz w:val="16"/>
          <w:szCs w:val="16"/>
          <w:color w:val="auto"/>
        </w:rPr>
      </w:pPr>
    </w:p>
    <w:p>
      <w:pPr>
        <w:ind w:right="140" w:firstLine="1305"/>
        <w:spacing w:after="0" w:line="305" w:lineRule="auto"/>
        <w:tabs>
          <w:tab w:leader="none" w:pos="1688" w:val="left"/>
        </w:tabs>
        <w:numPr>
          <w:ilvl w:val="0"/>
          <w:numId w:val="91"/>
        </w:numPr>
        <w:rPr>
          <w:rFonts w:ascii="Arial" w:cs="Arial" w:eastAsia="Arial" w:hAnsi="Arial"/>
          <w:sz w:val="15"/>
          <w:szCs w:val="15"/>
          <w:color w:val="auto"/>
        </w:rPr>
      </w:pPr>
      <w:r>
        <w:rPr>
          <w:rFonts w:ascii="Arial" w:cs="Arial" w:eastAsia="Arial" w:hAnsi="Arial"/>
          <w:sz w:val="15"/>
          <w:szCs w:val="15"/>
          <w:color w:val="auto"/>
        </w:rPr>
        <w:t>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w:t>
      </w:r>
    </w:p>
    <w:p>
      <w:pPr>
        <w:spacing w:after="0" w:line="152" w:lineRule="exact"/>
        <w:rPr>
          <w:rFonts w:ascii="Arial" w:cs="Arial" w:eastAsia="Arial" w:hAnsi="Arial"/>
          <w:sz w:val="15"/>
          <w:szCs w:val="15"/>
          <w:color w:val="auto"/>
        </w:rPr>
      </w:pPr>
    </w:p>
    <w:p>
      <w:pPr>
        <w:ind w:right="160" w:firstLine="1305"/>
        <w:spacing w:after="0" w:line="273" w:lineRule="auto"/>
        <w:tabs>
          <w:tab w:leader="none" w:pos="1679" w:val="left"/>
        </w:tabs>
        <w:numPr>
          <w:ilvl w:val="0"/>
          <w:numId w:val="91"/>
        </w:numPr>
        <w:rPr>
          <w:rFonts w:ascii="Arial" w:cs="Arial" w:eastAsia="Arial" w:hAnsi="Arial"/>
          <w:sz w:val="16"/>
          <w:szCs w:val="16"/>
          <w:color w:val="auto"/>
        </w:rPr>
      </w:pPr>
      <w:r>
        <w:rPr>
          <w:rFonts w:ascii="Arial" w:cs="Arial" w:eastAsia="Arial" w:hAnsi="Arial"/>
          <w:sz w:val="16"/>
          <w:szCs w:val="16"/>
          <w:color w:val="auto"/>
        </w:rPr>
        <w:t>Promptly after the execution by the Company and the Trustee of any supplemental indenture pursuant to the provisions of this Section 14.02, the Company shall mail a notice, setting forth in general terms the substance of such supplemental indenture, to the Holders of Securities at their addresses as the same shall then appear in the Register of the Company. Any failure of the Company to mail such notice, or any defect therein, shall not, however, in any way impair or affect the validity of any such supplemental indenture.</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14.03</w:t>
      </w:r>
      <w:r>
        <w:rPr>
          <w:sz w:val="20"/>
          <w:szCs w:val="20"/>
          <w:color w:val="auto"/>
        </w:rPr>
        <w:tab/>
      </w:r>
      <w:r>
        <w:rPr>
          <w:rFonts w:ascii="Arial" w:cs="Arial" w:eastAsia="Arial" w:hAnsi="Arial"/>
          <w:sz w:val="14"/>
          <w:szCs w:val="14"/>
          <w:u w:val="single" w:color="auto"/>
          <w:color w:val="auto"/>
        </w:rPr>
        <w:t>Trustee Protected</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Upon the request of the Company, accompanied by the Officer’s Certificate and Opinion of Counsel required by Section 16.01 and evidence reasonably satisfactory to the Trustee of consent of the Holders if the supplemental indenture is to be executed pursuant to Section 14.02, the Trustee shall join with the Company in the execution of said supplemental indenture unless said supplemental indenture affects the Trustee’s own rights, duties or immunities under this Indenture or otherwise, in which case the Trustee may in its discretion, but shall not be obligated to, enter into said supplemental indenture. The Trustee shall be fully protected in relying upon such Officer’s Certificate and an Opinion of Counsel.</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14.04</w:t>
      </w:r>
      <w:r>
        <w:rPr>
          <w:sz w:val="20"/>
          <w:szCs w:val="20"/>
          <w:color w:val="auto"/>
        </w:rPr>
        <w:tab/>
      </w:r>
      <w:r>
        <w:rPr>
          <w:rFonts w:ascii="Arial" w:cs="Arial" w:eastAsia="Arial" w:hAnsi="Arial"/>
          <w:sz w:val="14"/>
          <w:szCs w:val="14"/>
          <w:u w:val="single" w:color="auto"/>
          <w:color w:val="auto"/>
        </w:rPr>
        <w:t>Effect of Execution of Supplemental Indenture</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Upon the execution of any supplemental indenture pursuant to the provisions of this Article XIV, this Indenture shall be deemed to be modified and amended in accordance therewith and, except as herein otherwise expressly provided, the respective rights, limitations of rights, obligations, duties and immunities under this Indenture of the Trustee, the Company and the Holders of all of the Securities or of the Securities of any series affected, as the case may be,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14.05</w:t>
      </w:r>
      <w:r>
        <w:rPr>
          <w:sz w:val="20"/>
          <w:szCs w:val="20"/>
          <w:color w:val="auto"/>
        </w:rPr>
        <w:tab/>
      </w:r>
      <w:r>
        <w:rPr>
          <w:rFonts w:ascii="Arial" w:cs="Arial" w:eastAsia="Arial" w:hAnsi="Arial"/>
          <w:sz w:val="14"/>
          <w:szCs w:val="14"/>
          <w:u w:val="single" w:color="auto"/>
          <w:color w:val="auto"/>
        </w:rPr>
        <w:t>Notation on or Exchange of Securities</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the provisions of this Article may bear a notation in the form approved by the Trustee as to any matter provided for in such supplemental indenture. If the Company or the Trustee shall so determine, new Securities so modified as to conform, in the opinion of the Trustee and the Board of Directors of the Company, to any modification of this Indenture contained in any such supplemental indenture may be prepared and executed by the Company and authenticated and delivered by the Trustee in exchange for the Securities then Outstanding in equal aggregate principal amounts, and such exchange shall be made without cost to the Holders of the Securities.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69" w:name="page70"/>
    <w:bookmarkEnd w:id="69"/>
    <w:p>
      <w:pPr>
        <w:spacing w:after="0"/>
        <w:tabs>
          <w:tab w:leader="none" w:pos="1120" w:val="left"/>
        </w:tabs>
        <w:rPr>
          <w:sz w:val="20"/>
          <w:szCs w:val="20"/>
          <w:color w:val="auto"/>
        </w:rPr>
      </w:pPr>
      <w:r>
        <w:rPr>
          <w:rFonts w:ascii="Arial" w:cs="Arial" w:eastAsia="Arial" w:hAnsi="Arial"/>
          <w:sz w:val="16"/>
          <w:szCs w:val="16"/>
          <w:color w:val="auto"/>
        </w:rPr>
        <w:t>Section 14.06</w:t>
      </w:r>
      <w:r>
        <w:rPr>
          <w:sz w:val="20"/>
          <w:szCs w:val="20"/>
          <w:color w:val="auto"/>
        </w:rPr>
        <w:tab/>
      </w:r>
      <w:r>
        <w:rPr>
          <w:rFonts w:ascii="Arial" w:cs="Arial" w:eastAsia="Arial" w:hAnsi="Arial"/>
          <w:sz w:val="15"/>
          <w:szCs w:val="15"/>
          <w:u w:val="single" w:color="auto"/>
          <w:color w:val="auto"/>
        </w:rPr>
        <w:t>Conformity with TIA</w:t>
      </w:r>
      <w:r>
        <w:rPr>
          <w:rFonts w:ascii="Arial" w:cs="Arial" w:eastAsia="Arial" w:hAnsi="Arial"/>
          <w:sz w:val="15"/>
          <w:szCs w:val="15"/>
          <w:color w:val="auto"/>
        </w:rPr>
        <w:t>.</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Every supplemental indenture executed pursuant to the provisions of this Article shall conform to the requirements of the Trust Indenture Act as then in effect.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XV</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SUBORDINATION OF SECURITIES</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15.01</w:t>
      </w:r>
      <w:r>
        <w:rPr>
          <w:sz w:val="20"/>
          <w:szCs w:val="20"/>
          <w:color w:val="auto"/>
        </w:rPr>
        <w:tab/>
      </w:r>
      <w:r>
        <w:rPr>
          <w:rFonts w:ascii="Arial" w:cs="Arial" w:eastAsia="Arial" w:hAnsi="Arial"/>
          <w:sz w:val="14"/>
          <w:szCs w:val="14"/>
          <w:u w:val="single" w:color="auto"/>
          <w:color w:val="auto"/>
        </w:rPr>
        <w:t>Agreement to Subordinate</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5"/>
          <w:szCs w:val="15"/>
          <w:color w:val="auto"/>
        </w:rPr>
        <w:t>In the event a series of Securities is designated as subordinated pursuant to Section 3.01, and except as otherwise provided in a Company Order or in one or more indentures supplemental hereto, the Company, for itself, its successors and assigns, covenants and agrees, and each Holder of Securities of such series by his, her or its acceptance thereof, likewise covenants and agrees, that the payment of the principal of (and premium, if any) and interest, if any, on each and all of the Securities of such series is hereby expressly subordinated, to the extent and in the manner hereinafter set forth, in right of payment to the prior payment in full of all Senior Indebtedness. In the event a series of Securities is not designated as subordinated pursuant to Section 3.01(s), this Article XV shall have no effect upon the Securities.</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15.02</w:t>
      </w:r>
      <w:r>
        <w:rPr>
          <w:sz w:val="20"/>
          <w:szCs w:val="20"/>
          <w:color w:val="auto"/>
        </w:rPr>
        <w:tab/>
      </w:r>
      <w:r>
        <w:rPr>
          <w:rFonts w:ascii="Arial" w:cs="Arial" w:eastAsia="Arial" w:hAnsi="Arial"/>
          <w:sz w:val="14"/>
          <w:szCs w:val="14"/>
          <w:u w:val="single" w:color="auto"/>
          <w:color w:val="auto"/>
        </w:rPr>
        <w:t>Distribution on Dissolution, Liquidation and Reorganization; Subrogation of Securities</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5"/>
          <w:szCs w:val="15"/>
          <w:color w:val="auto"/>
        </w:rPr>
        <w:t>Subject to Section 15.01, 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w:t>
      </w:r>
    </w:p>
    <w:p>
      <w:pPr>
        <w:spacing w:after="0" w:line="159" w:lineRule="exact"/>
        <w:rPr>
          <w:sz w:val="20"/>
          <w:szCs w:val="20"/>
          <w:color w:val="auto"/>
        </w:rPr>
      </w:pPr>
    </w:p>
    <w:p>
      <w:pPr>
        <w:ind w:right="280" w:firstLine="1305"/>
        <w:spacing w:after="0" w:line="278" w:lineRule="auto"/>
        <w:tabs>
          <w:tab w:leader="none" w:pos="1679"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holders of all Senior Indebtedness shall be entitled to receive payment in full of the principal thereof (and premium, if any) and interest due thereon before the Holders of the Securities are entitled to receive any payment upon the principal (or premium, if any) or interest, if any, on Indebtedness evidenced by the Securities; and</w:t>
      </w:r>
    </w:p>
    <w:p>
      <w:pPr>
        <w:spacing w:after="0" w:line="170" w:lineRule="exact"/>
        <w:rPr>
          <w:rFonts w:ascii="Arial" w:cs="Arial" w:eastAsia="Arial" w:hAnsi="Arial"/>
          <w:sz w:val="16"/>
          <w:szCs w:val="16"/>
          <w:color w:val="auto"/>
        </w:rPr>
      </w:pPr>
    </w:p>
    <w:p>
      <w:pPr>
        <w:ind w:right="40" w:firstLine="1305"/>
        <w:spacing w:after="0" w:line="269" w:lineRule="auto"/>
        <w:tabs>
          <w:tab w:leader="none" w:pos="1688"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payment or distribution of assets of the Company of any kind or character, whether in cash, property or securities, to which the Holders of the Securities or the Trustee would be entitled except for the provisions of this Article XV shall be paid by the liquidation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w:t>
      </w:r>
    </w:p>
    <w:p>
      <w:pPr>
        <w:spacing w:after="0" w:line="177" w:lineRule="exact"/>
        <w:rPr>
          <w:rFonts w:ascii="Arial" w:cs="Arial" w:eastAsia="Arial" w:hAnsi="Arial"/>
          <w:sz w:val="16"/>
          <w:szCs w:val="16"/>
          <w:color w:val="auto"/>
        </w:rPr>
      </w:pPr>
    </w:p>
    <w:p>
      <w:pPr>
        <w:ind w:right="40" w:firstLine="1305"/>
        <w:spacing w:after="0" w:line="291" w:lineRule="auto"/>
        <w:tabs>
          <w:tab w:leader="none" w:pos="1679" w:val="left"/>
        </w:tabs>
        <w:numPr>
          <w:ilvl w:val="0"/>
          <w:numId w:val="92"/>
        </w:numPr>
        <w:rPr>
          <w:rFonts w:ascii="Arial" w:cs="Arial" w:eastAsia="Arial" w:hAnsi="Arial"/>
          <w:sz w:val="15"/>
          <w:szCs w:val="15"/>
          <w:color w:val="auto"/>
        </w:rPr>
      </w:pPr>
      <w:r>
        <w:rPr>
          <w:rFonts w:ascii="Arial" w:cs="Arial" w:eastAsia="Arial" w:hAnsi="Arial"/>
          <w:sz w:val="15"/>
          <w:szCs w:val="15"/>
          <w:color w:val="auto"/>
        </w:rPr>
        <w:t>in the event that, notwithstanding the foregoing, any payment or distribution of assets of the Company of any kind or character, whether in cash, property or securities prohibited by the foregoing, shall be received by the Trustee or the Holders of the Securities before all Senior Indebtedness is paid in full, such payment or distribution shall be paid over, upon written notice to a Responsible Officer of the Trustee, to the holder of such Senior Indebtedness or his, her or its representative or representatives or to the trustee or trustees under any indenture under which any instrument evidencing any of such Senior Indebtedness may have been issued, ratably as aforesaid, as calculated by the Company, for application to payment of all Senior Indebtedness remaining unpaid until all such Senior Indebtedness shall have been paid in full, after giving effect to any concurrent payment or distribution to the holders of such Senior Indebtedness.</w:t>
      </w:r>
    </w:p>
    <w:p>
      <w:pPr>
        <w:spacing w:after="0" w:line="163" w:lineRule="exact"/>
        <w:rPr>
          <w:rFonts w:ascii="Arial" w:cs="Arial" w:eastAsia="Arial" w:hAnsi="Arial"/>
          <w:sz w:val="15"/>
          <w:szCs w:val="15"/>
          <w:color w:val="auto"/>
        </w:rPr>
      </w:pPr>
    </w:p>
    <w:p>
      <w:pPr>
        <w:ind w:right="20" w:firstLine="1305"/>
        <w:spacing w:after="0" w:line="306" w:lineRule="auto"/>
        <w:tabs>
          <w:tab w:leader="none" w:pos="1688" w:val="left"/>
        </w:tabs>
        <w:numPr>
          <w:ilvl w:val="0"/>
          <w:numId w:val="92"/>
        </w:numPr>
        <w:rPr>
          <w:rFonts w:ascii="Arial" w:cs="Arial" w:eastAsia="Arial" w:hAnsi="Arial"/>
          <w:sz w:val="14"/>
          <w:szCs w:val="14"/>
          <w:color w:val="auto"/>
        </w:rPr>
      </w:pPr>
      <w:r>
        <w:rPr>
          <w:rFonts w:ascii="Arial" w:cs="Arial" w:eastAsia="Arial" w:hAnsi="Arial"/>
          <w:sz w:val="14"/>
          <w:szCs w:val="14"/>
          <w:color w:val="auto"/>
        </w:rPr>
        <w:t>Subject to the payment in full of all Senior Indebtedness, the Holders of the Securities shall be subrogated to the rights of the holders of Senior Indebtedness (to the extent that distributions otherwise payable to such holder have been applied to the payment of Senior Indebtedness) to receive payments or distributions of cash, property or securities of the Company applicable to Senior Indebtedness until the principal of (and premium, if any) and interest, if any, on the Securities shall be paid in full and no such payments or distributions to the Holders of the Securities of cash, property or securities otherwise distributable to the holders of Senior Indebtedness shall, as between the Company, its creditors other than the holders of Senior Indebtedness, and the Holders of the Securities be deemed to be a payment by the Company to or on account of the Securities. It is understood that the provisions of this Article XV are and are intended solely for the purpose of defining the relative rights of the Holders of the Securities, on the one hand, and the holders of the Senior Indebtedness, on the other hand. Nothing contained in this Article XV or elsewhere in this Indenture or in the Securities is intended to or shall impair, as between the Company, its creditors other than the holders of Senior Indebtedness, and the Holders of the Securities, the obligation of the Company, which is unconditional and absolute, to pay to the Holders of the Securities the principal of (and premium, if any) and interest, if any, on the Securities as and when the same shall become due and payable in accordance with their terms, or to affect the relative rights of the Holders of the Securities and creditors of the Company other than the holders of Senior Indebtedness, nor shall anything herein or in the Securities prevent the Trustee or the Holder of any Security from exercising all remedies otherwise permitted by applicable law upon default under this Indenture, subject to the rights, if any, under this Article XV of the holders of Senior Indebtedness in respect of cash, property or securities of the Company received upon the exercise of any such remedy. Upon any payment or distribution of assets of the Company referred to in this Article XV, the Trustee, subject to the provisions of Section 15.05, shall be entitled to conclusively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thereof and all other facts pertinent thereto or to this Article XV.</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70" w:name="page71"/>
    <w:bookmarkEnd w:id="70"/>
    <w:p>
      <w:pPr>
        <w:spacing w:after="0"/>
        <w:tabs>
          <w:tab w:leader="none" w:pos="1120" w:val="left"/>
        </w:tabs>
        <w:rPr>
          <w:sz w:val="20"/>
          <w:szCs w:val="20"/>
          <w:color w:val="auto"/>
        </w:rPr>
      </w:pPr>
      <w:r>
        <w:rPr>
          <w:rFonts w:ascii="Arial" w:cs="Arial" w:eastAsia="Arial" w:hAnsi="Arial"/>
          <w:sz w:val="16"/>
          <w:szCs w:val="16"/>
          <w:color w:val="auto"/>
        </w:rPr>
        <w:t>Section 15.03</w:t>
      </w:r>
      <w:r>
        <w:rPr>
          <w:sz w:val="20"/>
          <w:szCs w:val="20"/>
          <w:color w:val="auto"/>
        </w:rPr>
        <w:tab/>
      </w:r>
      <w:r>
        <w:rPr>
          <w:rFonts w:ascii="Arial" w:cs="Arial" w:eastAsia="Arial" w:hAnsi="Arial"/>
          <w:sz w:val="14"/>
          <w:szCs w:val="14"/>
          <w:u w:val="single" w:color="auto"/>
          <w:color w:val="auto"/>
        </w:rPr>
        <w:t>No Payment on Securities in Event of Default on Senior Indebtedness</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5"/>
          <w:szCs w:val="15"/>
          <w:color w:val="auto"/>
        </w:rPr>
        <w:t>Subject to Section 15.01, no payment by the Company on account of principal (or premium, if any), sinking funds or interest, if any, on the Securities shall be made at anytime if: (i) a default on Senior Indebtedness exists that permits the holders of such Senior Indebtedness to accelerate its maturity and (ii) the default is the subject of judicial proceedings or the Company has received notice of such default. The Company may resume payments on the Securities when full payment of amounts then due for principal (premium, if any), sinking funds and interest on Senior Indebtedness has been made or duly provided for in money or money’s worth.</w:t>
      </w:r>
    </w:p>
    <w:p>
      <w:pPr>
        <w:spacing w:after="0" w:line="15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the event that, notwithstanding the foregoing, any payment shall be received by the Trustee when such payment is prohibited by the preceding paragraph of this Section 15.03, such payment shall be held in trust for the benefit of, and shall be paid over or delivered to, the holders of such Senior Indebtedness or their respective representatives, or to the trustee or trustees under any indenture pursuant to which any of such Senior Indebtedness may have been issued, as their respective interests may appear, as calculated by the Company, but only to the extent that the holders of such Senior Indebtedness (or their representative or representatives or a trustee) notify the Trustee in writing within 90 days of such payment of the amounts then due and owing on such Senior Indebtedness and only the amounts specified in such notice to the Trustee shall be paid to the holders of such Senior Indebtedness.</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15.04</w:t>
      </w:r>
      <w:r>
        <w:rPr>
          <w:sz w:val="20"/>
          <w:szCs w:val="20"/>
          <w:color w:val="auto"/>
        </w:rPr>
        <w:tab/>
      </w:r>
      <w:r>
        <w:rPr>
          <w:rFonts w:ascii="Arial" w:cs="Arial" w:eastAsia="Arial" w:hAnsi="Arial"/>
          <w:sz w:val="14"/>
          <w:szCs w:val="14"/>
          <w:u w:val="single" w:color="auto"/>
          <w:color w:val="auto"/>
        </w:rPr>
        <w:t>Payments on Securities Permitted</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Subject to Section 15.01, nothing contained in this Indenture or in any of the Securities shall (a) affect the obligation of the Company to make, or prevent the Company from making, at any time except as provided in Sections 15.02 and 15.03, payments of principal of (or premium, if any) or interest, if any, on the Securities or</w:t>
      </w:r>
    </w:p>
    <w:p>
      <w:pPr>
        <w:spacing w:after="0" w:line="1" w:lineRule="exact"/>
        <w:rPr>
          <w:sz w:val="20"/>
          <w:szCs w:val="20"/>
          <w:color w:val="auto"/>
        </w:rPr>
      </w:pPr>
    </w:p>
    <w:p>
      <w:pPr>
        <w:jc w:val="both"/>
        <w:ind w:firstLine="8"/>
        <w:spacing w:after="0" w:line="295" w:lineRule="auto"/>
        <w:tabs>
          <w:tab w:leader="none" w:pos="245" w:val="left"/>
        </w:tabs>
        <w:numPr>
          <w:ilvl w:val="0"/>
          <w:numId w:val="93"/>
        </w:numPr>
        <w:rPr>
          <w:rFonts w:ascii="Arial" w:cs="Arial" w:eastAsia="Arial" w:hAnsi="Arial"/>
          <w:sz w:val="15"/>
          <w:szCs w:val="15"/>
          <w:color w:val="auto"/>
        </w:rPr>
      </w:pPr>
      <w:r>
        <w:rPr>
          <w:rFonts w:ascii="Arial" w:cs="Arial" w:eastAsia="Arial" w:hAnsi="Arial"/>
          <w:sz w:val="15"/>
          <w:szCs w:val="15"/>
          <w:color w:val="auto"/>
        </w:rPr>
        <w:t>prevent the application by the Trustee of any moneys or assets deposited with it hereunder to the payment of or on account of the principal of (or premium, if any) or interest, if any, on the Securities, unless a Responsible Officer of the Trustee shall have received at its Corporate Trust Office written notice of any fact prohibiting the making of such payment from the Company or from the holder of any Senior Indebtedness or from the trustee for any such holder, together with proof satisfactory to the Trustee of such holding of Senior Indebtedness or of the authority of such trustee more than two Business Days prior to the date fixed for such payment.</w:t>
      </w:r>
    </w:p>
    <w:p>
      <w:pPr>
        <w:spacing w:after="0" w:line="16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15.05</w:t>
      </w:r>
      <w:r>
        <w:rPr>
          <w:sz w:val="20"/>
          <w:szCs w:val="20"/>
          <w:color w:val="auto"/>
        </w:rPr>
        <w:tab/>
      </w:r>
      <w:r>
        <w:rPr>
          <w:rFonts w:ascii="Arial" w:cs="Arial" w:eastAsia="Arial" w:hAnsi="Arial"/>
          <w:sz w:val="14"/>
          <w:szCs w:val="14"/>
          <w:u w:val="single" w:color="auto"/>
          <w:color w:val="auto"/>
        </w:rPr>
        <w:t>Authorization of Securityholders to Trustee to Effect Subordination</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5"/>
          <w:szCs w:val="15"/>
          <w:color w:val="auto"/>
        </w:rPr>
        <w:t>Subject to Section 15.01, each Holder of Securities by his acceptance thereof authorizes and directs the Trustee on his, her or its behalf to take such action as may be necessary or appropriate to effectuate the subordination as provided in this Article XV and appoints the Trustee his attorney-in-fact for any and all such purposes.</w:t>
      </w:r>
    </w:p>
    <w:p>
      <w:pPr>
        <w:spacing w:after="0" w:line="135"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15.06</w:t>
      </w:r>
      <w:r>
        <w:rPr>
          <w:sz w:val="20"/>
          <w:szCs w:val="20"/>
          <w:color w:val="auto"/>
        </w:rPr>
        <w:tab/>
      </w:r>
      <w:r>
        <w:rPr>
          <w:rFonts w:ascii="Arial" w:cs="Arial" w:eastAsia="Arial" w:hAnsi="Arial"/>
          <w:sz w:val="14"/>
          <w:szCs w:val="14"/>
          <w:u w:val="single" w:color="auto"/>
          <w:color w:val="auto"/>
        </w:rPr>
        <w:t>Notices to Trustee</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4"/>
          <w:szCs w:val="14"/>
          <w:color w:val="auto"/>
        </w:rPr>
        <w:t>The Company shall give prompt written notice to a Responsible Officer of the Trustee of any fact known to the Company that would prohibit the making of any payment of monies or assets to or by the Trustee in respect of the Securities of any series pursuant to the provisions of this Article XV. Subject to Section 15.01, notwithstanding the provisions of this Article XV or any other provisions of this Indenture, neither the Trustee nor any Paying Agent (other than the Company) shall be charged with knowledge of the existence of any Senior Indebtedness or of any fact which would prohibit the making of any payment of moneys or assets to or by the Trustee or such Paying Agent, unless and until a Responsible Officer of the Trustee or such Paying Agent shall have received (in the case of a Responsible Officer of the Trustee, at the Corporate Trust Office of the Trustee) written notice thereof from the Company or from the holder of any Senior Indebtedness or from the trustee for any such holder, together with proof satisfactory to the Trustee of such holding of Senior Indebtedness or of the authority of such trustee and, prior to the receipt of any such written notice, the Trustee shall be entitled in all respects conclusively to presume that no such facts exist; provided, however, that if at least two Business Days prior to the date upon which by the terms hereof any such moneys or assets may become payable for any purpose (including, without limitation, the payment of either the principal (or premium, if any) or interest, if any, on any Security) a Responsible Officer of the Trustee shall not have received with respect to such moneys or assets the notice provided for in this Section 15.06, then, anything herein contained to the contrary notwithstanding, the Trustee shall have full power and authority to receive such moneys or assets and to apply the same to the purpose for which they were received, and shall not be affected by any notice to the contrary which may be received by it within two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XV,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XV and, if such evidence is not furnished, the Trustee may defer any payment to such Person pending judicial determination as to the right of such Person to receive such payment.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71" w:name="page72"/>
    <w:bookmarkEnd w:id="71"/>
    <w:p>
      <w:pPr>
        <w:spacing w:after="0"/>
        <w:tabs>
          <w:tab w:leader="none" w:pos="1120" w:val="left"/>
        </w:tabs>
        <w:rPr>
          <w:sz w:val="20"/>
          <w:szCs w:val="20"/>
          <w:color w:val="auto"/>
        </w:rPr>
      </w:pPr>
      <w:r>
        <w:rPr>
          <w:rFonts w:ascii="Arial" w:cs="Arial" w:eastAsia="Arial" w:hAnsi="Arial"/>
          <w:sz w:val="16"/>
          <w:szCs w:val="16"/>
          <w:color w:val="auto"/>
        </w:rPr>
        <w:t>Section 15.07</w:t>
      </w:r>
      <w:r>
        <w:rPr>
          <w:sz w:val="20"/>
          <w:szCs w:val="20"/>
          <w:color w:val="auto"/>
        </w:rPr>
        <w:tab/>
      </w:r>
      <w:r>
        <w:rPr>
          <w:rFonts w:ascii="Arial" w:cs="Arial" w:eastAsia="Arial" w:hAnsi="Arial"/>
          <w:sz w:val="14"/>
          <w:szCs w:val="14"/>
          <w:u w:val="single" w:color="auto"/>
          <w:color w:val="auto"/>
        </w:rPr>
        <w:t>Trustee as Holder of Senior Indebtedness</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5"/>
          <w:szCs w:val="15"/>
          <w:color w:val="auto"/>
        </w:rPr>
        <w:t>Subject to Section 15.01, the Trustee in its individual capacity shall be entitled to all the rights set forth in this Article XV in respect of any Senior Indebtedness at any time held by it to the same extent as any other holder of Senior Indebtedness and nothing in this Indenture shall be construed to deprive the Trustee of any of its rights as such holder. Nothing in this Article XV shall apply to claims of, or payments to, the Trustee under or pursuant to Sections 7.05 or 11.01.</w:t>
      </w:r>
    </w:p>
    <w:p>
      <w:pPr>
        <w:spacing w:after="0" w:line="153"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15.08</w:t>
      </w:r>
      <w:r>
        <w:rPr>
          <w:sz w:val="20"/>
          <w:szCs w:val="20"/>
          <w:color w:val="auto"/>
        </w:rPr>
        <w:tab/>
      </w:r>
      <w:r>
        <w:rPr>
          <w:rFonts w:ascii="Arial" w:cs="Arial" w:eastAsia="Arial" w:hAnsi="Arial"/>
          <w:sz w:val="14"/>
          <w:szCs w:val="14"/>
          <w:u w:val="single" w:color="auto"/>
          <w:color w:val="auto"/>
        </w:rPr>
        <w:t>Modifications of Terms of Senior Indebtedness</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5"/>
          <w:szCs w:val="15"/>
          <w:color w:val="auto"/>
        </w:rPr>
        <w:t>Subject to Section 15.01, 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Securities or the Trustee. 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XV or of the Securities relating to the subordination thereof.</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15.09</w:t>
      </w:r>
      <w:r>
        <w:rPr>
          <w:sz w:val="20"/>
          <w:szCs w:val="20"/>
          <w:color w:val="auto"/>
        </w:rPr>
        <w:tab/>
      </w:r>
      <w:r>
        <w:rPr>
          <w:rFonts w:ascii="Arial" w:cs="Arial" w:eastAsia="Arial" w:hAnsi="Arial"/>
          <w:sz w:val="15"/>
          <w:szCs w:val="15"/>
          <w:u w:val="single" w:color="auto"/>
          <w:color w:val="auto"/>
        </w:rPr>
        <w:t>Reliance on Judicial Order or Certificate of Liquidating Agent</w:t>
      </w:r>
      <w:r>
        <w:rPr>
          <w:rFonts w:ascii="Arial" w:cs="Arial" w:eastAsia="Arial" w:hAnsi="Arial"/>
          <w:sz w:val="15"/>
          <w:szCs w:val="15"/>
          <w:color w:val="auto"/>
        </w:rPr>
        <w:t>.</w:t>
      </w:r>
    </w:p>
    <w:p>
      <w:pPr>
        <w:spacing w:after="0" w:line="2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5"/>
          <w:szCs w:val="15"/>
          <w:color w:val="auto"/>
        </w:rPr>
        <w:t>Subject to Section 15.01, upon any payment or distribution of assets of the Company referred to in this Article XV, the Trustee and the Holders of the Securities shall be entitled to conclusively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XV.</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15.10</w:t>
      </w:r>
      <w:r>
        <w:rPr>
          <w:sz w:val="20"/>
          <w:szCs w:val="20"/>
          <w:color w:val="auto"/>
        </w:rPr>
        <w:tab/>
      </w:r>
      <w:r>
        <w:rPr>
          <w:rFonts w:ascii="Arial" w:cs="Arial" w:eastAsia="Arial" w:hAnsi="Arial"/>
          <w:sz w:val="14"/>
          <w:szCs w:val="14"/>
          <w:u w:val="single" w:color="auto"/>
          <w:color w:val="auto"/>
        </w:rPr>
        <w:t>Satisfaction and Discharge; Defeasance and Covenant Defeasance</w:t>
      </w:r>
      <w:r>
        <w:rPr>
          <w:rFonts w:ascii="Arial" w:cs="Arial" w:eastAsia="Arial" w:hAnsi="Arial"/>
          <w:sz w:val="14"/>
          <w:szCs w:val="14"/>
          <w:color w:val="auto"/>
        </w:rPr>
        <w:t>.</w:t>
      </w:r>
    </w:p>
    <w:p>
      <w:pPr>
        <w:spacing w:after="0" w:line="221"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Subject to Section 15.01, amounts and U.S. Government Obligations deposited in trust with the Trustee pursuant to and in accordance with Article XII and not, at the time of such deposit, prohibited to be deposited under Sections 15.02 or 15.03 shall not be subject to this Article XV.</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15.11</w:t>
      </w:r>
      <w:r>
        <w:rPr>
          <w:sz w:val="20"/>
          <w:szCs w:val="20"/>
          <w:color w:val="auto"/>
        </w:rPr>
        <w:tab/>
      </w:r>
      <w:r>
        <w:rPr>
          <w:rFonts w:ascii="Arial" w:cs="Arial" w:eastAsia="Arial" w:hAnsi="Arial"/>
          <w:sz w:val="14"/>
          <w:szCs w:val="14"/>
          <w:u w:val="single" w:color="auto"/>
          <w:color w:val="auto"/>
        </w:rPr>
        <w:t>Trustee Not Fiduciary for Holders of Senior Indebtedness</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With respect to the holders of Senior Indebtedness, the Trustee undertakes to perform or observe only such of its covenants and obligations as are specifically set forth in this Article XV, and no implied covenants or obligations with respect to the holders of Senior Indebtedness shall be read into this Indenture against the Trustee. The Trustee shall not be deemed to owe any fiduciary duty to the holders of Senior Indebtedness. The Trustee shall not be liable to any such holder if it shall pay over or distribute to or on behalf of Holders of Securities or the Company, or any other Person, moneys or assets to which any holder of Senior Indebtedness shall be entitled by virtue of this Article XV or otherwise.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XVI</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MISCELLANEOUS PROVISIONS</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16.01</w:t>
      </w:r>
      <w:r>
        <w:rPr>
          <w:sz w:val="20"/>
          <w:szCs w:val="20"/>
          <w:color w:val="auto"/>
        </w:rPr>
        <w:tab/>
      </w:r>
      <w:r>
        <w:rPr>
          <w:rFonts w:ascii="Arial" w:cs="Arial" w:eastAsia="Arial" w:hAnsi="Arial"/>
          <w:sz w:val="14"/>
          <w:szCs w:val="14"/>
          <w:u w:val="single" w:color="auto"/>
          <w:color w:val="auto"/>
        </w:rPr>
        <w:t>Certificates and Opinions as to Conditions Precedent</w:t>
      </w:r>
      <w:r>
        <w:rPr>
          <w:rFonts w:ascii="Arial" w:cs="Arial" w:eastAsia="Arial" w:hAnsi="Arial"/>
          <w:sz w:val="14"/>
          <w:szCs w:val="14"/>
          <w:color w:val="auto"/>
        </w:rPr>
        <w:t>.</w:t>
      </w:r>
    </w:p>
    <w:p>
      <w:pPr>
        <w:spacing w:after="0" w:line="221" w:lineRule="exact"/>
        <w:rPr>
          <w:sz w:val="20"/>
          <w:szCs w:val="20"/>
          <w:color w:val="auto"/>
        </w:rPr>
      </w:pPr>
    </w:p>
    <w:p>
      <w:pPr>
        <w:ind w:right="180" w:firstLine="1305"/>
        <w:spacing w:after="0" w:line="293" w:lineRule="auto"/>
        <w:tabs>
          <w:tab w:leader="none" w:pos="1679" w:val="left"/>
        </w:tabs>
        <w:numPr>
          <w:ilvl w:val="0"/>
          <w:numId w:val="94"/>
        </w:numPr>
        <w:rPr>
          <w:rFonts w:ascii="Arial" w:cs="Arial" w:eastAsia="Arial" w:hAnsi="Arial"/>
          <w:sz w:val="15"/>
          <w:szCs w:val="15"/>
          <w:color w:val="auto"/>
        </w:rPr>
      </w:pPr>
      <w:r>
        <w:rPr>
          <w:rFonts w:ascii="Arial" w:cs="Arial" w:eastAsia="Arial" w:hAnsi="Arial"/>
          <w:sz w:val="15"/>
          <w:szCs w:val="15"/>
          <w:color w:val="auto"/>
        </w:rPr>
        <w:t>Upon any request or application by the Company to the Trustee to take any action under any of the provisions of this Indenture, the Company shall furnish to the Trustee an Officer’s Certificate stating that all conditions precedent, if any, provided for in this Indenture (including any covenant compliance with which constitutes a condition precedent)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 is specifically required by any provision of this Indenture relating to such particular application or demand, no additional certificate or opinion need be furnished.</w:t>
      </w:r>
    </w:p>
    <w:p>
      <w:pPr>
        <w:spacing w:after="0" w:line="162" w:lineRule="exact"/>
        <w:rPr>
          <w:rFonts w:ascii="Arial" w:cs="Arial" w:eastAsia="Arial" w:hAnsi="Arial"/>
          <w:sz w:val="15"/>
          <w:szCs w:val="15"/>
          <w:color w:val="auto"/>
        </w:rPr>
      </w:pPr>
    </w:p>
    <w:p>
      <w:pPr>
        <w:ind w:right="160" w:firstLine="1305"/>
        <w:spacing w:after="0" w:line="291" w:lineRule="auto"/>
        <w:tabs>
          <w:tab w:leader="none" w:pos="1688" w:val="left"/>
        </w:tabs>
        <w:numPr>
          <w:ilvl w:val="0"/>
          <w:numId w:val="94"/>
        </w:numPr>
        <w:rPr>
          <w:rFonts w:ascii="Arial" w:cs="Arial" w:eastAsia="Arial" w:hAnsi="Arial"/>
          <w:sz w:val="15"/>
          <w:szCs w:val="15"/>
          <w:color w:val="auto"/>
        </w:rPr>
      </w:pPr>
      <w:r>
        <w:rPr>
          <w:rFonts w:ascii="Arial" w:cs="Arial" w:eastAsia="Arial" w:hAnsi="Arial"/>
          <w:sz w:val="15"/>
          <w:szCs w:val="15"/>
          <w:color w:val="auto"/>
        </w:rPr>
        <w:t>Each certificate or opinion provided for in this Indenture and delivered to the Trustee with respect to compliance with a condition or covenant provided for in this Indenture (other than the certificates provided pursuant to Section 6.05 of this Indenture) shall include (i) a statement that the Person signing such certificate or opinion has read such covenant or condition and the definitions herein related thereto; (ii) a brief statement as to the nature and scope of the examination or investigation upon which the statements or opinions contained in such certificate or opinion are based; (iii) a statement that, in the view or opinion of such Person, he or she has made such examination or investigation as is necessary to enable such Person to express an informed view or opinion as to whether or not such covenant or condition has been complied with; and (iv) a statement as to whether or not, in the view or opinion of such Person, such condition or covenant has been complied with.</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72" w:name="page73"/>
    <w:bookmarkEnd w:id="72"/>
    <w:p>
      <w:pPr>
        <w:ind w:right="40" w:firstLine="1305"/>
        <w:spacing w:after="0" w:line="270" w:lineRule="auto"/>
        <w:tabs>
          <w:tab w:leader="none" w:pos="1679"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certificate, statement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statement or opinion is based are erroneous. Any certificate, statement or opinion of counsel may be based, insofar as it relates to factual matters, upon a certificate, statement or opinion of, or representations by, an officer or officers of the Company stating that the information with respect to such factual matters is in the possession of the Company, unless such counsel knows, or in the exercise of reasonable care should know, that the certificate, statement or opinion or representations with respect to such matters are erroneous.</w:t>
      </w:r>
    </w:p>
    <w:p>
      <w:pPr>
        <w:spacing w:after="0" w:line="176" w:lineRule="exact"/>
        <w:rPr>
          <w:rFonts w:ascii="Arial" w:cs="Arial" w:eastAsia="Arial" w:hAnsi="Arial"/>
          <w:sz w:val="16"/>
          <w:szCs w:val="16"/>
          <w:color w:val="auto"/>
        </w:rPr>
      </w:pPr>
    </w:p>
    <w:p>
      <w:pPr>
        <w:ind w:right="120" w:firstLine="1305"/>
        <w:spacing w:after="0" w:line="271" w:lineRule="auto"/>
        <w:tabs>
          <w:tab w:leader="none" w:pos="1688"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certificate, statement or opinion of an officer of the Company or of counsel to the Company may be based, insofar as it relates to accounting matters, upon a certificate or opinion of, or representations by, an accountant or firm of accountants, unless such officer or counsel, as the case may be, knows, or in the exercise of reasonable care should know, that the certificate or opinion or representations with respect to the accounting matters upon which his or her certificate, statement or opinion may be based are erroneous. Any certificate or opinion of any firm of independent registered public accountants filed with the Trustee shall contain a statement that such firm is independent.</w:t>
      </w:r>
    </w:p>
    <w:p>
      <w:pPr>
        <w:spacing w:after="0" w:line="176" w:lineRule="exact"/>
        <w:rPr>
          <w:rFonts w:ascii="Arial" w:cs="Arial" w:eastAsia="Arial" w:hAnsi="Arial"/>
          <w:sz w:val="16"/>
          <w:szCs w:val="16"/>
          <w:color w:val="auto"/>
        </w:rPr>
      </w:pPr>
    </w:p>
    <w:p>
      <w:pPr>
        <w:jc w:val="both"/>
        <w:ind w:right="140" w:firstLine="1305"/>
        <w:spacing w:after="0" w:line="273" w:lineRule="auto"/>
        <w:tabs>
          <w:tab w:leader="none" w:pos="1679"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75" w:lineRule="exact"/>
        <w:rPr>
          <w:rFonts w:ascii="Arial" w:cs="Arial" w:eastAsia="Arial" w:hAnsi="Arial"/>
          <w:sz w:val="16"/>
          <w:szCs w:val="16"/>
          <w:color w:val="auto"/>
        </w:rPr>
      </w:pPr>
    </w:p>
    <w:p>
      <w:pPr>
        <w:ind w:right="560" w:firstLine="1305"/>
        <w:spacing w:after="0" w:line="293" w:lineRule="auto"/>
        <w:tabs>
          <w:tab w:leader="none" w:pos="1661" w:val="left"/>
        </w:tabs>
        <w:numPr>
          <w:ilvl w:val="0"/>
          <w:numId w:val="95"/>
        </w:numPr>
        <w:rPr>
          <w:rFonts w:ascii="Arial" w:cs="Arial" w:eastAsia="Arial" w:hAnsi="Arial"/>
          <w:sz w:val="16"/>
          <w:szCs w:val="16"/>
          <w:color w:val="auto"/>
        </w:rPr>
      </w:pPr>
      <w:r>
        <w:rPr>
          <w:rFonts w:ascii="Arial" w:cs="Arial" w:eastAsia="Arial" w:hAnsi="Arial"/>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16.02</w:t>
      </w:r>
      <w:r>
        <w:rPr>
          <w:sz w:val="20"/>
          <w:szCs w:val="20"/>
          <w:color w:val="auto"/>
        </w:rPr>
        <w:tab/>
      </w:r>
      <w:r>
        <w:rPr>
          <w:rFonts w:ascii="Arial" w:cs="Arial" w:eastAsia="Arial" w:hAnsi="Arial"/>
          <w:sz w:val="15"/>
          <w:szCs w:val="15"/>
          <w:u w:val="single" w:color="auto"/>
          <w:color w:val="auto"/>
        </w:rPr>
        <w:t>Trust Indenture Act Controls</w:t>
      </w:r>
      <w:r>
        <w:rPr>
          <w:rFonts w:ascii="Arial" w:cs="Arial" w:eastAsia="Arial" w:hAnsi="Arial"/>
          <w:sz w:val="15"/>
          <w:szCs w:val="15"/>
          <w:color w:val="auto"/>
        </w:rPr>
        <w:t>.</w:t>
      </w: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If and to the extent that any provision of this Indenture limits, qualifies or conflicts with the duties imposed by, or another provision included in this Indenture which is required to be included in this Indenture by any of the provisions of Sections 310 to 318, inclusive, of the Trust Indenture Act, such imposed duties or incorporated provision shall control.</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16.03</w:t>
      </w:r>
      <w:r>
        <w:rPr>
          <w:sz w:val="20"/>
          <w:szCs w:val="20"/>
          <w:color w:val="auto"/>
        </w:rPr>
        <w:tab/>
      </w:r>
      <w:r>
        <w:rPr>
          <w:rFonts w:ascii="Arial" w:cs="Arial" w:eastAsia="Arial" w:hAnsi="Arial"/>
          <w:sz w:val="14"/>
          <w:szCs w:val="14"/>
          <w:u w:val="single" w:color="auto"/>
          <w:color w:val="auto"/>
        </w:rPr>
        <w:t>Notices to the Company and Trustee</w:t>
      </w:r>
      <w:r>
        <w:rPr>
          <w:rFonts w:ascii="Arial" w:cs="Arial" w:eastAsia="Arial" w:hAnsi="Arial"/>
          <w:sz w:val="14"/>
          <w:szCs w:val="14"/>
          <w:color w:val="auto"/>
        </w:rPr>
        <w:t>.</w:t>
      </w:r>
    </w:p>
    <w:p>
      <w:pPr>
        <w:spacing w:after="0" w:line="221"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Any notice or demand authorized by this Indenture to be made upon, given or furnished to, or filed with, the Company or the Trustee shall be sufficiently made, given, furnished or filed for all purposes if it shall be mailed, delivered or telefaxed to:</w:t>
      </w:r>
    </w:p>
    <w:p>
      <w:pPr>
        <w:spacing w:after="0" w:line="152" w:lineRule="exact"/>
        <w:rPr>
          <w:sz w:val="20"/>
          <w:szCs w:val="20"/>
          <w:color w:val="auto"/>
        </w:rPr>
      </w:pPr>
    </w:p>
    <w:p>
      <w:pPr>
        <w:ind w:right="140" w:firstLine="1305"/>
        <w:spacing w:after="0" w:line="228" w:lineRule="auto"/>
        <w:tabs>
          <w:tab w:leader="none" w:pos="1679"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at 2 Gansevoort Street, 9</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New York, New York 10014, Attention: Sean Power, or at such other address or facsimile number as may have been furnished in writing to the Trustee by the Company.</w:t>
      </w:r>
    </w:p>
    <w:p>
      <w:pPr>
        <w:spacing w:after="0" w:line="199" w:lineRule="exact"/>
        <w:rPr>
          <w:rFonts w:ascii="Arial" w:cs="Arial" w:eastAsia="Arial" w:hAnsi="Arial"/>
          <w:sz w:val="16"/>
          <w:szCs w:val="16"/>
          <w:color w:val="auto"/>
        </w:rPr>
      </w:pPr>
    </w:p>
    <w:p>
      <w:pPr>
        <w:ind w:left="1700" w:hanging="395"/>
        <w:spacing w:after="0"/>
        <w:tabs>
          <w:tab w:leader="none" w:pos="1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Trustee, at the Corporate Trust Office of the Trustee, Attention: Trust Administrator.</w:t>
      </w:r>
    </w:p>
    <w:p>
      <w:pPr>
        <w:spacing w:after="0" w:line="221" w:lineRule="exact"/>
        <w:rPr>
          <w:rFonts w:ascii="Arial" w:cs="Arial" w:eastAsia="Arial" w:hAnsi="Arial"/>
          <w:sz w:val="16"/>
          <w:szCs w:val="16"/>
          <w:color w:val="auto"/>
        </w:rPr>
      </w:pPr>
    </w:p>
    <w:p>
      <w:pPr>
        <w:ind w:left="1680" w:hanging="375"/>
        <w:spacing w:after="0"/>
        <w:tabs>
          <w:tab w:leader="none" w:pos="16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Any such notice, demand or other document shall be in the English language.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16.04</w:t>
      </w:r>
      <w:r>
        <w:rPr>
          <w:sz w:val="20"/>
          <w:szCs w:val="20"/>
          <w:color w:val="auto"/>
        </w:rPr>
        <w:tab/>
      </w:r>
      <w:r>
        <w:rPr>
          <w:rFonts w:ascii="Arial" w:cs="Arial" w:eastAsia="Arial" w:hAnsi="Arial"/>
          <w:sz w:val="14"/>
          <w:szCs w:val="14"/>
          <w:u w:val="single" w:color="auto"/>
          <w:color w:val="auto"/>
        </w:rPr>
        <w:t>Notices to Securityholders; Waiver</w:t>
      </w:r>
      <w:r>
        <w:rPr>
          <w:rFonts w:ascii="Arial" w:cs="Arial" w:eastAsia="Arial" w:hAnsi="Arial"/>
          <w:sz w:val="14"/>
          <w:szCs w:val="14"/>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notice required or permitted to be given to Securityholders shall be sufficiently given (unless otherwise herein expressly provided),</w:t>
      </w:r>
    </w:p>
    <w:p>
      <w:pPr>
        <w:spacing w:after="0" w:line="221" w:lineRule="exact"/>
        <w:rPr>
          <w:sz w:val="20"/>
          <w:szCs w:val="20"/>
          <w:color w:val="auto"/>
        </w:rPr>
      </w:pPr>
    </w:p>
    <w:p>
      <w:pPr>
        <w:ind w:left="1680" w:hanging="375"/>
        <w:spacing w:after="0"/>
        <w:tabs>
          <w:tab w:leader="none" w:pos="16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if to Holders, if given in writing by first class mail, postage prepaid, to such Holders at their addresses as the same shall appear on the Register of the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17" w:lineRule="exact"/>
        <w:rPr>
          <w:sz w:val="20"/>
          <w:szCs w:val="20"/>
          <w:color w:val="auto"/>
        </w:rPr>
      </w:pPr>
    </w:p>
    <w:p>
      <w:pPr>
        <w:ind w:right="720" w:firstLine="1305"/>
        <w:spacing w:after="0" w:line="293" w:lineRule="auto"/>
        <w:tabs>
          <w:tab w:leader="none" w:pos="1688"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the event of suspension of regular mail service or by reason of any other cause it shall be impracticable to give notice by mail, then such notification as shall be given with the approval of the Trustee shall constitute sufficient notice for every purpose hereunder.</w:t>
      </w:r>
    </w:p>
    <w:p>
      <w:pPr>
        <w:spacing w:after="0" w:line="158" w:lineRule="exact"/>
        <w:rPr>
          <w:rFonts w:ascii="Arial" w:cs="Arial" w:eastAsia="Arial" w:hAnsi="Arial"/>
          <w:sz w:val="16"/>
          <w:szCs w:val="16"/>
          <w:color w:val="auto"/>
        </w:rPr>
      </w:pPr>
    </w:p>
    <w:p>
      <w:pPr>
        <w:ind w:right="20" w:firstLine="1305"/>
        <w:spacing w:after="0" w:line="269" w:lineRule="auto"/>
        <w:tabs>
          <w:tab w:leader="none" w:pos="1679" w:val="left"/>
        </w:tabs>
        <w:numPr>
          <w:ilvl w:val="0"/>
          <w:numId w:val="98"/>
        </w:numPr>
        <w:rPr>
          <w:rFonts w:ascii="Arial" w:cs="Arial" w:eastAsia="Arial" w:hAnsi="Arial"/>
          <w:sz w:val="16"/>
          <w:szCs w:val="16"/>
          <w:color w:val="auto"/>
        </w:rPr>
      </w:pPr>
      <w:r>
        <w:rPr>
          <w:rFonts w:ascii="Arial" w:cs="Arial" w:eastAsia="Arial" w:hAnsi="Arial"/>
          <w:sz w:val="16"/>
          <w:szCs w:val="16"/>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 In any case where notice to Holders is given by mail; neither the failure to mail such notice nor any defect in any notice so mailed to any particular Holder shall affect the sufficiency of such notice with respect to other Holders, and any notice that is mailed in the manner herein provided shall be conclusively presumed to have been duly given. In any case where notice to Holders is given by publication, any defect in any notice so published as to any particular Holder shall not affect the sufficiency of such notice with respect to other Holders, and any notice that is published in the manner herein provided shall be conclusively presumed to have been duly given.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73" w:name="page74"/>
    <w:bookmarkEnd w:id="73"/>
    <w:p>
      <w:pPr>
        <w:spacing w:after="0"/>
        <w:tabs>
          <w:tab w:leader="none" w:pos="1120" w:val="left"/>
        </w:tabs>
        <w:rPr>
          <w:sz w:val="20"/>
          <w:szCs w:val="20"/>
          <w:color w:val="auto"/>
        </w:rPr>
      </w:pPr>
      <w:r>
        <w:rPr>
          <w:rFonts w:ascii="Arial" w:cs="Arial" w:eastAsia="Arial" w:hAnsi="Arial"/>
          <w:sz w:val="16"/>
          <w:szCs w:val="16"/>
          <w:color w:val="auto"/>
        </w:rPr>
        <w:t>Section 16.05</w:t>
      </w:r>
      <w:r>
        <w:rPr>
          <w:sz w:val="20"/>
          <w:szCs w:val="20"/>
          <w:color w:val="auto"/>
        </w:rPr>
        <w:tab/>
      </w:r>
      <w:r>
        <w:rPr>
          <w:rFonts w:ascii="Arial" w:cs="Arial" w:eastAsia="Arial" w:hAnsi="Arial"/>
          <w:sz w:val="15"/>
          <w:szCs w:val="15"/>
          <w:u w:val="single" w:color="auto"/>
          <w:color w:val="auto"/>
        </w:rPr>
        <w:t>Legal Holiday</w:t>
      </w:r>
      <w:r>
        <w:rPr>
          <w:rFonts w:ascii="Arial" w:cs="Arial" w:eastAsia="Arial" w:hAnsi="Arial"/>
          <w:sz w:val="15"/>
          <w:szCs w:val="15"/>
          <w:color w:val="auto"/>
        </w:rPr>
        <w:t>.</w:t>
      </w:r>
    </w:p>
    <w:p>
      <w:pPr>
        <w:spacing w:after="0" w:line="2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5"/>
          <w:szCs w:val="15"/>
          <w:color w:val="auto"/>
        </w:rPr>
        <w:t>Unless otherwise specified pursuant to Section 3.01, in any case where any Interest Payment Date, Redemption Date or Maturity of any Security of any series shall not be a Business Day at any Place of Payment for the Securities of that series, then payment of principal and premium, if any, or interest need not be made at such Place of Payment on such date, but may be made on the next succeeding Business Day at such Place of Payment with the same force and effect as if made on such Interest Payment Date, Redemption Date or Maturity and no interest shall accrue on such payment for the period from and after such Interest Payment Date, Redemption Date or Maturity, as the case may be, to such Business Day if such payment is made or duly provided for on such Business Day.</w:t>
      </w:r>
    </w:p>
    <w:p>
      <w:pPr>
        <w:spacing w:after="0" w:line="163"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16.06</w:t>
      </w:r>
      <w:r>
        <w:rPr>
          <w:sz w:val="20"/>
          <w:szCs w:val="20"/>
          <w:color w:val="auto"/>
        </w:rPr>
        <w:tab/>
      </w:r>
      <w:r>
        <w:rPr>
          <w:rFonts w:ascii="Arial" w:cs="Arial" w:eastAsia="Arial" w:hAnsi="Arial"/>
          <w:sz w:val="14"/>
          <w:szCs w:val="14"/>
          <w:u w:val="single" w:color="auto"/>
          <w:color w:val="auto"/>
        </w:rPr>
        <w:t>Effects of Headings and Table of Contents</w:t>
      </w:r>
      <w:r>
        <w:rPr>
          <w:rFonts w:ascii="Arial" w:cs="Arial" w:eastAsia="Arial" w:hAnsi="Arial"/>
          <w:sz w:val="14"/>
          <w:szCs w:val="14"/>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Article and Section headings herein and the Table of Contents are for convenience only and shall not affect the construction hereof.</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16.07</w:t>
      </w:r>
      <w:r>
        <w:rPr>
          <w:sz w:val="20"/>
          <w:szCs w:val="20"/>
          <w:color w:val="auto"/>
        </w:rPr>
        <w:tab/>
      </w:r>
      <w:r>
        <w:rPr>
          <w:rFonts w:ascii="Arial" w:cs="Arial" w:eastAsia="Arial" w:hAnsi="Arial"/>
          <w:sz w:val="14"/>
          <w:szCs w:val="14"/>
          <w:u w:val="single" w:color="auto"/>
          <w:color w:val="auto"/>
        </w:rPr>
        <w:t>Successors and Assigns</w:t>
      </w:r>
      <w:r>
        <w:rPr>
          <w:rFonts w:ascii="Arial" w:cs="Arial" w:eastAsia="Arial" w:hAnsi="Arial"/>
          <w:sz w:val="14"/>
          <w:szCs w:val="14"/>
          <w:color w:val="auto"/>
        </w:rPr>
        <w:t>.</w:t>
      </w:r>
    </w:p>
    <w:p>
      <w:pPr>
        <w:spacing w:after="0" w:line="221"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All covenants and agreements in this Indenture by the parties hereto shall bind their respective successors and assigns and inure to the benefit of their permitted successors and assigns, whether so expressed or not.</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16.08</w:t>
      </w:r>
      <w:r>
        <w:rPr>
          <w:sz w:val="20"/>
          <w:szCs w:val="20"/>
          <w:color w:val="auto"/>
        </w:rPr>
        <w:tab/>
      </w:r>
      <w:r>
        <w:rPr>
          <w:rFonts w:ascii="Arial" w:cs="Arial" w:eastAsia="Arial" w:hAnsi="Arial"/>
          <w:sz w:val="14"/>
          <w:szCs w:val="14"/>
          <w:u w:val="single" w:color="auto"/>
          <w:color w:val="auto"/>
        </w:rPr>
        <w:t>Separability Clause</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16.09</w:t>
      </w:r>
      <w:r>
        <w:rPr>
          <w:sz w:val="20"/>
          <w:szCs w:val="20"/>
          <w:color w:val="auto"/>
        </w:rPr>
        <w:tab/>
      </w:r>
      <w:r>
        <w:rPr>
          <w:rFonts w:ascii="Arial" w:cs="Arial" w:eastAsia="Arial" w:hAnsi="Arial"/>
          <w:sz w:val="14"/>
          <w:szCs w:val="14"/>
          <w:u w:val="single" w:color="auto"/>
          <w:color w:val="auto"/>
        </w:rPr>
        <w:t>Benefits of Indenture</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5"/>
          <w:szCs w:val="15"/>
          <w:color w:val="auto"/>
        </w:rPr>
        <w:t>Nothing in this Indenture expressed and nothing that may be implied from any of the provisions hereof is intended, or shall be construed, to confer upon, or to give to, any Person or corporation other than the parties hereto and their successors and the Holders of the Securities any benefit or any right, remedy or claim under or by reason of this Indenture or any covenant, condition, stipulation, promise or agreement hereof, and all covenants, conditions, stipulations, promises and agreements in this Indenture contained shall be for the sole and exclusive benefit of the parties hereto and their successors and of the Holders of the Securities.</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16.10</w:t>
      </w:r>
      <w:r>
        <w:rPr>
          <w:sz w:val="20"/>
          <w:szCs w:val="20"/>
          <w:color w:val="auto"/>
        </w:rPr>
        <w:tab/>
      </w:r>
      <w:r>
        <w:rPr>
          <w:rFonts w:ascii="Arial" w:cs="Arial" w:eastAsia="Arial" w:hAnsi="Arial"/>
          <w:sz w:val="14"/>
          <w:szCs w:val="14"/>
          <w:u w:val="single" w:color="auto"/>
          <w:color w:val="auto"/>
        </w:rPr>
        <w:t>Counterparts Originals</w:t>
      </w:r>
      <w:r>
        <w:rPr>
          <w:rFonts w:ascii="Arial" w:cs="Arial" w:eastAsia="Arial" w:hAnsi="Arial"/>
          <w:sz w:val="14"/>
          <w:szCs w:val="14"/>
          <w:color w:val="auto"/>
        </w:rPr>
        <w:t>.</w:t>
      </w:r>
    </w:p>
    <w:p>
      <w:pPr>
        <w:spacing w:after="0" w:line="2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Indenture may be executed in any number of counterparts, each of which so executed shall be deemed to be an original, but all such counterparts shall together constitute but one and the same instrument.</w:t>
      </w:r>
    </w:p>
    <w:p>
      <w:pPr>
        <w:spacing w:after="0" w:line="15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16.11</w:t>
      </w:r>
      <w:r>
        <w:rPr>
          <w:sz w:val="20"/>
          <w:szCs w:val="20"/>
          <w:color w:val="auto"/>
        </w:rPr>
        <w:tab/>
      </w:r>
      <w:r>
        <w:rPr>
          <w:rFonts w:ascii="Arial" w:cs="Arial" w:eastAsia="Arial" w:hAnsi="Arial"/>
          <w:sz w:val="15"/>
          <w:szCs w:val="15"/>
          <w:u w:val="single" w:color="auto"/>
          <w:color w:val="auto"/>
        </w:rPr>
        <w:t>Governing Law; Waiver of Trial by Jury</w:t>
      </w:r>
      <w:r>
        <w:rPr>
          <w:rFonts w:ascii="Arial" w:cs="Arial" w:eastAsia="Arial" w:hAnsi="Arial"/>
          <w:sz w:val="15"/>
          <w:szCs w:val="15"/>
          <w:color w:val="auto"/>
        </w:rPr>
        <w:t>.</w:t>
      </w:r>
    </w:p>
    <w:p>
      <w:pPr>
        <w:spacing w:after="0" w:line="22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Indenture and the Securities shall be deemed to be contracts made under the law of the State of New York, and for all purposes shall be governed by and construed in accordance with the law of said State.</w:t>
      </w:r>
    </w:p>
    <w:p>
      <w:pPr>
        <w:spacing w:after="0" w:line="159"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6"/>
          <w:szCs w:val="16"/>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auto"/>
        </w:rPr>
        <w:t>IN WITNESS WHEREOF, the parties have caused this Indenture to be duly executed as of the date first written above.</w:t>
      </w:r>
    </w:p>
    <w:p>
      <w:pPr>
        <w:sectPr>
          <w:pgSz w:w="11900" w:h="16838" w:orient="portrait"/>
          <w:cols w:equalWidth="0" w:num="1">
            <w:col w:w="9559"/>
          </w:cols>
          <w:pgMar w:left="900" w:top="535" w:right="1440" w:bottom="1440" w:gutter="0" w:footer="0" w:header="0"/>
        </w:sectPr>
      </w:pPr>
    </w:p>
    <w:p>
      <w:pPr>
        <w:spacing w:after="0" w:line="24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TG THERAPEUTICS, INC.</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Issuer</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2204720</wp:posOffset>
            </wp:positionH>
            <wp:positionV relativeFrom="paragraph">
              <wp:posOffset>-6985</wp:posOffset>
            </wp:positionV>
            <wp:extent cx="12350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-9525</wp:posOffset>
            </wp:positionV>
            <wp:extent cx="10807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-9525</wp:posOffset>
            </wp:positionV>
            <wp:extent cx="11576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97"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Trustee</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-6985</wp:posOffset>
            </wp:positionV>
            <wp:extent cx="12350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2355850</wp:posOffset>
            </wp:positionH>
            <wp:positionV relativeFrom="paragraph">
              <wp:posOffset>-9525</wp:posOffset>
            </wp:positionV>
            <wp:extent cx="11061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-9525</wp:posOffset>
            </wp:positionV>
            <wp:extent cx="11836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3539"/>
        <w:spacing w:after="0"/>
        <w:rPr>
          <w:sz w:val="20"/>
          <w:szCs w:val="20"/>
          <w:color w:val="auto"/>
        </w:rPr>
      </w:pPr>
      <w:r>
        <w:rPr>
          <w:rFonts w:ascii="Arial" w:cs="Arial" w:eastAsia="Arial" w:hAnsi="Arial"/>
          <w:sz w:val="16"/>
          <w:szCs w:val="16"/>
          <w:color w:val="auto"/>
        </w:rPr>
        <w:t>[Signature Page to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17780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535" w:right="1440" w:bottom="1440" w:gutter="0" w:footer="0" w:header="0"/>
          <w:type w:val="continuous"/>
        </w:sectPr>
      </w:pPr>
    </w:p>
    <w:bookmarkStart w:id="75" w:name="page76"/>
    <w:bookmarkEnd w:id="75"/>
    <w:p>
      <w:pPr>
        <w:ind w:left="10720"/>
        <w:spacing w:after="0"/>
        <w:rPr>
          <w:sz w:val="20"/>
          <w:szCs w:val="20"/>
          <w:color w:val="auto"/>
        </w:rPr>
      </w:pPr>
      <w:r>
        <w:rPr>
          <w:rFonts w:ascii="Arial" w:cs="Arial" w:eastAsia="Arial" w:hAnsi="Arial"/>
          <w:sz w:val="13"/>
          <w:szCs w:val="13"/>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153670</wp:posOffset>
            </wp:positionV>
            <wp:extent cx="1861185" cy="875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6118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
        <w:spacing w:after="0"/>
        <w:tabs>
          <w:tab w:leader="none" w:pos="5100" w:val="left"/>
          <w:tab w:leader="none" w:pos="9260" w:val="left"/>
        </w:tabs>
        <w:rPr>
          <w:sz w:val="20"/>
          <w:szCs w:val="20"/>
          <w:color w:val="auto"/>
        </w:rPr>
      </w:pPr>
      <w:r>
        <w:rPr>
          <w:rFonts w:ascii="Arial" w:cs="Arial" w:eastAsia="Arial" w:hAnsi="Arial"/>
          <w:sz w:val="15"/>
          <w:szCs w:val="15"/>
          <w:color w:val="auto"/>
        </w:rPr>
        <w:t>Mark F. McElreath</w:t>
      </w:r>
      <w:r>
        <w:rPr>
          <w:sz w:val="20"/>
          <w:szCs w:val="20"/>
          <w:color w:val="auto"/>
        </w:rPr>
        <w:tab/>
      </w:r>
      <w:r>
        <w:rPr>
          <w:rFonts w:ascii="Arial" w:cs="Arial" w:eastAsia="Arial" w:hAnsi="Arial"/>
          <w:sz w:val="15"/>
          <w:szCs w:val="15"/>
          <w:color w:val="auto"/>
        </w:rPr>
        <w:t>Direct Dial: 212-210-9595</w:t>
      </w:r>
      <w:r>
        <w:rPr>
          <w:sz w:val="20"/>
          <w:szCs w:val="20"/>
          <w:color w:val="auto"/>
        </w:rPr>
        <w:tab/>
      </w:r>
      <w:r>
        <w:rPr>
          <w:rFonts w:ascii="Arial" w:cs="Arial" w:eastAsia="Arial" w:hAnsi="Arial"/>
          <w:sz w:val="13"/>
          <w:szCs w:val="13"/>
          <w:color w:val="auto"/>
        </w:rPr>
        <w:t>Email: mark.mcelreath@alston.com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September 5, 2019</w:t>
      </w:r>
    </w:p>
    <w:p>
      <w:pPr>
        <w:ind w:left="180"/>
        <w:spacing w:after="0" w:line="227" w:lineRule="auto"/>
        <w:rPr>
          <w:sz w:val="20"/>
          <w:szCs w:val="20"/>
          <w:color w:val="auto"/>
        </w:rPr>
      </w:pPr>
      <w:r>
        <w:rPr>
          <w:rFonts w:ascii="Arial" w:cs="Arial" w:eastAsia="Arial" w:hAnsi="Arial"/>
          <w:sz w:val="15"/>
          <w:szCs w:val="15"/>
          <w:color w:val="auto"/>
        </w:rPr>
        <w:t>TG Therapeutics, Inc.</w:t>
      </w:r>
    </w:p>
    <w:p>
      <w:pPr>
        <w:ind w:left="180"/>
        <w:spacing w:after="0" w:line="226" w:lineRule="auto"/>
        <w:rPr>
          <w:sz w:val="20"/>
          <w:szCs w:val="20"/>
          <w:color w:val="auto"/>
        </w:rPr>
      </w:pPr>
      <w:r>
        <w:rPr>
          <w:rFonts w:ascii="Arial" w:cs="Arial" w:eastAsia="Arial" w:hAnsi="Arial"/>
          <w:sz w:val="15"/>
          <w:szCs w:val="15"/>
          <w:color w:val="auto"/>
        </w:rPr>
        <w:t>2 Gansevoort Street, 9th Floor</w:t>
      </w:r>
    </w:p>
    <w:p>
      <w:pPr>
        <w:ind w:left="180"/>
        <w:spacing w:after="0"/>
        <w:rPr>
          <w:sz w:val="20"/>
          <w:szCs w:val="20"/>
          <w:color w:val="auto"/>
        </w:rPr>
      </w:pPr>
      <w:r>
        <w:rPr>
          <w:rFonts w:ascii="Arial" w:cs="Arial" w:eastAsia="Arial" w:hAnsi="Arial"/>
          <w:sz w:val="15"/>
          <w:szCs w:val="15"/>
          <w:color w:val="auto"/>
        </w:rPr>
        <w:t>New York, New York 10014</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Re: Registration Statement on Form S-3</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3"/>
          <w:szCs w:val="13"/>
          <w:color w:val="auto"/>
        </w:rPr>
        <w:t>We have acted as counsel to TG Therapeutics, Inc.,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in connection with the registration statement (the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on Form S-3 filed today by the Company with the Securities and Exchange Commission (the “</w:t>
      </w:r>
      <w:r>
        <w:rPr>
          <w:rFonts w:ascii="Arial" w:cs="Arial" w:eastAsia="Arial" w:hAnsi="Arial"/>
          <w:sz w:val="13"/>
          <w:szCs w:val="13"/>
          <w:u w:val="single" w:color="auto"/>
          <w:color w:val="auto"/>
        </w:rPr>
        <w:t>Commission</w:t>
      </w:r>
      <w:r>
        <w:rPr>
          <w:rFonts w:ascii="Arial" w:cs="Arial" w:eastAsia="Arial" w:hAnsi="Arial"/>
          <w:sz w:val="13"/>
          <w:szCs w:val="13"/>
          <w:color w:val="auto"/>
        </w:rPr>
        <w:t>”) under the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 The Registration Statement relates to the proposed issuance and sale by the Company from time to time, pursuant to Rule 415 of the General Rules and Regulations of the Commission promulgated under the Securities Act, of securities of the Company consisting of (i) shares of common stock, $0.001 par value per share (the “</w:t>
      </w:r>
      <w:r>
        <w:rPr>
          <w:rFonts w:ascii="Arial" w:cs="Arial" w:eastAsia="Arial" w:hAnsi="Arial"/>
          <w:sz w:val="13"/>
          <w:szCs w:val="13"/>
          <w:u w:val="single" w:color="auto"/>
          <w:color w:val="auto"/>
        </w:rPr>
        <w:t>Common Stock</w:t>
      </w:r>
      <w:r>
        <w:rPr>
          <w:rFonts w:ascii="Arial" w:cs="Arial" w:eastAsia="Arial" w:hAnsi="Arial"/>
          <w:sz w:val="13"/>
          <w:szCs w:val="13"/>
          <w:color w:val="auto"/>
        </w:rPr>
        <w:t>”), (ii) shares of preferred stock, $0.001 par value per share (the “</w:t>
      </w:r>
      <w:r>
        <w:rPr>
          <w:rFonts w:ascii="Arial" w:cs="Arial" w:eastAsia="Arial" w:hAnsi="Arial"/>
          <w:sz w:val="13"/>
          <w:szCs w:val="13"/>
          <w:u w:val="single" w:color="auto"/>
          <w:color w:val="auto"/>
        </w:rPr>
        <w:t>Preferred Stock</w:t>
      </w:r>
      <w:r>
        <w:rPr>
          <w:rFonts w:ascii="Arial" w:cs="Arial" w:eastAsia="Arial" w:hAnsi="Arial"/>
          <w:sz w:val="13"/>
          <w:szCs w:val="13"/>
          <w:color w:val="auto"/>
        </w:rPr>
        <w:t>”), (iii) warrants (the “</w:t>
      </w:r>
      <w:r>
        <w:rPr>
          <w:rFonts w:ascii="Arial" w:cs="Arial" w:eastAsia="Arial" w:hAnsi="Arial"/>
          <w:sz w:val="13"/>
          <w:szCs w:val="13"/>
          <w:u w:val="single" w:color="auto"/>
          <w:color w:val="auto"/>
        </w:rPr>
        <w:t>Warrants</w:t>
      </w:r>
      <w:r>
        <w:rPr>
          <w:rFonts w:ascii="Arial" w:cs="Arial" w:eastAsia="Arial" w:hAnsi="Arial"/>
          <w:sz w:val="13"/>
          <w:szCs w:val="13"/>
          <w:color w:val="auto"/>
        </w:rPr>
        <w:t>”) to purchase Common Stock or Preferred Stock, (iv) debt securities (the “</w:t>
      </w:r>
      <w:r>
        <w:rPr>
          <w:rFonts w:ascii="Arial" w:cs="Arial" w:eastAsia="Arial" w:hAnsi="Arial"/>
          <w:sz w:val="13"/>
          <w:szCs w:val="13"/>
          <w:u w:val="single" w:color="auto"/>
          <w:color w:val="auto"/>
        </w:rPr>
        <w:t>Debt Securities</w:t>
      </w:r>
      <w:r>
        <w:rPr>
          <w:rFonts w:ascii="Arial" w:cs="Arial" w:eastAsia="Arial" w:hAnsi="Arial"/>
          <w:sz w:val="13"/>
          <w:szCs w:val="13"/>
          <w:color w:val="auto"/>
        </w:rPr>
        <w:t>”), the terms of which will be determined by the Board of Directors of the Company (the “</w:t>
      </w:r>
      <w:r>
        <w:rPr>
          <w:rFonts w:ascii="Arial" w:cs="Arial" w:eastAsia="Arial" w:hAnsi="Arial"/>
          <w:sz w:val="13"/>
          <w:szCs w:val="13"/>
          <w:u w:val="single" w:color="auto"/>
          <w:color w:val="auto"/>
        </w:rPr>
        <w:t>Board of Directors</w:t>
      </w:r>
      <w:r>
        <w:rPr>
          <w:rFonts w:ascii="Arial" w:cs="Arial" w:eastAsia="Arial" w:hAnsi="Arial"/>
          <w:sz w:val="13"/>
          <w:szCs w:val="13"/>
          <w:color w:val="auto"/>
        </w:rPr>
        <w:t>”) prior to the issuance thereof and (v) units (the “</w:t>
      </w:r>
      <w:r>
        <w:rPr>
          <w:rFonts w:ascii="Arial" w:cs="Arial" w:eastAsia="Arial" w:hAnsi="Arial"/>
          <w:sz w:val="13"/>
          <w:szCs w:val="13"/>
          <w:u w:val="single" w:color="auto"/>
          <w:color w:val="auto"/>
        </w:rPr>
        <w:t>Units</w:t>
      </w:r>
      <w:r>
        <w:rPr>
          <w:rFonts w:ascii="Arial" w:cs="Arial" w:eastAsia="Arial" w:hAnsi="Arial"/>
          <w:sz w:val="13"/>
          <w:szCs w:val="13"/>
          <w:color w:val="auto"/>
        </w:rPr>
        <w:t>,” and together with the Common Stock, Preferred Stock, Warrants and Debt Securities, the “</w:t>
      </w:r>
      <w:r>
        <w:rPr>
          <w:rFonts w:ascii="Arial" w:cs="Arial" w:eastAsia="Arial" w:hAnsi="Arial"/>
          <w:sz w:val="13"/>
          <w:szCs w:val="13"/>
          <w:u w:val="single" w:color="auto"/>
          <w:color w:val="auto"/>
        </w:rPr>
        <w:t>Securities</w:t>
      </w:r>
      <w:r>
        <w:rPr>
          <w:rFonts w:ascii="Arial" w:cs="Arial" w:eastAsia="Arial" w:hAnsi="Arial"/>
          <w:sz w:val="13"/>
          <w:szCs w:val="13"/>
          <w:color w:val="auto"/>
        </w:rPr>
        <w:t>”). This opinion letter is being rendered pursuant to Item 16 of Form S-3 and Item 601(b)(5) of Regulation S-K.</w:t>
      </w:r>
    </w:p>
    <w:p>
      <w:pPr>
        <w:spacing w:after="0" w:line="11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4"/>
          <w:szCs w:val="14"/>
          <w:color w:val="auto"/>
        </w:rPr>
        <w:t>We have examined the Amended and Restated Certificate of Incorporation of the Company, the Amended and Restated Bylaws of the Company, records of proceedings of the Board of Directors, or committees thereof, and records of proceedings of the stockholders, deemed by us to be relevant to this opinion letter and the Registration Statement. We also have made such further legal and factual examinations and investigations as we deemed necessary for purposes of expressing the opinion set forth herein.</w:t>
      </w:r>
    </w:p>
    <w:p>
      <w:pPr>
        <w:spacing w:after="0" w:line="12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5"/>
          <w:szCs w:val="15"/>
          <w:color w:val="auto"/>
        </w:rPr>
        <w:t>We have assumed that the terms of the Securities will have been established so as not to, and that the execution and delivery by the Company of the Securities, and the performance of its obligations under the Securities, will not, violate, conflict with or constitute a default under (i) any agreement or instrument to which the Company is subject (except that we do not make the assumption set forth in this clause (i) with respect to those agreements and instruments that are filed as exhibits to the Registration Statement or any periodic report incorporated by reference in the Registration Statement), (ii) any law, rule or regulation to which the Company is subject (except that we do not make the assumption with respect to Opined on Law (as defined below)), (iii) any judicial or regulatory order or decree of any governmental authority or (iv) any consent, approval, license, authorization or validation of, or filing, recording or registration with any governmental authority.</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4"/>
          <w:szCs w:val="14"/>
          <w:color w:val="auto"/>
        </w:rPr>
        <w:t>We have also assumed that any Debt Securities that may be issued will be issued in a form that complies with the indenture and any supplemental indenture to be entered into in connection with the issuance of such Debt Securities and will be manually signed or countersigned, as the case may be, by duly authorized officers of the trustee.</w:t>
      </w:r>
    </w:p>
    <w:p>
      <w:pPr>
        <w:spacing w:after="0" w:line="10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5"/>
          <w:szCs w:val="15"/>
          <w:color w:val="auto"/>
        </w:rPr>
        <w:t>As to certain factual matters relevant to this opinion letter, we have relied conclusively upon originals or copies, certified or otherwise identified to our satisfaction, of such records, agreements, documents and instruments, including certificates or comparable documents of officers of the Company and of public officials, as we have deemed appropriate as a basis for the opinion hereinafter set forth. Except to the extent expressly set forth herein, we have made no independent investigations with regard to matters of fact, and, accordingly, we do not express any opinion as to matters that might have been disclosed by independent verification.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Based on the foregoing, we are of the opinion that:</w:t>
      </w:r>
    </w:p>
    <w:p>
      <w:pPr>
        <w:spacing w:after="0" w:line="152" w:lineRule="exact"/>
        <w:rPr>
          <w:sz w:val="20"/>
          <w:szCs w:val="20"/>
          <w:color w:val="auto"/>
        </w:rPr>
      </w:pPr>
    </w:p>
    <w:p>
      <w:pPr>
        <w:jc w:val="both"/>
        <w:ind w:left="980" w:hanging="324"/>
        <w:spacing w:after="0" w:line="265" w:lineRule="auto"/>
        <w:tabs>
          <w:tab w:leader="none" w:pos="980" w:val="left"/>
        </w:tabs>
        <w:numPr>
          <w:ilvl w:val="0"/>
          <w:numId w:val="99"/>
        </w:numPr>
        <w:rPr>
          <w:rFonts w:ascii="Arial" w:cs="Arial" w:eastAsia="Arial" w:hAnsi="Arial"/>
          <w:sz w:val="13"/>
          <w:szCs w:val="13"/>
          <w:color w:val="auto"/>
        </w:rPr>
      </w:pPr>
      <w:r>
        <w:rPr>
          <w:rFonts w:ascii="Arial" w:cs="Arial" w:eastAsia="Arial" w:hAnsi="Arial"/>
          <w:sz w:val="13"/>
          <w:szCs w:val="13"/>
          <w:color w:val="auto"/>
        </w:rPr>
        <w:t>With respect to any shares of Common Stock to be offered by the Company pursuant to the Registration Statement (the “</w:t>
      </w:r>
      <w:r>
        <w:rPr>
          <w:rFonts w:ascii="Arial" w:cs="Arial" w:eastAsia="Arial" w:hAnsi="Arial"/>
          <w:sz w:val="13"/>
          <w:szCs w:val="13"/>
          <w:u w:val="single" w:color="auto"/>
          <w:color w:val="auto"/>
        </w:rPr>
        <w:t>Offered Common Shares</w:t>
      </w:r>
      <w:r>
        <w:rPr>
          <w:rFonts w:ascii="Arial" w:cs="Arial" w:eastAsia="Arial" w:hAnsi="Arial"/>
          <w:sz w:val="13"/>
          <w:szCs w:val="13"/>
          <w:color w:val="auto"/>
        </w:rPr>
        <w:t>”), (i) when the Registration Statement, as finally amended (including all necessary post-effective amendments), has become effective under the Securities Act, (ii) when an appropriate prospectus supplement with respect to the Offered Common Shares has been prepared, delivered and filed in compliance with the Securities Act and the applicable rules and regulations thereunder, (iii) if the Offered Common Shares are to be sold pursuant to a firm commitment underwritten offering, the underwriting agreement with respect to the Offered Common Shares has been duly authorized, executed and delivered by the Company and the other parties thereto, (iv) when the Board of Directors, including any appropriate committee appointed thereby, and appropriate officers of the Company have taken all necessary corporate action to approve the issuance of the Offered Common Shares, the consideration to be received therefor and related matters, (v) when the terms of the issuance and sale of the Offered Common Shares have been duly established in conformity with the Amended and Restated Certificate of Incorporation and the Amended and Restated Bylaws so as not to violate any applicable law or result in a default under or breach of any agreement or instrument binding upon the Company and so as to comply with any requirement or restriction imposed by any court or governmental body having jurisdiction over the Company and (vi) when certificates in the form required under the Delaware General Corporation Law (the “</w:t>
      </w:r>
      <w:r>
        <w:rPr>
          <w:rFonts w:ascii="Arial" w:cs="Arial" w:eastAsia="Arial" w:hAnsi="Arial"/>
          <w:sz w:val="13"/>
          <w:szCs w:val="13"/>
          <w:u w:val="single" w:color="auto"/>
          <w:color w:val="auto"/>
        </w:rPr>
        <w:t>DGCL</w:t>
      </w:r>
      <w:r>
        <w:rPr>
          <w:rFonts w:ascii="Arial" w:cs="Arial" w:eastAsia="Arial" w:hAnsi="Arial"/>
          <w:sz w:val="13"/>
          <w:szCs w:val="13"/>
          <w:color w:val="auto"/>
        </w:rPr>
        <w:t>”</w:t>
      </w:r>
      <w:r>
        <w:rPr>
          <w:rFonts w:ascii="Arial" w:cs="Arial" w:eastAsia="Arial" w:hAnsi="Arial"/>
          <w:sz w:val="13"/>
          <w:szCs w:val="13"/>
          <w:u w:val="single" w:color="auto"/>
          <w:color w:val="auto"/>
        </w:rPr>
        <w:t>)</w:t>
      </w:r>
      <w:r>
        <w:rPr>
          <w:rFonts w:ascii="Arial" w:cs="Arial" w:eastAsia="Arial" w:hAnsi="Arial"/>
          <w:sz w:val="13"/>
          <w:szCs w:val="13"/>
          <w:color w:val="auto"/>
        </w:rPr>
        <w:t xml:space="preserve"> representing the Offered Common Shares are duly executed, countersigned, registered and delivered upon payment of the agreed upon consideration therefor, the Offered Common Shares (including any shares of Common Stock duly issued upon conversion, exchange or exercise of any Preferred Stock or Warrants), when issued and sold in accordance with the applicable underwriting agreement, or any other duly authorized, executed and delivered valid and binding agreement, will be duly authorized, validly issued, fully paid and nonassessable, provided that the consideration therefor is not less than $0.001 per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76" w:name="page77"/>
    <w:bookmarkEnd w:id="76"/>
    <w:p>
      <w:pPr>
        <w:jc w:val="both"/>
        <w:ind w:left="324" w:hanging="324"/>
        <w:spacing w:after="0" w:line="264" w:lineRule="auto"/>
        <w:tabs>
          <w:tab w:leader="none" w:pos="324" w:val="left"/>
        </w:tabs>
        <w:numPr>
          <w:ilvl w:val="0"/>
          <w:numId w:val="100"/>
        </w:numPr>
        <w:rPr>
          <w:rFonts w:ascii="Arial" w:cs="Arial" w:eastAsia="Arial" w:hAnsi="Arial"/>
          <w:sz w:val="13"/>
          <w:szCs w:val="13"/>
          <w:color w:val="auto"/>
        </w:rPr>
      </w:pPr>
      <w:r>
        <w:rPr>
          <w:rFonts w:ascii="Arial" w:cs="Arial" w:eastAsia="Arial" w:hAnsi="Arial"/>
          <w:sz w:val="13"/>
          <w:szCs w:val="13"/>
          <w:color w:val="auto"/>
        </w:rPr>
        <w:t>With respect to the shares of any series of Preferred Stock to be offered by the Company pursuant to the Registration Statement (the “</w:t>
      </w:r>
      <w:r>
        <w:rPr>
          <w:rFonts w:ascii="Arial" w:cs="Arial" w:eastAsia="Arial" w:hAnsi="Arial"/>
          <w:sz w:val="13"/>
          <w:szCs w:val="13"/>
          <w:u w:val="single" w:color="auto"/>
          <w:color w:val="auto"/>
        </w:rPr>
        <w:t>Offered Preferred Shares</w:t>
      </w:r>
      <w:r>
        <w:rPr>
          <w:rFonts w:ascii="Arial" w:cs="Arial" w:eastAsia="Arial" w:hAnsi="Arial"/>
          <w:sz w:val="13"/>
          <w:szCs w:val="13"/>
          <w:color w:val="auto"/>
        </w:rPr>
        <w:t>”), (i) when the Registration Statement, as finally amended (including all necessary post-effective amendments), has become effective under the Securities Act, (ii) when an appropriate prospectus supplement with respect to the Offered Preferred Shares has been prepared, delivered and filed in compliance with the Securities Act and the applicable rules and regulations thereunder, (iii) if the Offered Preferred Shares are to be sold pursuant to a firm commitment underwritten offering, the underwriting agreement with respect to the Offered Preferred Shares has been duly authorized, executed and delivered by the Company and the other parties thereto, (iv) the Board of Directors, including any appropriate committee appointed thereby, and appropriate officers of the Company have taken all necessary corporate action to approve the issuance, sale and terms of the Offered Preferred Shares, the consideration to be received therefor and related matters, including the adoption of a Certificate of Designation for the Offered Preferred Shares in accordance with the applicable provisions of the DGCL (the “</w:t>
      </w:r>
      <w:r>
        <w:rPr>
          <w:rFonts w:ascii="Arial" w:cs="Arial" w:eastAsia="Arial" w:hAnsi="Arial"/>
          <w:sz w:val="13"/>
          <w:szCs w:val="13"/>
          <w:u w:val="single" w:color="auto"/>
          <w:color w:val="auto"/>
        </w:rPr>
        <w:t>Certificate of Designation</w:t>
      </w:r>
      <w:r>
        <w:rPr>
          <w:rFonts w:ascii="Arial" w:cs="Arial" w:eastAsia="Arial" w:hAnsi="Arial"/>
          <w:sz w:val="13"/>
          <w:szCs w:val="13"/>
          <w:color w:val="auto"/>
        </w:rPr>
        <w:t>”); (v) the filing of the Certificate of Designation with the Secretary of State of the State of Delaware has duly occurred; (vi) the terms of the Offered Preferred Shares and of their issuance and sale have been duly established in conformity with the Amended and Restated Certificate of Incorporation, including the Certificate of Designation relating to the Offered Preferred Shares, and the Amended and Restated Bylaws so as not to violate any applicable law or result in a default under or breach of any agreement or instrument binding upon the Company and so as to comply with any requirement or restriction imposed by any court or governmental body having jurisdiction over the Company and (vii) certificates in the form required under DGCL representing the Offered Preferred Shares are duly executed, countersigned, registered and delivered upon payment of the agreed upon consideration therefor, the Offered Preferred Shares (including any shares of Preferred Stock duly issued upon conversion, exchange or exercise of any Preferred Stock or Warrants), when issued and sold in accordance with the applicable underwriting agreement, or any other duly authorized, executed and delivered valid and binding agreement, will be duly authorized, validly issued, fully paid and nonassessable, provided that the consideration therefor is not less than $0.001 per share of Preferred Stock.</w:t>
      </w:r>
    </w:p>
    <w:p>
      <w:pPr>
        <w:spacing w:after="0" w:line="123" w:lineRule="exact"/>
        <w:rPr>
          <w:rFonts w:ascii="Arial" w:cs="Arial" w:eastAsia="Arial" w:hAnsi="Arial"/>
          <w:sz w:val="13"/>
          <w:szCs w:val="13"/>
          <w:color w:val="auto"/>
        </w:rPr>
      </w:pPr>
    </w:p>
    <w:p>
      <w:pPr>
        <w:jc w:val="both"/>
        <w:ind w:left="324" w:hanging="324"/>
        <w:spacing w:after="0" w:line="243" w:lineRule="auto"/>
        <w:tabs>
          <w:tab w:leader="none" w:pos="32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With respect to the Warrants to be offered by the Company pursuant to the Registration Statement (the “</w:t>
      </w:r>
      <w:r>
        <w:rPr>
          <w:rFonts w:ascii="Arial" w:cs="Arial" w:eastAsia="Arial" w:hAnsi="Arial"/>
          <w:sz w:val="14"/>
          <w:szCs w:val="14"/>
          <w:u w:val="single" w:color="auto"/>
          <w:color w:val="auto"/>
        </w:rPr>
        <w:t>Offered Warrants</w:t>
      </w:r>
      <w:r>
        <w:rPr>
          <w:rFonts w:ascii="Arial" w:cs="Arial" w:eastAsia="Arial" w:hAnsi="Arial"/>
          <w:sz w:val="14"/>
          <w:szCs w:val="14"/>
          <w:color w:val="auto"/>
        </w:rPr>
        <w:t>”), (i) when the Registration Statement, as finally amended (including all necessary post-effective amendments), has become effective under the Securities Act, (ii) when an appropriate prospectus supplement with respect to the Offered Warrants has been prepared, delivered and filed in compliance with the Securities Act and the applicable rules and regulations thereunder, (iii) if the Offered Warrants are to be sold pursuant to a firm commitment underwritten offering, the underwriting agreement with respect to the Offered Warrants has been duly authorized, executed and delivered by the Company and the other parties thereto, (iv) the Board of Directors, including any appropriate committee appointed thereby, and appropriate officers of the Company have taken all necessary corporate action to approve the issuance, sale and terms of the Offered Warrants, the consideration to be received therefor and related matters; (v) the terms of the Offered Warrants and of their issuance and sale have been duly established in conformity with the Amended and Restated Certificate of Incorporation and the Amended and Restated Bylaws so as not to violate any applicable law or result in a default under or breach of any agreement or instrument binding upon the Company and so as to comply with any requirement or restriction imposed by any court or governmental body having jurisdiction over the Company and the applicable Warrant Agent; (vi) the Common Stock or the Preferred Stock relating to such Offered Warrants have been duly authorized for issuance, (vii) the applicable Warrant Agreement has been duly authorized, executed and delivered by each party thereto, and (viii) the Offered Warrants have been duly executed, delivered, countersigned, issued and sold in accordance with the provisions of the applicable Warrant Agreement to be filed on a Current Report on Form 8-K in the manner contemplated in the Registration Statement or any prospectus supplement relating thereto, the Offered Warrants, when issued and sold in accordance with the applicable Warrant Agreement and the applicable purchase agreement or any other duly authorized, executed and delivered valid and binding purchase or agency agreement, will be valid and binding obligations of the Company, enforceable against the Company in accordance with their respective terms, except to the extent that enforcement thereof may be limited by (a) bankruptcy, insolvency, reorganization, fraudulent conveyance, moratorium or other similar laws now or hereafter in effect relating to creditors’ rights generally, (b) general principles of equity (regardless of whether enforceability is considered in a proceeding at law or in equity) and (c) public policy considerations which may limit the rights of parties to obtain remedies.</w:t>
      </w:r>
    </w:p>
    <w:p>
      <w:pPr>
        <w:spacing w:after="0" w:line="145" w:lineRule="exact"/>
        <w:rPr>
          <w:rFonts w:ascii="Arial" w:cs="Arial" w:eastAsia="Arial" w:hAnsi="Arial"/>
          <w:sz w:val="14"/>
          <w:szCs w:val="14"/>
          <w:color w:val="auto"/>
        </w:rPr>
      </w:pPr>
    </w:p>
    <w:p>
      <w:pPr>
        <w:jc w:val="both"/>
        <w:ind w:left="324" w:hanging="324"/>
        <w:spacing w:after="0" w:line="263" w:lineRule="auto"/>
        <w:tabs>
          <w:tab w:leader="none" w:pos="324" w:val="left"/>
        </w:tabs>
        <w:numPr>
          <w:ilvl w:val="0"/>
          <w:numId w:val="100"/>
        </w:numPr>
        <w:rPr>
          <w:rFonts w:ascii="Arial" w:cs="Arial" w:eastAsia="Arial" w:hAnsi="Arial"/>
          <w:sz w:val="13"/>
          <w:szCs w:val="13"/>
          <w:color w:val="auto"/>
        </w:rPr>
      </w:pPr>
      <w:r>
        <w:rPr>
          <w:rFonts w:ascii="Arial" w:cs="Arial" w:eastAsia="Arial" w:hAnsi="Arial"/>
          <w:sz w:val="13"/>
          <w:szCs w:val="13"/>
          <w:color w:val="auto"/>
        </w:rPr>
        <w:t>With respect to any series of Debt Securities offered by the Company pursuant to the Registration Statement (the “</w:t>
      </w:r>
      <w:r>
        <w:rPr>
          <w:rFonts w:ascii="Arial" w:cs="Arial" w:eastAsia="Arial" w:hAnsi="Arial"/>
          <w:sz w:val="13"/>
          <w:szCs w:val="13"/>
          <w:u w:val="single" w:color="auto"/>
          <w:color w:val="auto"/>
        </w:rPr>
        <w:t>Offered Debt Securities</w:t>
      </w:r>
      <w:r>
        <w:rPr>
          <w:rFonts w:ascii="Arial" w:cs="Arial" w:eastAsia="Arial" w:hAnsi="Arial"/>
          <w:sz w:val="13"/>
          <w:szCs w:val="13"/>
          <w:color w:val="auto"/>
        </w:rPr>
        <w:t>”), when (i) the Registration Statement has become effective under the Securities Act and the Indenture has been qualified under the Trust Indenture Act of 1939, as amended (the “</w:t>
      </w:r>
      <w:r>
        <w:rPr>
          <w:rFonts w:ascii="Arial" w:cs="Arial" w:eastAsia="Arial" w:hAnsi="Arial"/>
          <w:sz w:val="13"/>
          <w:szCs w:val="13"/>
          <w:u w:val="single" w:color="auto"/>
          <w:color w:val="auto"/>
        </w:rPr>
        <w:t>Trust Indenture Act</w:t>
      </w:r>
      <w:r>
        <w:rPr>
          <w:rFonts w:ascii="Arial" w:cs="Arial" w:eastAsia="Arial" w:hAnsi="Arial"/>
          <w:sz w:val="13"/>
          <w:szCs w:val="13"/>
          <w:color w:val="auto"/>
        </w:rPr>
        <w:t>”); (ii) an appropriate prospectus supplement with respect to the Offered Debt Securities has been prepared, delivered and filed in compliance with the Securities Act and the applicable rules and regulations thereunder; (iii) if the Offered Debt Securities are to be sold pursuant to a firm commitment underwritten offering, an underwriting agreement with respect to the Offered Debt Securities has been duly authorized, executed and delivered by the Company and the other parties thereto; (iv) the Indenture and any supplemental indenture relating to the Offered Debt Securities has been duly authorized,executed and delivered by the Company and the other parties thereto; (v) the Board of Directors of the Company, including any appropriate committee appointed thereby, and appropriate officers of the Company have taken all necessary corporate action to approve the issuance, sale and terms of the Offered Debt Securities, the consideration received therefor and related matters; (vi) the terms of the Offered Debt Securities and of their issuance and sale have been duly established in conformity with the Indenture and any supplemental indenture relating to such Offered Debt Securities so as not to violate any applicable law, the Amended and Restated Certificate of Incorporation as then in effect or the Amended and Restated Bylaws as then in effect, or result in a default under or breach of any agreement or instrument binding upon the Company, and so as to comply with any requirement or restriction imposed by any court or governmental authority having jurisdiction over the Company; and (vii) the Offered Debt Securities have been duly executed and authenticated in accordance with the provisions of the Indenture and any supplemental indenture relating to such Offered Debt Securities and delivered to the purchasers thereof upon payment of the agreed upon considerationtherefor, the Offered Debt Securities, when issued and sold or otherwise distributed in accordance with the Indenture and any supplemental indenture relating to such Offered Debt Securities, and the applicable underwriting agreement, if any, or any other duly authorized, executed and delivered valid and binding agreement, will constitute valid and binding obligations of the Company, enforceable against the Company in accordance with their respective terms, except to the extent that enforcement thereof may be limited by (a) bankruptcy, insolvency, reorganization, fraudulent conveyance, moratorium or other similar laws now or hereafter in effect relating to creditors’ rights generally, (b) general principles of equity (regardless of whether enforceability is considered in a proceeding at law or in equity), (c) public policy considerations which may limit the rights of parties to obtain remedies, the waivers of any usury defense contained in the Indenture, any supplemental indenture or the Offered Debt Securities that may be unenforceable, (d) requirements that a claim with respect to any Offered Debt Securities denominated in a currency, currency unit or composite currency other than United States dollars (or a judgment denominated other than in United States dollars in respect of such claim) be converted into United States dollars at a rate of exchange prevailing on a date determined pursuant to applicable law, and (e) governmental authority to limit, delay or prohibit the making of payments outside the United States or in foreign currencies, currency units or composite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324485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08" w:right="239" w:bottom="1440" w:gutter="0" w:footer="0" w:header="0"/>
        </w:sectPr>
      </w:pPr>
    </w:p>
    <w:bookmarkStart w:id="77" w:name="page78"/>
    <w:bookmarkEnd w:id="77"/>
    <w:p>
      <w:pPr>
        <w:jc w:val="both"/>
        <w:ind w:left="980" w:hanging="324"/>
        <w:spacing w:after="0" w:line="264" w:lineRule="auto"/>
        <w:tabs>
          <w:tab w:leader="none" w:pos="98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With respect to any offering of Units by the Company pursuant to the Registration Statement (the “</w:t>
      </w:r>
      <w:r>
        <w:rPr>
          <w:rFonts w:ascii="Arial" w:cs="Arial" w:eastAsia="Arial" w:hAnsi="Arial"/>
          <w:sz w:val="13"/>
          <w:szCs w:val="13"/>
          <w:u w:val="single" w:color="auto"/>
          <w:color w:val="auto"/>
        </w:rPr>
        <w:t>Offered Units</w:t>
      </w:r>
      <w:r>
        <w:rPr>
          <w:rFonts w:ascii="Arial" w:cs="Arial" w:eastAsia="Arial" w:hAnsi="Arial"/>
          <w:sz w:val="13"/>
          <w:szCs w:val="13"/>
          <w:color w:val="auto"/>
        </w:rPr>
        <w:t>”), when (i) the Registration Statement, as finally amended (including all necessary post-effective amendments), has become effective under the Securities Act, (ii) an appropriate prospectus supplement with respect to the Offered Units has been prepared, delivered and filed in compliance with the Securities Act and the applicable rules and regulations thereunder, (iii) if the Offered Units are to be sold pursuant to a firm commitment underwritten offering or in a best efforts placement offering, the underwriting agreement or placement agency agreement with respect to the Offered Units has been duly authorized, executed and delivered by the Company and the other parties thereto, (iv) the Board of Directors, including any appropriate committee appointed thereby, and appropriate officers of the Company have taken all necessary corporate action to approve the form, issuance, execution and terms of the Offered Units, the related unit agreements between the Company and the unit agent or purchaser named therein (“</w:t>
      </w:r>
      <w:r>
        <w:rPr>
          <w:rFonts w:ascii="Arial" w:cs="Arial" w:eastAsia="Arial" w:hAnsi="Arial"/>
          <w:sz w:val="13"/>
          <w:szCs w:val="13"/>
          <w:u w:val="single" w:color="auto"/>
          <w:color w:val="auto"/>
        </w:rPr>
        <w:t>Unit Agreements</w:t>
      </w:r>
      <w:r>
        <w:rPr>
          <w:rFonts w:ascii="Arial" w:cs="Arial" w:eastAsia="Arial" w:hAnsi="Arial"/>
          <w:sz w:val="13"/>
          <w:szCs w:val="13"/>
          <w:color w:val="auto"/>
        </w:rPr>
        <w:t>”), if any, and any Offered Securities which are components of such Offered Units, the terms of the offering thereof and related matters, (v) the terms of the issuance and sale of the Offered Units have been duly established in conformity with the Amended and Restated Certificate of Incorporation and the Amended and Restated Bylaws so as not to violate any applicable law or result in a default under or breach of any agreement or instrument binding upon the Company and so as to comply with any requirement or restriction imposed by any court or governmental body having jurisdiction over the Company and (vi) the (1) Offered Units, (2) the Unit Agreements, if any, and (3) such Offered Securities that are components of such Offered Units have been duly and properly sold, paid for and delivered as contemplated in the Registration Statement, any prospectus supplement relating thereto and, if applicable, in accordance with the applicable underwriting or other purchase agreement and otherwise in accordance with the provisions of any applicable (i) Unit Agreement and (ii) Warrant Agreement, in the case of Warrants, such Units will be validly issued and will entitle the holder thereof to the rights specified in the Unit Agreements, if any.</w:t>
      </w:r>
    </w:p>
    <w:p>
      <w:pPr>
        <w:spacing w:after="0" w:line="12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5"/>
          <w:szCs w:val="15"/>
          <w:color w:val="auto"/>
        </w:rPr>
        <w:t>The opinions set forth herein are limited to the DGCL, applicable provisions of the Constitution of the State of Delaware and reported judicial decisions interpreting the foregoing, and federal laws of the United States of America to the extent referred to specifically herein (all of the foregoing being referred to as “</w:t>
      </w:r>
      <w:r>
        <w:rPr>
          <w:rFonts w:ascii="Arial" w:cs="Arial" w:eastAsia="Arial" w:hAnsi="Arial"/>
          <w:sz w:val="15"/>
          <w:szCs w:val="15"/>
          <w:u w:val="single" w:color="auto"/>
          <w:color w:val="auto"/>
        </w:rPr>
        <w:t>Opined on Law</w:t>
      </w:r>
      <w:r>
        <w:rPr>
          <w:rFonts w:ascii="Arial" w:cs="Arial" w:eastAsia="Arial" w:hAnsi="Arial"/>
          <w:sz w:val="15"/>
          <w:szCs w:val="15"/>
          <w:color w:val="auto"/>
        </w:rPr>
        <w:t>”). We do not express any opinion herein concerning any other laws. We are not engaged in the practice in the State of Delaware; however, we are generally familiar with the DGCL as currently in effect and have made such inquiries as we consider necessary to render the opinion contained herein. We assume no obligation to revise or supplement this opinion in the event of future changes in such laws or the interpretations thereof or such facts.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4"/>
          <w:szCs w:val="14"/>
          <w:color w:val="auto"/>
        </w:rPr>
        <w:t>The opinions set forth above in numbered paragraphs (1) through (5) are subject to (i) the effect of any bankruptcy, insolvency, reorganization, moratorium, arrangement or similar laws affecting the rights and remedies of creditors generally, including the effect of statutory or other laws regarding fraudulent transfers or preferential transfers, and (ii) general principles of equity, including concepts of materiality, reasonableness, good faith and fair dealing and the possible unavailability of specific performance, injunctive relief or other equitable remedies regardless of whether enforceability is considered in a proceeding in equity or at law. We express no opinion regarding the effectiveness of (i) any waiver of stay, extension or usury laws or of unknown future rights; or (ii) provisions may be held unenforceable as contrary to federal or state securities laws.</w:t>
      </w:r>
    </w:p>
    <w:p>
      <w:pPr>
        <w:spacing w:after="0" w:line="13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5"/>
          <w:szCs w:val="15"/>
          <w:color w:val="auto"/>
        </w:rPr>
        <w:t>No opinion may be implied or inferred beyond the opinions expressly stated in numbered paragraphs (1) through (5) above. Our opinions expressed herein are as of the date hereof, and we undertake no obligation to advise you of any changes in applicable law or any other matters that may come to our attention after the date hereof that may affect our opinion expressed herein.</w:t>
      </w:r>
    </w:p>
    <w:p>
      <w:pPr>
        <w:spacing w:after="0" w:line="137" w:lineRule="exact"/>
        <w:rPr>
          <w:sz w:val="20"/>
          <w:szCs w:val="20"/>
          <w:color w:val="auto"/>
        </w:rPr>
      </w:pPr>
    </w:p>
    <w:p>
      <w:pPr>
        <w:ind w:right="60" w:firstLine="648"/>
        <w:spacing w:after="0" w:line="237" w:lineRule="auto"/>
        <w:rPr>
          <w:sz w:val="20"/>
          <w:szCs w:val="20"/>
          <w:color w:val="auto"/>
        </w:rPr>
      </w:pPr>
      <w:r>
        <w:rPr>
          <w:rFonts w:ascii="Arial" w:cs="Arial" w:eastAsia="Arial" w:hAnsi="Arial"/>
          <w:sz w:val="15"/>
          <w:szCs w:val="15"/>
          <w:color w:val="auto"/>
        </w:rPr>
        <w:t>We consent to the filing of this opinion letter as an exhibit to the Registration Statement and to the use of our name under the heading “Legal Matters” in the prospectus constituting a part thereof. In giving such consent, we do not thereby admit that we are within the category of persons whose consent is required under Section 7 of the Securities Act or the rules and regulations of the Commission thereunder</w:t>
      </w:r>
    </w:p>
    <w:p>
      <w:pPr>
        <w:spacing w:after="0" w:line="35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Sincerely,</w:t>
      </w:r>
    </w:p>
    <w:p>
      <w:pPr>
        <w:spacing w:after="0" w:line="170"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ALSTON &amp; BIRD LLP</w:t>
      </w:r>
    </w:p>
    <w:p>
      <w:pPr>
        <w:spacing w:after="0" w:line="206"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Mark F. McElreath</w:t>
      </w:r>
    </w:p>
    <w:p>
      <w:pPr>
        <w:spacing w:after="0" w:line="2"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Mark F. McElreath,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Atlanta • Beijing • Brussels • Charlotte • Dallas • Los Angeles • New York • Raleigh • San Francisco </w:t>
      </w:r>
      <w:r>
        <w:rPr>
          <w:rFonts w:ascii="Arial" w:cs="Arial" w:eastAsia="Arial" w:hAnsi="Arial"/>
          <w:sz w:val="17"/>
          <w:szCs w:val="17"/>
          <w:color w:val="auto"/>
        </w:rPr>
        <w:t>•</w:t>
      </w:r>
      <w:r>
        <w:rPr>
          <w:rFonts w:ascii="Arial" w:cs="Arial" w:eastAsia="Arial" w:hAnsi="Arial"/>
          <w:sz w:val="15"/>
          <w:szCs w:val="15"/>
          <w:color w:val="auto"/>
        </w:rPr>
        <w:t>Silicon Valley •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 dated March 1, 2019 relating to our audits of the consolidated balance sheets of TG Therapeutics, Inc. and Subsidiaries as of December 31, 2018 and 2017, and the related consolidated statements of operations, stockholders’ equity, and cash flows for each of the three years in the period ended December 31, 2018, and our report dated March 1, 2019 on our audit of internal control over financial reporting of TG Therapeutics, Inc. and Subsidiaries as of December 31, 2018 which reports are included in the TG Therapeutics, Inc. 2018 Annual Report on Form 10-K. We also consent to the reference to our Firm under the caption “Experts”.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1)"/>
      <w:numFmt w:val="lowerLetter"/>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1)"/>
      <w:numFmt w:val="lowerLetter"/>
      <w:start w:val="1"/>
    </w:lvl>
  </w:abstractNum>
  <w:abstractNum w:abstractNumId="14">
    <w:nsid w:val="235BA861"/>
    <w:multiLevelType w:val="hybridMultilevel"/>
    <w:lvl w:ilvl="0">
      <w:lvlJc w:val="left"/>
      <w:lvlText w:val="%1."/>
      <w:numFmt w:val="upperLetter"/>
      <w:start w:val="1"/>
    </w:lvl>
  </w:abstractNum>
  <w:abstractNum w:abstractNumId="15">
    <w:nsid w:val="47398C89"/>
    <w:multiLevelType w:val="hybridMultilevel"/>
    <w:lvl w:ilvl="0">
      <w:lvlJc w:val="left"/>
      <w:lvlText w:val="(%1)"/>
      <w:numFmt w:val="decimal"/>
      <w:start w:val="1"/>
    </w:lvl>
    <w:lvl w:ilvl="1">
      <w:lvlJc w:val="left"/>
      <w:lvlText w:val="(%2)"/>
      <w:numFmt w:val="lowerRoman"/>
      <w:start w:val="1"/>
    </w:lvl>
  </w:abstractNum>
  <w:abstractNum w:abstractNumId="16">
    <w:nsid w:val="354FE9F9"/>
    <w:multiLevelType w:val="hybridMultilevel"/>
    <w:lvl w:ilvl="0">
      <w:lvlJc w:val="left"/>
      <w:lvlText w:val="%1"/>
      <w:numFmt w:val="decimal"/>
      <w:start w:val="1"/>
    </w:lvl>
    <w:lvl w:ilvl="1">
      <w:lvlJc w:val="left"/>
      <w:lvlText w:val="(%2)"/>
      <w:numFmt w:val="upperLetter"/>
      <w:start w:val="1"/>
    </w:lvl>
  </w:abstractNum>
  <w:abstractNum w:abstractNumId="17">
    <w:nsid w:val="15B5AF5C"/>
    <w:multiLevelType w:val="hybridMultilevel"/>
    <w:lvl w:ilvl="0">
      <w:lvlJc w:val="left"/>
      <w:lvlText w:val="(%1)"/>
      <w:numFmt w:val="decimal"/>
      <w:start w:val="6"/>
    </w:lvl>
    <w:lvl w:ilvl="1">
      <w:lvlJc w:val="left"/>
      <w:lvlText w:val="%2"/>
      <w:numFmt w:val="upperLetter"/>
      <w:start w:val="1"/>
    </w:lvl>
  </w:abstractNum>
  <w:abstractNum w:abstractNumId="18">
    <w:nsid w:val="741226BB"/>
    <w:multiLevelType w:val="hybridMultilevel"/>
    <w:lvl w:ilvl="0">
      <w:lvlJc w:val="left"/>
      <w:lvlText w:val="%1"/>
      <w:numFmt w:val="upperLetter"/>
      <w:start w:val="1"/>
    </w:lvl>
    <w:lvl w:ilvl="1">
      <w:lvlJc w:val="left"/>
      <w:lvlText w:val="(%2)"/>
      <w:numFmt w:val="lowerRoman"/>
      <w:start w:val="2"/>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1)"/>
      <w:numFmt w:val="decimal"/>
      <w:start w:val="1"/>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1)"/>
      <w:numFmt w:val="decimal"/>
      <w:start w:val="1"/>
    </w:lvl>
  </w:abstractNum>
  <w:abstractNum w:abstractNumId="28">
    <w:nsid w:val="2F305DEF"/>
    <w:multiLevelType w:val="hybridMultilevel"/>
    <w:lvl w:ilvl="0">
      <w:lvlJc w:val="left"/>
      <w:lvlText w:val="(%1)"/>
      <w:numFmt w:val="lowerRoman"/>
      <w:start w:val="2"/>
    </w:lvl>
  </w:abstractNum>
  <w:abstractNum w:abstractNumId="29">
    <w:nsid w:val="25A70BF7"/>
    <w:multiLevelType w:val="hybridMultilevel"/>
    <w:lvl w:ilvl="0">
      <w:lvlJc w:val="left"/>
      <w:lvlText w:val="(%1)"/>
      <w:numFmt w:val="decimal"/>
      <w:start w:val="1"/>
    </w:lvl>
  </w:abstractNum>
  <w:abstractNum w:abstractNumId="30">
    <w:nsid w:val="1DBABF00"/>
    <w:multiLevelType w:val="hybridMultilevel"/>
    <w:lvl w:ilvl="0">
      <w:lvlJc w:val="left"/>
      <w:lvlText w:val="(%1)"/>
      <w:numFmt w:val="lowerLetter"/>
      <w:start w:val="1"/>
    </w:lvl>
  </w:abstractNum>
  <w:abstractNum w:abstractNumId="31">
    <w:nsid w:val="4AD084E9"/>
    <w:multiLevelType w:val="hybridMultilevel"/>
    <w:lvl w:ilvl="0">
      <w:lvlJc w:val="left"/>
      <w:lvlText w:val="(%1)"/>
      <w:numFmt w:val="lowerLetter"/>
      <w:start w:val="1"/>
    </w:lvl>
  </w:abstractNum>
  <w:abstractNum w:abstractNumId="32">
    <w:nsid w:val="1F48EAA1"/>
    <w:multiLevelType w:val="hybridMultilevel"/>
    <w:lvl w:ilvl="0">
      <w:lvlJc w:val="left"/>
      <w:lvlText w:val="(%1)"/>
      <w:numFmt w:val="lowerLetter"/>
      <w:start w:val="1"/>
    </w:lvl>
  </w:abstractNum>
  <w:abstractNum w:abstractNumId="33">
    <w:nsid w:val="1381823A"/>
    <w:multiLevelType w:val="hybridMultilevel"/>
    <w:lvl w:ilvl="0">
      <w:lvlJc w:val="left"/>
      <w:lvlText w:val="(%1)"/>
      <w:numFmt w:val="lowerLetter"/>
      <w:start w:val="4"/>
    </w:lvl>
  </w:abstractNum>
  <w:abstractNum w:abstractNumId="34">
    <w:nsid w:val="5DB70AE5"/>
    <w:multiLevelType w:val="hybridMultilevel"/>
    <w:lvl w:ilvl="0">
      <w:lvlJc w:val="left"/>
      <w:lvlText w:val="(%1)"/>
      <w:numFmt w:val="lowerLetter"/>
      <w:start w:val="20"/>
    </w:lvl>
  </w:abstractNum>
  <w:abstractNum w:abstractNumId="35">
    <w:nsid w:val="100F8FCA"/>
    <w:multiLevelType w:val="hybridMultilevel"/>
    <w:lvl w:ilvl="0">
      <w:lvlJc w:val="left"/>
      <w:lvlText w:val="(%1)"/>
      <w:numFmt w:val="lowerLetter"/>
      <w:start w:val="24"/>
    </w:lvl>
  </w:abstractNum>
  <w:abstractNum w:abstractNumId="36">
    <w:nsid w:val="6590700B"/>
    <w:multiLevelType w:val="hybridMultilevel"/>
    <w:lvl w:ilvl="0">
      <w:lvlJc w:val="left"/>
      <w:lvlText w:val="(%1)"/>
      <w:numFmt w:val="lowerLetter"/>
      <w:start w:val="27"/>
    </w:lvl>
  </w:abstractNum>
  <w:abstractNum w:abstractNumId="37">
    <w:nsid w:val="15014ACB"/>
    <w:multiLevelType w:val="hybridMultilevel"/>
    <w:lvl w:ilvl="0">
      <w:lvlJc w:val="left"/>
      <w:lvlText w:val="(%1)"/>
      <w:numFmt w:val="lowerLetter"/>
      <w:start w:val="1"/>
    </w:lvl>
  </w:abstractNum>
  <w:abstractNum w:abstractNumId="38">
    <w:nsid w:val="5F5E7FD0"/>
    <w:multiLevelType w:val="hybridMultilevel"/>
    <w:lvl w:ilvl="0">
      <w:lvlJc w:val="left"/>
      <w:lvlText w:val="(%1)"/>
      <w:numFmt w:val="lowerLetter"/>
      <w:start w:val="7"/>
    </w:lvl>
  </w:abstractNum>
  <w:abstractNum w:abstractNumId="39">
    <w:nsid w:val="98A3148"/>
    <w:multiLevelType w:val="hybridMultilevel"/>
    <w:lvl w:ilvl="0">
      <w:lvlJc w:val="left"/>
      <w:lvlText w:val="(%1)"/>
      <w:numFmt w:val="lowerLetter"/>
      <w:start w:val="8"/>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1)"/>
      <w:numFmt w:val="lowerLetter"/>
      <w:start w:val="3"/>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lowerLetter"/>
      <w:start w:val="1"/>
    </w:lvl>
    <w:lvl w:ilvl="1">
      <w:lvlJc w:val="left"/>
      <w:lvlText w:val="(%2)"/>
      <w:numFmt w:val="lowerRoman"/>
      <w:start w:val="1"/>
    </w:lvl>
  </w:abstractNum>
  <w:abstractNum w:abstractNumId="44">
    <w:nsid w:val="1EBA5D2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45">
    <w:nsid w:val="661E3F1E"/>
    <w:multiLevelType w:val="hybridMultilevel"/>
    <w:lvl w:ilvl="0">
      <w:lvlJc w:val="left"/>
      <w:lvlText w:val="(%1)"/>
      <w:numFmt w:val="lowerLetter"/>
      <w:start w:val="25"/>
    </w:lvl>
    <w:lvl w:ilvl="1">
      <w:lvlJc w:val="left"/>
      <w:lvlText w:val="(%2)"/>
      <w:numFmt w:val="lowerLetter"/>
      <w:start w:val="3"/>
    </w:lvl>
    <w:lvl w:ilvl="2">
      <w:lvlJc w:val="left"/>
      <w:lvlText w:val="(%3)"/>
      <w:numFmt w:val="lowerLetter"/>
      <w:start w:val="60"/>
    </w:lvl>
    <w:lvl w:ilvl="3">
      <w:lvlJc w:val="left"/>
      <w:lvlText w:val="(%4)"/>
      <w:numFmt w:val="upperLetter"/>
      <w:start w:val="1"/>
    </w:lvl>
  </w:abstractNum>
  <w:abstractNum w:abstractNumId="46">
    <w:nsid w:val="5DC79E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47">
    <w:nsid w:val="540A471C"/>
    <w:multiLevelType w:val="hybridMultilevel"/>
    <w:lvl w:ilvl="0">
      <w:lvlJc w:val="left"/>
      <w:lvlText w:val="%1"/>
      <w:numFmt w:val="lowerLetter"/>
      <w:start w:val="1"/>
    </w:lvl>
    <w:lvl w:ilvl="1">
      <w:lvlJc w:val="left"/>
      <w:lvlText w:val="(%2)"/>
      <w:numFmt w:val="lowerLetter"/>
      <w:start w:val="35"/>
    </w:lvl>
  </w:abstractNum>
  <w:abstractNum w:abstractNumId="48">
    <w:nsid w:val="7BD3EE7B"/>
    <w:multiLevelType w:val="hybridMultilevel"/>
    <w:lvl w:ilvl="0">
      <w:lvlJc w:val="left"/>
      <w:lvlText w:val="(%1)"/>
      <w:numFmt w:val="lowerLetter"/>
      <w:start w:val="6"/>
    </w:lvl>
    <w:lvl w:ilvl="1">
      <w:lvlJc w:val="left"/>
      <w:lvlText w:val="%2"/>
      <w:numFmt w:val="lowerLetter"/>
      <w:start w:val="1"/>
    </w:lvl>
  </w:abstractNum>
  <w:abstractNum w:abstractNumId="49">
    <w:nsid w:val="51D9C564"/>
    <w:multiLevelType w:val="hybridMultilevel"/>
    <w:lvl w:ilvl="0">
      <w:lvlJc w:val="left"/>
      <w:lvlText w:val="(%1)"/>
      <w:numFmt w:val="lowerLetter"/>
      <w:start w:val="11"/>
    </w:lvl>
  </w:abstractNum>
  <w:abstractNum w:abstractNumId="50">
    <w:nsid w:val="613EFDC5"/>
    <w:multiLevelType w:val="hybridMultilevel"/>
    <w:lvl w:ilvl="0">
      <w:lvlJc w:val="left"/>
      <w:lvlText w:val="(%1)"/>
      <w:numFmt w:val="lowerLetter"/>
      <w:start w:val="1"/>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lowerLetter"/>
      <w:start w:val="1"/>
    </w:lvl>
    <w:lvl w:ilvl="1">
      <w:lvlJc w:val="left"/>
      <w:lvlText w:val="(%2)"/>
      <w:numFmt w:val="lowerRoman"/>
      <w:start w:val="1"/>
    </w:lvl>
  </w:abstractNum>
  <w:abstractNum w:abstractNumId="53">
    <w:nsid w:val="42963E5A"/>
    <w:multiLevelType w:val="hybridMultilevel"/>
    <w:lvl w:ilvl="0">
      <w:lvlJc w:val="left"/>
      <w:lvlText w:val="(%1)"/>
      <w:numFmt w:val="lowerLetter"/>
      <w:start w:val="3"/>
    </w:lvl>
    <w:lvl w:ilvl="1">
      <w:lvlJc w:val="left"/>
      <w:lvlText w:val="%2"/>
      <w:numFmt w:val="lowerRoman"/>
      <w:start w:val="1"/>
    </w:lvl>
  </w:abstractNum>
  <w:abstractNum w:abstractNumId="54">
    <w:nsid w:val="A0382C5"/>
    <w:multiLevelType w:val="hybridMultilevel"/>
    <w:lvl w:ilvl="0">
      <w:lvlJc w:val="left"/>
      <w:lvlText w:val="(%1)"/>
      <w:numFmt w:val="lowerLetter"/>
      <w:start w:val="1"/>
    </w:lvl>
  </w:abstractNum>
  <w:abstractNum w:abstractNumId="55">
    <w:nsid w:val="8F2B15E"/>
    <w:multiLevelType w:val="hybridMultilevel"/>
    <w:lvl w:ilvl="0">
      <w:lvlJc w:val="left"/>
      <w:lvlText w:val="(%1)"/>
      <w:numFmt w:val="lowerLetter"/>
      <w:start w:val="1"/>
    </w:lvl>
  </w:abstractNum>
  <w:abstractNum w:abstractNumId="56">
    <w:nsid w:val="1A32234B"/>
    <w:multiLevelType w:val="hybridMultilevel"/>
    <w:lvl w:ilvl="0">
      <w:lvlJc w:val="left"/>
      <w:lvlText w:val="(%1)"/>
      <w:numFmt w:val="lowerLetter"/>
      <w:start w:val="1"/>
    </w:lvl>
  </w:abstractNum>
  <w:abstractNum w:abstractNumId="57">
    <w:nsid w:val="3B0FD379"/>
    <w:multiLevelType w:val="hybridMultilevel"/>
    <w:lvl w:ilvl="0">
      <w:lvlJc w:val="left"/>
      <w:lvlText w:val="(%1)"/>
      <w:numFmt w:val="lowerLetter"/>
      <w:start w:val="2"/>
    </w:lvl>
    <w:lvl w:ilvl="1">
      <w:lvlJc w:val="left"/>
      <w:lvlText w:val="(%2)"/>
      <w:numFmt w:val="lowerRoman"/>
      <w:start w:val="1"/>
    </w:lvl>
  </w:abstractNum>
  <w:abstractNum w:abstractNumId="58">
    <w:nsid w:val="68EB2F63"/>
    <w:multiLevelType w:val="hybridMultilevel"/>
    <w:lvl w:ilvl="0">
      <w:lvlJc w:val="left"/>
      <w:lvlText w:val="(%1)"/>
      <w:numFmt w:val="lowerLetter"/>
      <w:start w:val="1"/>
    </w:lvl>
  </w:abstractNum>
  <w:abstractNum w:abstractNumId="59">
    <w:nsid w:val="4962813B"/>
    <w:multiLevelType w:val="hybridMultilevel"/>
    <w:lvl w:ilvl="0">
      <w:lvlJc w:val="left"/>
      <w:lvlText w:val="(%1)"/>
      <w:numFmt w:val="lowerLetter"/>
      <w:start w:val="1"/>
    </w:lvl>
  </w:abstractNum>
  <w:abstractNum w:abstractNumId="60">
    <w:nsid w:val="60B6DF70"/>
    <w:multiLevelType w:val="hybridMultilevel"/>
    <w:lvl w:ilvl="0">
      <w:lvlJc w:val="left"/>
      <w:lvlText w:val="(%1)"/>
      <w:numFmt w:val="lowerLetter"/>
      <w:start w:val="1"/>
    </w:lvl>
  </w:abstractNum>
  <w:abstractNum w:abstractNumId="61">
    <w:nsid w:val="6A5EE64"/>
    <w:multiLevelType w:val="hybridMultilevel"/>
    <w:lvl w:ilvl="0">
      <w:lvlJc w:val="left"/>
      <w:lvlText w:val="(%1)"/>
      <w:numFmt w:val="lowerLetter"/>
      <w:start w:val="3"/>
    </w:lvl>
  </w:abstractNum>
  <w:abstractNum w:abstractNumId="62">
    <w:nsid w:val="14330624"/>
    <w:multiLevelType w:val="hybridMultilevel"/>
    <w:lvl w:ilvl="0">
      <w:lvlJc w:val="left"/>
      <w:lvlText w:val="(%1)"/>
      <w:numFmt w:val="lowerLetter"/>
      <w:start w:val="1"/>
    </w:lvl>
  </w:abstractNum>
  <w:abstractNum w:abstractNumId="63">
    <w:nsid w:val="7FFFCA11"/>
    <w:multiLevelType w:val="hybridMultilevel"/>
    <w:lvl w:ilvl="0">
      <w:lvlJc w:val="left"/>
      <w:lvlText w:val="(%1)"/>
      <w:numFmt w:val="lowerLetter"/>
      <w:start w:val="1"/>
    </w:lvl>
    <w:lvl w:ilvl="1">
      <w:lvlJc w:val="left"/>
      <w:lvlText w:val="(%2)"/>
      <w:numFmt w:val="lowerRoman"/>
      <w:start w:val="1"/>
    </w:lvl>
  </w:abstractNum>
  <w:abstractNum w:abstractNumId="64">
    <w:nsid w:val="1A27709E"/>
    <w:multiLevelType w:val="hybridMultilevel"/>
    <w:lvl w:ilvl="0">
      <w:lvlJc w:val="left"/>
      <w:lvlText w:val="(%1)"/>
      <w:numFmt w:val="lowerLetter"/>
      <w:start w:val="4"/>
    </w:lvl>
  </w:abstractNum>
  <w:abstractNum w:abstractNumId="65">
    <w:nsid w:val="71EA1109"/>
    <w:multiLevelType w:val="hybridMultilevel"/>
    <w:lvl w:ilvl="0">
      <w:lvlJc w:val="left"/>
      <w:lvlText w:val="(%1)"/>
      <w:numFmt w:val="lowerLetter"/>
      <w:start w:val="1"/>
    </w:lvl>
  </w:abstractNum>
  <w:abstractNum w:abstractNumId="66">
    <w:nsid w:val="100F59DC"/>
    <w:multiLevelType w:val="hybridMultilevel"/>
    <w:lvl w:ilvl="0">
      <w:lvlJc w:val="left"/>
      <w:lvlText w:val="(%1)"/>
      <w:numFmt w:val="lowerLetter"/>
      <w:start w:val="1"/>
    </w:lvl>
  </w:abstractNum>
  <w:abstractNum w:abstractNumId="67">
    <w:nsid w:val="7FB7E0A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68">
    <w:nsid w:val="6EB5BD4"/>
    <w:multiLevelType w:val="hybridMultilevel"/>
    <w:lvl w:ilvl="0">
      <w:lvlJc w:val="left"/>
      <w:lvlText w:val="(%1)"/>
      <w:numFmt w:val="lowerLetter"/>
      <w:start w:val="1"/>
    </w:lvl>
  </w:abstractNum>
  <w:abstractNum w:abstractNumId="69">
    <w:nsid w:val="6F6DD9AC"/>
    <w:multiLevelType w:val="hybridMultilevel"/>
    <w:lvl w:ilvl="0">
      <w:lvlJc w:val="left"/>
      <w:lvlText w:val="(%1)"/>
      <w:numFmt w:val="lowerLetter"/>
      <w:start w:val="1"/>
    </w:lvl>
  </w:abstractNum>
  <w:abstractNum w:abstractNumId="70">
    <w:nsid w:val="94211F2"/>
    <w:multiLevelType w:val="hybridMultilevel"/>
    <w:lvl w:ilvl="0">
      <w:lvlJc w:val="left"/>
      <w:lvlText w:val="(%1)"/>
      <w:numFmt w:val="lowerLetter"/>
      <w:start w:val="1"/>
    </w:lvl>
  </w:abstractNum>
  <w:abstractNum w:abstractNumId="71">
    <w:nsid w:val="885E1B"/>
    <w:multiLevelType w:val="hybridMultilevel"/>
    <w:lvl w:ilvl="0">
      <w:lvlJc w:val="left"/>
      <w:lvlText w:val="(%1)"/>
      <w:numFmt w:val="lowerLetter"/>
      <w:start w:val="1"/>
    </w:lvl>
  </w:abstractNum>
  <w:abstractNum w:abstractNumId="72">
    <w:nsid w:val="76272110"/>
    <w:multiLevelType w:val="hybridMultilevel"/>
    <w:lvl w:ilvl="0">
      <w:lvlJc w:val="left"/>
      <w:lvlText w:val="(%1)"/>
      <w:numFmt w:val="lowerLetter"/>
      <w:start w:val="1"/>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lowerLetter"/>
      <w:start w:val="1"/>
    </w:lvl>
  </w:abstractNum>
  <w:abstractNum w:abstractNumId="75">
    <w:nsid w:val="14E17E33"/>
    <w:multiLevelType w:val="hybridMultilevel"/>
    <w:lvl w:ilvl="0">
      <w:lvlJc w:val="left"/>
      <w:lvlText w:val="(%1)"/>
      <w:numFmt w:val="lowerLetter"/>
      <w:start w:val="2"/>
    </w:lvl>
  </w:abstractNum>
  <w:abstractNum w:abstractNumId="76">
    <w:nsid w:val="3222E7CD"/>
    <w:multiLevelType w:val="hybridMultilevel"/>
    <w:lvl w:ilvl="0">
      <w:lvlJc w:val="left"/>
      <w:lvlText w:val="(%1)"/>
      <w:numFmt w:val="lowerLetter"/>
      <w:start w:val="5"/>
    </w:lvl>
  </w:abstractNum>
  <w:abstractNum w:abstractNumId="77">
    <w:nsid w:val="74DE0EE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8">
    <w:nsid w:val="68EBC550"/>
    <w:multiLevelType w:val="hybridMultilevel"/>
    <w:lvl w:ilvl="0">
      <w:lvlJc w:val="left"/>
      <w:lvlText w:val="(%1)"/>
      <w:numFmt w:val="lowerLetter"/>
      <w:start w:val="1"/>
    </w:lvl>
  </w:abstractNum>
  <w:abstractNum w:abstractNumId="79">
    <w:nsid w:val="2DF6D648"/>
    <w:multiLevelType w:val="hybridMultilevel"/>
    <w:lvl w:ilvl="0">
      <w:lvlJc w:val="left"/>
      <w:lvlText w:val="(%1)"/>
      <w:numFmt w:val="decimal"/>
      <w:start w:val="1"/>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2">
    <w:nsid w:val="39EE015C"/>
    <w:multiLevelType w:val="hybridMultilevel"/>
    <w:lvl w:ilvl="0">
      <w:lvlJc w:val="left"/>
      <w:lvlText w:val="(%1)"/>
      <w:numFmt w:val="lowerLetter"/>
      <w:start w:val="2"/>
    </w:lvl>
  </w:abstractNum>
  <w:abstractNum w:abstractNumId="83">
    <w:nsid w:val="57FC4FBB"/>
    <w:multiLevelType w:val="hybridMultilevel"/>
    <w:lvl w:ilvl="0">
      <w:lvlJc w:val="left"/>
      <w:lvlText w:val="(%1)"/>
      <w:numFmt w:val="lowerLetter"/>
      <w:start w:val="1"/>
    </w:lvl>
    <w:lvl w:ilvl="1">
      <w:lvlJc w:val="left"/>
      <w:lvlText w:val="(%2)"/>
      <w:numFmt w:val="lowerLetter"/>
      <w:start w:val="1"/>
    </w:lvl>
  </w:abstractNum>
  <w:abstractNum w:abstractNumId="84">
    <w:nsid w:val="CC1016F"/>
    <w:multiLevelType w:val="hybridMultilevel"/>
    <w:lvl w:ilvl="0">
      <w:lvlJc w:val="left"/>
      <w:lvlText w:val="(%1)"/>
      <w:numFmt w:val="lowerLetter"/>
      <w:start w:val="1"/>
    </w:lvl>
  </w:abstractNum>
  <w:abstractNum w:abstractNumId="85">
    <w:nsid w:val="43F18422"/>
    <w:multiLevelType w:val="hybridMultilevel"/>
    <w:lvl w:ilvl="0">
      <w:lvlJc w:val="left"/>
      <w:lvlText w:val="(%1)"/>
      <w:numFmt w:val="lowerLetter"/>
      <w:start w:val="1"/>
    </w:lvl>
  </w:abstractNum>
  <w:abstractNum w:abstractNumId="86">
    <w:nsid w:val="60EF0119"/>
    <w:multiLevelType w:val="hybridMultilevel"/>
    <w:lvl w:ilvl="0">
      <w:lvlJc w:val="left"/>
      <w:lvlText w:val="(%1)"/>
      <w:numFmt w:val="lowerLetter"/>
      <w:start w:val="1"/>
    </w:lvl>
  </w:abstractNum>
  <w:abstractNum w:abstractNumId="87">
    <w:nsid w:val="26F324BA"/>
    <w:multiLevelType w:val="hybridMultilevel"/>
    <w:lvl w:ilvl="0">
      <w:lvlJc w:val="left"/>
      <w:lvlText w:val="(%1)"/>
      <w:numFmt w:val="lowerLetter"/>
      <w:start w:val="6"/>
    </w:lvl>
  </w:abstractNum>
  <w:abstractNum w:abstractNumId="88">
    <w:nsid w:val="7F01579B"/>
    <w:multiLevelType w:val="hybridMultilevel"/>
    <w:lvl w:ilvl="0">
      <w:lvlJc w:val="left"/>
      <w:lvlText w:val="(%1)"/>
      <w:numFmt w:val="lowerLetter"/>
      <w:start w:val="1"/>
    </w:lvl>
  </w:abstractNum>
  <w:abstractNum w:abstractNumId="89">
    <w:nsid w:val="49DA307D"/>
    <w:multiLevelType w:val="hybridMultilevel"/>
    <w:lvl w:ilvl="0">
      <w:lvlJc w:val="left"/>
      <w:lvlText w:val="%1"/>
      <w:numFmt w:val="lowerLetter"/>
      <w:start w:val="1"/>
    </w:lvl>
    <w:lvl w:ilvl="1">
      <w:lvlJc w:val="left"/>
      <w:lvlText w:val="(%2)"/>
      <w:numFmt w:val="lowerRoman"/>
      <w:start w:val="1"/>
    </w:lvl>
  </w:abstractNum>
  <w:abstractNum w:abstractNumId="90">
    <w:nsid w:val="7055A5F5"/>
    <w:multiLevelType w:val="hybridMultilevel"/>
    <w:lvl w:ilvl="0">
      <w:lvlJc w:val="left"/>
      <w:lvlText w:val="(%1)"/>
      <w:numFmt w:val="lowerLetter"/>
      <w:start w:val="2"/>
    </w:lvl>
    <w:lvl w:ilvl="1">
      <w:lvlJc w:val="left"/>
      <w:lvlText w:val="%2"/>
      <w:numFmt w:val="lowerRoman"/>
      <w:start w:val="1"/>
    </w:lvl>
  </w:abstractNum>
  <w:abstractNum w:abstractNumId="91">
    <w:nsid w:val="5FB8370B"/>
    <w:multiLevelType w:val="hybridMultilevel"/>
    <w:lvl w:ilvl="0">
      <w:lvlJc w:val="left"/>
      <w:lvlText w:val="(%1)"/>
      <w:numFmt w:val="lowerLetter"/>
      <w:start w:val="1"/>
    </w:lvl>
  </w:abstractNum>
  <w:abstractNum w:abstractNumId="92">
    <w:nsid w:val="50801EE1"/>
    <w:multiLevelType w:val="hybridMultilevel"/>
    <w:lvl w:ilvl="0">
      <w:lvlJc w:val="left"/>
      <w:lvlText w:val="(%1)"/>
      <w:numFmt w:val="lowerLetter"/>
      <w:start w:val="2"/>
    </w:lvl>
  </w:abstractNum>
  <w:abstractNum w:abstractNumId="93">
    <w:nsid w:val="488AC1A"/>
    <w:multiLevelType w:val="hybridMultilevel"/>
    <w:lvl w:ilvl="0">
      <w:lvlJc w:val="left"/>
      <w:lvlText w:val="(%1)"/>
      <w:numFmt w:val="lowerLetter"/>
      <w:start w:val="1"/>
    </w:lvl>
  </w:abstractNum>
  <w:abstractNum w:abstractNumId="94">
    <w:nsid w:val="5FB8011C"/>
    <w:multiLevelType w:val="hybridMultilevel"/>
    <w:lvl w:ilvl="0">
      <w:lvlJc w:val="left"/>
      <w:lvlText w:val="(%1)"/>
      <w:numFmt w:val="lowerLetter"/>
      <w:start w:val="3"/>
    </w:lvl>
  </w:abstractNum>
  <w:abstractNum w:abstractNumId="95">
    <w:nsid w:val="6AA78F7F"/>
    <w:multiLevelType w:val="hybridMultilevel"/>
    <w:lvl w:ilvl="0">
      <w:lvlJc w:val="left"/>
      <w:lvlText w:val="(%1)"/>
      <w:numFmt w:val="lowerLetter"/>
      <w:start w:val="1"/>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lowerLetter"/>
      <w:start w:val="2"/>
    </w:lvl>
  </w:abstractNum>
  <w:abstractNum w:abstractNumId="98">
    <w:nsid w:val="6A5F7029"/>
    <w:multiLevelType w:val="hybridMultilevel"/>
    <w:lvl w:ilvl="0">
      <w:lvlJc w:val="left"/>
      <w:lvlText w:val="(%1)"/>
      <w:numFmt w:val="decimal"/>
      <w:start w:val="1"/>
    </w:lvl>
  </w:abstractNum>
  <w:abstractNum w:abstractNumId="99">
    <w:nsid w:val="7D5E18F8"/>
    <w:multiLevelType w:val="hybridMultilevel"/>
    <w:lvl w:ilvl="0">
      <w:lvlJc w:val="left"/>
      <w:lvlText w:val="(%1)"/>
      <w:numFmt w:val="decimal"/>
      <w:start w:val="2"/>
    </w:lvl>
  </w:abstractNum>
  <w:abstractNum w:abstractNumId="100">
    <w:nsid w:val="5F3534A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2019-11-29T12:11:19Z</dcterms:created>
  <dcterms:modified xsi:type="dcterms:W3CDTF">2019-11-29T12:11:19Z</dcterms:modified>
</cp:coreProperties>
</file>