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4060" w:right="2700" w:hanging="1342"/>
        <w:spacing w:after="0" w:line="282" w:lineRule="auto"/>
        <w:tabs>
          <w:tab w:leader="none" w:pos="290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700" w:hanging="1344"/>
        <w:spacing w:after="0" w:line="282" w:lineRule="auto"/>
        <w:tabs>
          <w:tab w:leader="none" w:pos="289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52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189230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449" w:right="2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787 Seventh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ind w:left="580"/>
              <w:spacing w:after="0"/>
              <w:rPr>
                <w:sz w:val="20"/>
                <w:szCs w:val="20"/>
                <w:color w:val="auto"/>
              </w:rPr>
            </w:pPr>
            <w:r>
              <w:rPr>
                <w:rFonts w:ascii="Arial" w:cs="Arial" w:eastAsia="Arial" w:hAnsi="Arial"/>
                <w:sz w:val="18"/>
                <w:szCs w:val="18"/>
                <w:color w:val="auto"/>
              </w:rPr>
              <w:t>Large accelerated filer £</w:t>
            </w:r>
          </w:p>
        </w:tc>
        <w:tc>
          <w:tcPr>
            <w:tcW w:w="2600" w:type="dxa"/>
            <w:vAlign w:val="bottom"/>
          </w:tcPr>
          <w:p>
            <w:pPr>
              <w:jc w:val="right"/>
              <w:spacing w:after="0"/>
              <w:rPr>
                <w:sz w:val="20"/>
                <w:szCs w:val="20"/>
                <w:color w:val="auto"/>
              </w:rPr>
            </w:pPr>
            <w:r>
              <w:rPr>
                <w:rFonts w:ascii="Arial" w:cs="Arial" w:eastAsia="Arial" w:hAnsi="Arial"/>
                <w:sz w:val="18"/>
                <w:szCs w:val="18"/>
                <w:color w:val="auto"/>
              </w:rPr>
              <w:t>Accelerated filer £</w:t>
            </w:r>
          </w:p>
        </w:tc>
      </w:tr>
      <w:tr>
        <w:trPr>
          <w:trHeight w:val="283"/>
        </w:trPr>
        <w:tc>
          <w:tcPr>
            <w:tcW w:w="8820" w:type="dxa"/>
            <w:vAlign w:val="bottom"/>
          </w:tcPr>
          <w:p>
            <w:pPr>
              <w:ind w:left="580"/>
              <w:spacing w:after="0"/>
              <w:rPr>
                <w:sz w:val="20"/>
                <w:szCs w:val="20"/>
                <w:color w:val="auto"/>
              </w:rPr>
            </w:pPr>
            <w:r>
              <w:rPr>
                <w:rFonts w:ascii="Arial" w:cs="Arial" w:eastAsia="Arial" w:hAnsi="Arial"/>
                <w:sz w:val="18"/>
                <w:szCs w:val="18"/>
                <w:color w:val="auto"/>
              </w:rPr>
              <w:t>Non-accelerated filer £ (Do not check if smaller reporting company)</w:t>
            </w:r>
          </w:p>
        </w:tc>
        <w:tc>
          <w:tcPr>
            <w:tcW w:w="26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98"/>
        </w:trPr>
        <w:tc>
          <w:tcPr>
            <w:tcW w:w="8820" w:type="dxa"/>
            <w:vAlign w:val="bottom"/>
          </w:tcPr>
          <w:p>
            <w:pPr>
              <w:spacing w:after="0"/>
              <w:rPr>
                <w:sz w:val="20"/>
                <w:szCs w:val="20"/>
                <w:color w:val="auto"/>
              </w:rPr>
            </w:pPr>
            <w:r>
              <w:rPr>
                <w:rFonts w:ascii="Arial" w:cs="Arial" w:eastAsia="Arial" w:hAnsi="Arial"/>
                <w:sz w:val="18"/>
                <w:szCs w:val="18"/>
                <w:color w:val="auto"/>
                <w:w w:val="98"/>
              </w:rPr>
              <w:t>Indicate by checkmark whether the registrant is a shell company (as defined in Rule 12b-2 of the Exchange Act).</w:t>
            </w:r>
          </w:p>
        </w:tc>
        <w:tc>
          <w:tcPr>
            <w:tcW w:w="2600" w:type="dxa"/>
            <w:vAlign w:val="bottom"/>
          </w:tcPr>
          <w:p>
            <w:pPr>
              <w:spacing w:after="0"/>
              <w:rPr>
                <w:sz w:val="24"/>
                <w:szCs w:val="24"/>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Yes £ No x</w:t>
            </w:r>
          </w:p>
        </w:tc>
        <w:tc>
          <w:tcPr>
            <w:tcW w:w="2600" w:type="dxa"/>
            <w:vAlign w:val="bottom"/>
          </w:tcPr>
          <w:p>
            <w:pPr>
              <w:spacing w:after="0"/>
              <w:rPr>
                <w:sz w:val="20"/>
                <w:szCs w:val="20"/>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w w:val="94"/>
              </w:rPr>
              <w:t>There were 18,053,995 shares of the registrant’s common stock, $0.001 par value, outstanding as of August 2, 2012.</w:t>
            </w:r>
          </w:p>
        </w:tc>
        <w:tc>
          <w:tcPr>
            <w:tcW w:w="2600" w:type="dxa"/>
            <w:vAlign w:val="bottom"/>
          </w:tcPr>
          <w:p>
            <w:pPr>
              <w:spacing w:after="0"/>
              <w:rPr>
                <w:sz w:val="24"/>
                <w:szCs w:val="24"/>
                <w:color w:val="auto"/>
              </w:rPr>
            </w:pPr>
          </w:p>
        </w:tc>
      </w:tr>
      <w:tr>
        <w:trPr>
          <w:trHeight w:val="648"/>
        </w:trPr>
        <w:tc>
          <w:tcPr>
            <w:tcW w:w="88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70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FINANCIAL INFORMATION</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Financial Statements:</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w w:val="91"/>
              </w:rPr>
              <w:t>Condensed Consolidated Balance Sheets as of June 30, 2012 (unaudited) and December 31, 2011</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7700" w:type="dxa"/>
            <w:vAlign w:val="bottom"/>
            <w:shd w:val="clear" w:color="auto" w:fill="CCFFCC"/>
          </w:tcPr>
          <w:p>
            <w:pPr>
              <w:ind w:left="420"/>
              <w:spacing w:after="0" w:line="201" w:lineRule="exact"/>
              <w:rPr>
                <w:sz w:val="20"/>
                <w:szCs w:val="20"/>
                <w:color w:val="auto"/>
              </w:rPr>
            </w:pPr>
            <w:r>
              <w:rPr>
                <w:rFonts w:ascii="Arial" w:cs="Arial" w:eastAsia="Arial" w:hAnsi="Arial"/>
                <w:sz w:val="18"/>
                <w:szCs w:val="18"/>
                <w:color w:val="auto"/>
                <w:w w:val="89"/>
              </w:rPr>
              <w:t>Condensed Consolidated Statements of Operations for the three and six months ended June 30, 2012</w:t>
            </w:r>
          </w:p>
        </w:tc>
        <w:tc>
          <w:tcPr>
            <w:tcW w:w="2640" w:type="dxa"/>
            <w:vAlign w:val="bottom"/>
            <w:gridSpan w:val="2"/>
            <w:shd w:val="clear" w:color="auto" w:fill="CCFFCC"/>
          </w:tcPr>
          <w:p>
            <w:pPr>
              <w:jc w:val="right"/>
              <w:ind w:right="1270"/>
              <w:spacing w:after="0" w:line="201" w:lineRule="exact"/>
              <w:rPr>
                <w:sz w:val="20"/>
                <w:szCs w:val="20"/>
                <w:color w:val="auto"/>
              </w:rPr>
            </w:pPr>
            <w:r>
              <w:rPr>
                <w:rFonts w:ascii="Arial" w:cs="Arial" w:eastAsia="Arial" w:hAnsi="Arial"/>
                <w:sz w:val="18"/>
                <w:szCs w:val="18"/>
                <w:color w:val="auto"/>
                <w:w w:val="89"/>
              </w:rPr>
              <w:t>and 2011 and the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7700" w:type="dxa"/>
            <w:vAlign w:val="bottom"/>
            <w:shd w:val="clear" w:color="auto" w:fill="CCFFCC"/>
          </w:tcPr>
          <w:p>
            <w:pPr>
              <w:ind w:left="540"/>
              <w:spacing w:after="0"/>
              <w:rPr>
                <w:sz w:val="20"/>
                <w:szCs w:val="20"/>
                <w:color w:val="auto"/>
              </w:rPr>
            </w:pPr>
            <w:r>
              <w:rPr>
                <w:rFonts w:ascii="Arial" w:cs="Arial" w:eastAsia="Arial" w:hAnsi="Arial"/>
                <w:sz w:val="18"/>
                <w:szCs w:val="18"/>
                <w:color w:val="auto"/>
              </w:rPr>
              <w:t>Cumulative Period ended June 30, 2012 (unaudited)</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w w:val="92"/>
              </w:rPr>
              <w:t>Condensed Consolidated Statement of Equity for the six months ended June 30, 2012 (unaudited)</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340" w:type="dxa"/>
            <w:vAlign w:val="bottom"/>
            <w:gridSpan w:val="3"/>
            <w:shd w:val="clear" w:color="auto" w:fill="CCFFCC"/>
          </w:tcPr>
          <w:p>
            <w:pPr>
              <w:ind w:left="420"/>
              <w:spacing w:after="0" w:line="201" w:lineRule="exact"/>
              <w:rPr>
                <w:sz w:val="20"/>
                <w:szCs w:val="20"/>
                <w:color w:val="auto"/>
              </w:rPr>
            </w:pPr>
            <w:r>
              <w:rPr>
                <w:rFonts w:ascii="Arial" w:cs="Arial" w:eastAsia="Arial" w:hAnsi="Arial"/>
                <w:sz w:val="18"/>
                <w:szCs w:val="18"/>
                <w:color w:val="auto"/>
              </w:rPr>
              <w:t>Condensed Consolidated Statements of Cash Flows for the six months ended June 30, 2012 and 2011 and the Cumulative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7700" w:type="dxa"/>
            <w:vAlign w:val="bottom"/>
            <w:shd w:val="clear" w:color="auto" w:fill="CCFFCC"/>
          </w:tcPr>
          <w:p>
            <w:pPr>
              <w:ind w:left="540"/>
              <w:spacing w:after="0"/>
              <w:rPr>
                <w:sz w:val="20"/>
                <w:szCs w:val="20"/>
                <w:color w:val="auto"/>
              </w:rPr>
            </w:pPr>
            <w:r>
              <w:rPr>
                <w:rFonts w:ascii="Arial" w:cs="Arial" w:eastAsia="Arial" w:hAnsi="Arial"/>
                <w:sz w:val="18"/>
                <w:szCs w:val="18"/>
                <w:color w:val="auto"/>
              </w:rPr>
              <w:t>Period ended June 30, 2012 (unaudited)</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Notes to Condensed Consolidated Financial Statements (unaudited)</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Quantitative and Qualitative Disclosures About Market Risk</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Controls and Procedures</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OTHER INFORMATION</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Legal Proceedings</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Risk Factors</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77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Exhibits</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2</w:t>
            </w:r>
          </w:p>
        </w:tc>
        <w:tc>
          <w:tcPr>
            <w:tcW w:w="1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8"/>
              </w:rPr>
              <w:t>June 30, 2012   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(See Note 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20,367,079</w:t>
            </w:r>
          </w:p>
        </w:tc>
        <w:tc>
          <w:tcPr>
            <w:tcW w:w="320" w:type="dxa"/>
            <w:vAlign w:val="bottom"/>
            <w:gridSpan w:val="2"/>
            <w:shd w:val="clear" w:color="auto" w:fill="CCFFCC"/>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9,748,491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89,488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87,176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FFCC"/>
            </w:tcBorders>
            <w:shd w:val="clear" w:color="auto" w:fill="CCFFCC"/>
          </w:tcPr>
          <w:p>
            <w:pPr>
              <w:ind w:left="5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20,456,567</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9,835,667</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5,441,839</w:t>
            </w: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5,441,839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629,752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629,752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top w:val="single" w:sz="8" w:color="CCFFCC"/>
              <w:bottom w:val="single" w:sz="8" w:color="CCFFCC"/>
            </w:tcBorders>
            <w:shd w:val="clear" w:color="auto" w:fill="CCFFCC"/>
          </w:tcPr>
          <w:p>
            <w:pPr>
              <w:ind w:left="5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26,529,557</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300" w:type="dxa"/>
            <w:vAlign w:val="bottom"/>
            <w:tcBorders>
              <w:top w:val="single" w:sz="8" w:color="auto"/>
              <w:bottom w:val="single" w:sz="8" w:color="auto"/>
            </w:tcBorders>
            <w:shd w:val="clear" w:color="auto" w:fill="CCFFCC"/>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15,907,258</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Notes payable, current portion</w:t>
            </w:r>
          </w:p>
        </w:tc>
        <w:tc>
          <w:tcPr>
            <w:tcW w:w="4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677,778</w:t>
            </w:r>
          </w:p>
        </w:tc>
        <w:tc>
          <w:tcPr>
            <w:tcW w:w="320" w:type="dxa"/>
            <w:vAlign w:val="bottom"/>
            <w:gridSpan w:val="2"/>
            <w:shd w:val="clear" w:color="auto" w:fill="CCFFCC"/>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877,778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Accounts payable - related party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1,257,600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Other accounts payable and accrued expenses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321,725</w:t>
            </w: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666,640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Interest payable, current portion</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91,944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61,941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FFCC"/>
            </w:tcBorders>
            <w:shd w:val="clear" w:color="auto" w:fill="CCFFCC"/>
          </w:tcPr>
          <w:p>
            <w:pPr>
              <w:ind w:left="5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2,349,047</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1,606,359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Notes payable, noncurrent portion, at fair value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4,395,100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4,664,697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FFCC"/>
            </w:tcBorders>
            <w:shd w:val="clear" w:color="auto" w:fill="CCFFCC"/>
          </w:tcPr>
          <w:p>
            <w:pPr>
              <w:ind w:left="5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6,744,147</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6,271,056</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FFCC"/>
          </w:tcPr>
          <w:p>
            <w:pPr>
              <w:spacing w:after="0"/>
              <w:rPr>
                <w:sz w:val="20"/>
                <w:szCs w:val="20"/>
                <w:color w:val="auto"/>
              </w:rPr>
            </w:pPr>
            <w:r>
              <w:rPr>
                <w:rFonts w:ascii="Arial" w:cs="Arial" w:eastAsia="Arial" w:hAnsi="Arial"/>
                <w:sz w:val="18"/>
                <w:szCs w:val="18"/>
                <w:color w:val="auto"/>
              </w:rPr>
              <w:t>TG Therapeutics, Inc. and subsidiaries: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ind w:left="320"/>
              <w:spacing w:after="0" w:line="201" w:lineRule="exact"/>
              <w:rPr>
                <w:sz w:val="20"/>
                <w:szCs w:val="20"/>
                <w:color w:val="auto"/>
              </w:rPr>
            </w:pPr>
            <w:r>
              <w:rPr>
                <w:rFonts w:ascii="Arial" w:cs="Arial" w:eastAsia="Arial" w:hAnsi="Arial"/>
                <w:sz w:val="18"/>
                <w:szCs w:val="18"/>
                <w:color w:val="auto"/>
                <w:w w:val="93"/>
              </w:rPr>
              <w:t>Preferred stock, $0.001 par value per share (10,000,000 shares authorized, 0 and 413,388 issued and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w w:val="91"/>
              </w:rPr>
              <w:t>outstanding as of June 30, 2012 and December 31, 2011, respectively, aggregate liquidation value of $0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and $8,267,760 at June 30, 2012 and December 31, 2011, respectively)</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w w:val="92"/>
              </w:rPr>
              <w:t>Common stock, $0.001 par value per share (500,000,000 shares authorized, 18,053,995 and 5,061,399</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shares issued and outstanding at June 30, 2012 and December 31, 2011, respectively)</w:t>
            </w:r>
          </w:p>
        </w:tc>
        <w:tc>
          <w:tcPr>
            <w:tcW w:w="1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18,054</w:t>
            </w:r>
          </w:p>
        </w:tc>
        <w:tc>
          <w:tcPr>
            <w:tcW w:w="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5,061</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Contingently issuable shares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24,001,440</w:t>
            </w: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10,472,115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Deficit accumulated in development stage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(13,003,817)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(853,074)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Total TG Therapeutics, Inc. and subsidiaries equity</w:t>
            </w:r>
          </w:p>
        </w:tc>
        <w:tc>
          <w:tcPr>
            <w:tcW w:w="1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11,015,683</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9,624,521</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8,769,727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19,785,410</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9,636,202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26,529,557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15,907,258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1"/>
              </w:rPr>
              <w:t>Three months ended June 30,</w:t>
            </w:r>
          </w:p>
        </w:tc>
        <w:tc>
          <w:tcPr>
            <w:tcW w:w="200" w:type="dxa"/>
            <w:vAlign w:val="bottom"/>
          </w:tcPr>
          <w:p>
            <w:pPr>
              <w:spacing w:after="0"/>
              <w:rPr>
                <w:sz w:val="21"/>
                <w:szCs w:val="21"/>
                <w:color w:val="auto"/>
              </w:rPr>
            </w:pPr>
          </w:p>
        </w:tc>
        <w:tc>
          <w:tcPr>
            <w:tcW w:w="26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2"/>
              </w:rPr>
              <w:t>Six months ended June 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 ending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June 30,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160"/>
              <w:spacing w:after="0" w:line="201" w:lineRule="exact"/>
              <w:rPr>
                <w:sz w:val="20"/>
                <w:szCs w:val="20"/>
                <w:color w:val="auto"/>
              </w:rPr>
            </w:pPr>
            <w:r>
              <w:rPr>
                <w:rFonts w:ascii="Arial" w:cs="Arial" w:eastAsia="Arial" w:hAnsi="Arial"/>
                <w:sz w:val="18"/>
                <w:szCs w:val="18"/>
                <w:color w:val="auto"/>
                <w:w w:val="94"/>
              </w:rPr>
              <w:t>Noncash stock expense associated with in-licensing</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agreement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297,000</w:t>
            </w:r>
          </w:p>
        </w:tc>
        <w:tc>
          <w:tcPr>
            <w:tcW w:w="26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16,578,000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297,000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109,198</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109,198</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109,198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research and development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1,536,896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1,700,249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1,730,532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research and development</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1,646,094</w:t>
            </w: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297,000</w:t>
            </w:r>
          </w:p>
        </w:tc>
        <w:tc>
          <w:tcPr>
            <w:tcW w:w="2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18,387,447</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297,000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18,714,730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1,062,793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1,251,302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1,337,796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396,043</w:t>
            </w:r>
          </w:p>
        </w:tc>
        <w:tc>
          <w:tcPr>
            <w:tcW w:w="2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851,535</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1,319,732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general and administrative</w:t>
            </w: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1,458,836</w:t>
            </w:r>
          </w:p>
        </w:tc>
        <w:tc>
          <w:tcPr>
            <w:tcW w:w="2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2,102,837</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2,657,528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3,104,930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20,490,284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297,000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21,372,258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(3,104,930)</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(297,000)</w:t>
            </w: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(20,490,284)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(297,000)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(21,372,258)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(4,092)</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(7,760)</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(272,232)</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(272,232)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228,109</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448,258</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455,355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Change in fair value of notes payable</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(482,556)</w:t>
            </w: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(687,853)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(687,853)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(530,771</w:t>
            </w:r>
          </w:p>
        </w:tc>
        <w:tc>
          <w:tcPr>
            <w:tcW w:w="240" w:type="dxa"/>
            <w:vAlign w:val="bottom"/>
            <w:tcBorders>
              <w:top w:val="single" w:sz="8" w:color="CCFFCC"/>
            </w:tcBorders>
            <w:shd w:val="clear" w:color="auto" w:fill="CCFFCC"/>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(519,587</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(512,490</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(2,574,159)</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(297,000)</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(19,970,697)</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(297,000)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(20,859,768)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(679,506)</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(14,895)</w:t>
            </w: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(7,819,954)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(14,895)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(7,855,951)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tcBorders>
              <w:top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rPr>
              <w:t>Net loss attributable to TG Therapeutics, Inc. and</w:t>
            </w:r>
          </w:p>
        </w:tc>
        <w:tc>
          <w:tcPr>
            <w:tcW w:w="180" w:type="dxa"/>
            <w:vAlign w:val="bottom"/>
            <w:tcBorders>
              <w:top w:val="single" w:sz="8" w:color="auto"/>
            </w:tcBorders>
            <w:shd w:val="clear" w:color="auto" w:fill="CCFFCC"/>
          </w:tcPr>
          <w:p>
            <w:pPr>
              <w:spacing w:after="0"/>
              <w:rPr>
                <w:sz w:val="15"/>
                <w:szCs w:val="15"/>
                <w:color w:val="auto"/>
              </w:rPr>
            </w:pPr>
          </w:p>
        </w:tc>
        <w:tc>
          <w:tcPr>
            <w:tcW w:w="1100" w:type="dxa"/>
            <w:vAlign w:val="bottom"/>
            <w:tcBorders>
              <w:top w:val="single" w:sz="8" w:color="auto"/>
            </w:tcBorders>
            <w:shd w:val="clear" w:color="auto" w:fill="CCFFCC"/>
          </w:tcPr>
          <w:p>
            <w:pPr>
              <w:spacing w:after="0"/>
              <w:rPr>
                <w:sz w:val="15"/>
                <w:szCs w:val="15"/>
                <w:color w:val="auto"/>
              </w:rPr>
            </w:pPr>
          </w:p>
        </w:tc>
        <w:tc>
          <w:tcPr>
            <w:tcW w:w="240" w:type="dxa"/>
            <w:vAlign w:val="bottom"/>
            <w:tcBorders>
              <w:top w:val="single" w:sz="8" w:color="CCFFCC"/>
            </w:tcBorders>
            <w:shd w:val="clear" w:color="auto" w:fill="CCFFCC"/>
          </w:tcPr>
          <w:p>
            <w:pPr>
              <w:spacing w:after="0"/>
              <w:rPr>
                <w:sz w:val="15"/>
                <w:szCs w:val="15"/>
                <w:color w:val="auto"/>
              </w:rPr>
            </w:pPr>
          </w:p>
        </w:tc>
        <w:tc>
          <w:tcPr>
            <w:tcW w:w="280" w:type="dxa"/>
            <w:vAlign w:val="bottom"/>
            <w:tcBorders>
              <w:top w:val="single" w:sz="8" w:color="auto"/>
            </w:tcBorders>
            <w:shd w:val="clear" w:color="auto" w:fill="CCFFCC"/>
          </w:tcPr>
          <w:p>
            <w:pPr>
              <w:spacing w:after="0"/>
              <w:rPr>
                <w:sz w:val="15"/>
                <w:szCs w:val="15"/>
                <w:color w:val="auto"/>
              </w:rPr>
            </w:pPr>
          </w:p>
        </w:tc>
        <w:tc>
          <w:tcPr>
            <w:tcW w:w="980" w:type="dxa"/>
            <w:vAlign w:val="bottom"/>
            <w:tcBorders>
              <w:top w:val="single" w:sz="8" w:color="auto"/>
            </w:tcBorders>
            <w:shd w:val="clear" w:color="auto" w:fill="CCFFCC"/>
          </w:tcPr>
          <w:p>
            <w:pPr>
              <w:spacing w:after="0"/>
              <w:rPr>
                <w:sz w:val="15"/>
                <w:szCs w:val="15"/>
                <w:color w:val="auto"/>
              </w:rPr>
            </w:pPr>
          </w:p>
        </w:tc>
        <w:tc>
          <w:tcPr>
            <w:tcW w:w="26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104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60" w:type="dxa"/>
            <w:vAlign w:val="bottom"/>
            <w:tcBorders>
              <w:top w:val="single" w:sz="8" w:color="auto"/>
            </w:tcBorders>
            <w:shd w:val="clear" w:color="auto" w:fill="CCFFCC"/>
          </w:tcPr>
          <w:p>
            <w:pPr>
              <w:spacing w:after="0"/>
              <w:rPr>
                <w:sz w:val="15"/>
                <w:szCs w:val="15"/>
                <w:color w:val="auto"/>
              </w:rPr>
            </w:pPr>
          </w:p>
        </w:tc>
        <w:tc>
          <w:tcPr>
            <w:tcW w:w="98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spacing w:after="0"/>
              <w:rPr>
                <w:sz w:val="15"/>
                <w:szCs w:val="15"/>
                <w:color w:val="auto"/>
              </w:rPr>
            </w:pPr>
          </w:p>
        </w:tc>
        <w:tc>
          <w:tcPr>
            <w:tcW w:w="116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subsidiaries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(1,894,653)</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(282,105)</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(12,150,743)</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(282,105)</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(13,003,817)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(1.44)</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Weighted average shares used in computing basic and</w:t>
            </w:r>
          </w:p>
        </w:tc>
        <w:tc>
          <w:tcPr>
            <w:tcW w:w="1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diluted net loss per common share</w:t>
            </w:r>
          </w:p>
        </w:tc>
        <w:tc>
          <w:tcPr>
            <w:tcW w:w="18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11,777,563</w:t>
            </w:r>
          </w:p>
        </w:tc>
        <w:tc>
          <w:tcPr>
            <w:tcW w:w="280" w:type="dxa"/>
            <w:vAlign w:val="bottom"/>
            <w:shd w:val="clear" w:color="auto" w:fill="CCFFCC"/>
          </w:tcPr>
          <w:p>
            <w:pPr>
              <w:spacing w:after="0"/>
              <w:rPr>
                <w:sz w:val="22"/>
                <w:szCs w:val="2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1,822,154</w:t>
            </w:r>
          </w:p>
        </w:tc>
        <w:tc>
          <w:tcPr>
            <w:tcW w:w="2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8,419,481</w:t>
            </w:r>
          </w:p>
        </w:tc>
        <w:tc>
          <w:tcPr>
            <w:tcW w:w="8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916,110</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June 30, 2012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Total TG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jc w:val="center"/>
              <w:ind w:right="178"/>
              <w:spacing w:after="0" w:line="135" w:lineRule="exact"/>
              <w:rPr>
                <w:sz w:val="20"/>
                <w:szCs w:val="20"/>
                <w:color w:val="auto"/>
              </w:rPr>
            </w:pPr>
            <w:r>
              <w:rPr>
                <w:rFonts w:ascii="Arial" w:cs="Arial" w:eastAsia="Arial" w:hAnsi="Arial"/>
                <w:sz w:val="13"/>
                <w:szCs w:val="13"/>
                <w:b w:val="1"/>
                <w:bCs w:val="1"/>
                <w:color w:val="auto"/>
                <w:w w:val="85"/>
              </w:rPr>
              <w:t>accumulated</w:t>
            </w:r>
          </w:p>
        </w:tc>
        <w:tc>
          <w:tcPr>
            <w:tcW w:w="8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Therapeutics,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4"/>
          </w:tcPr>
          <w:p>
            <w:pPr>
              <w:ind w:left="120"/>
              <w:spacing w:after="0" w:line="135" w:lineRule="exact"/>
              <w:rPr>
                <w:sz w:val="20"/>
                <w:szCs w:val="20"/>
                <w:color w:val="auto"/>
              </w:rPr>
            </w:pPr>
            <w:r>
              <w:rPr>
                <w:rFonts w:ascii="Arial" w:cs="Arial" w:eastAsia="Arial" w:hAnsi="Arial"/>
                <w:sz w:val="13"/>
                <w:szCs w:val="13"/>
                <w:b w:val="1"/>
                <w:bCs w:val="1"/>
                <w:color w:val="auto"/>
                <w:w w:val="98"/>
              </w:rPr>
              <w:t>Contingently</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860" w:type="dxa"/>
            <w:vAlign w:val="bottom"/>
            <w:gridSpan w:val="2"/>
          </w:tcPr>
          <w:p>
            <w:pPr>
              <w:jc w:val="center"/>
              <w:ind w:right="278"/>
              <w:spacing w:after="0" w:line="135" w:lineRule="exact"/>
              <w:rPr>
                <w:sz w:val="20"/>
                <w:szCs w:val="20"/>
                <w:color w:val="auto"/>
              </w:rPr>
            </w:pPr>
            <w:r>
              <w:rPr>
                <w:rFonts w:ascii="Arial" w:cs="Arial" w:eastAsia="Arial" w:hAnsi="Arial"/>
                <w:sz w:val="13"/>
                <w:szCs w:val="13"/>
                <w:b w:val="1"/>
                <w:bCs w:val="1"/>
                <w:color w:val="auto"/>
                <w:w w:val="86"/>
              </w:rPr>
              <w:t>in the</w:t>
            </w:r>
          </w:p>
        </w:tc>
        <w:tc>
          <w:tcPr>
            <w:tcW w:w="10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Inc. and</w:t>
            </w:r>
          </w:p>
        </w:tc>
        <w:tc>
          <w:tcPr>
            <w:tcW w:w="10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Noncontrolling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4"/>
              </w:rPr>
              <w:t>issuable</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paid-in</w:t>
            </w:r>
          </w:p>
        </w:tc>
        <w:tc>
          <w:tcPr>
            <w:tcW w:w="940" w:type="dxa"/>
            <w:vAlign w:val="bottom"/>
            <w:gridSpan w:val="3"/>
          </w:tcPr>
          <w:p>
            <w:pPr>
              <w:jc w:val="center"/>
              <w:ind w:right="178"/>
              <w:spacing w:after="0"/>
              <w:rPr>
                <w:sz w:val="20"/>
                <w:szCs w:val="20"/>
                <w:color w:val="auto"/>
              </w:rPr>
            </w:pPr>
            <w:r>
              <w:rPr>
                <w:rFonts w:ascii="Arial" w:cs="Arial" w:eastAsia="Arial" w:hAnsi="Arial"/>
                <w:sz w:val="13"/>
                <w:szCs w:val="13"/>
                <w:b w:val="1"/>
                <w:bCs w:val="1"/>
                <w:color w:val="auto"/>
                <w:w w:val="84"/>
              </w:rPr>
              <w:t>development</w:t>
            </w: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1"/>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interest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80"/>
              <w:spacing w:after="0" w:line="143" w:lineRule="exact"/>
              <w:rPr>
                <w:sz w:val="20"/>
                <w:szCs w:val="20"/>
                <w:color w:val="auto"/>
              </w:rPr>
            </w:pPr>
            <w:r>
              <w:rPr>
                <w:rFonts w:ascii="Arial" w:cs="Arial" w:eastAsia="Arial" w:hAnsi="Arial"/>
                <w:sz w:val="13"/>
                <w:szCs w:val="13"/>
                <w:b w:val="1"/>
                <w:bCs w:val="1"/>
                <w:color w:val="auto"/>
                <w:w w:val="87"/>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w w:val="92"/>
              </w:rPr>
              <w:t>Shares</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7"/>
              <w:spacing w:after="0" w:line="143"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w w:val="95"/>
              </w:rPr>
              <w:t>shares</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2"/>
                <w:szCs w:val="12"/>
                <w:color w:val="auto"/>
              </w:rPr>
            </w:pPr>
          </w:p>
        </w:tc>
        <w:tc>
          <w:tcPr>
            <w:tcW w:w="860" w:type="dxa"/>
            <w:vAlign w:val="bottom"/>
            <w:gridSpan w:val="2"/>
          </w:tcPr>
          <w:p>
            <w:pPr>
              <w:jc w:val="center"/>
              <w:ind w:right="258"/>
              <w:spacing w:after="0" w:line="143" w:lineRule="exact"/>
              <w:rPr>
                <w:sz w:val="20"/>
                <w:szCs w:val="20"/>
                <w:color w:val="auto"/>
              </w:rPr>
            </w:pPr>
            <w:r>
              <w:rPr>
                <w:rFonts w:ascii="Arial" w:cs="Arial" w:eastAsia="Arial" w:hAnsi="Arial"/>
                <w:sz w:val="13"/>
                <w:szCs w:val="13"/>
                <w:b w:val="1"/>
                <w:bCs w:val="1"/>
                <w:color w:val="auto"/>
                <w:w w:val="82"/>
              </w:rPr>
              <w:t>stage</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8"/>
              </w:rPr>
              <w:t>equity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w w:val="86"/>
              </w:rPr>
              <w:t>subsidiary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34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Balance at January 1, 2012</w:t>
            </w:r>
          </w:p>
        </w:tc>
        <w:tc>
          <w:tcPr>
            <w:tcW w:w="8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413,388</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413</w:t>
            </w:r>
          </w:p>
        </w:tc>
        <w:tc>
          <w:tcPr>
            <w:tcW w:w="780" w:type="dxa"/>
            <w:vAlign w:val="bottom"/>
            <w:gridSpan w:val="3"/>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5,061,399</w:t>
            </w:r>
          </w:p>
        </w:tc>
        <w:tc>
          <w:tcPr>
            <w:tcW w:w="420" w:type="dxa"/>
            <w:vAlign w:val="bottom"/>
            <w:gridSpan w:val="2"/>
            <w:shd w:val="clear" w:color="auto" w:fill="CCFFCC"/>
          </w:tcPr>
          <w:p>
            <w:pPr>
              <w:jc w:val="right"/>
              <w:ind w:right="205"/>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5,061</w:t>
            </w:r>
          </w:p>
        </w:tc>
        <w:tc>
          <w:tcPr>
            <w:tcW w:w="22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100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$ 10,472,115</w:t>
            </w: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FFCC"/>
          </w:tcPr>
          <w:p>
            <w:pPr>
              <w:jc w:val="right"/>
              <w:ind w:right="138"/>
              <w:spacing w:after="0" w:line="135" w:lineRule="exact"/>
              <w:rPr>
                <w:sz w:val="20"/>
                <w:szCs w:val="20"/>
                <w:color w:val="auto"/>
              </w:rPr>
            </w:pPr>
            <w:r>
              <w:rPr>
                <w:rFonts w:ascii="Arial" w:cs="Arial" w:eastAsia="Arial" w:hAnsi="Arial"/>
                <w:sz w:val="13"/>
                <w:szCs w:val="13"/>
                <w:color w:val="auto"/>
              </w:rPr>
              <w:t>(853,074)</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9,624,521</w:t>
            </w:r>
          </w:p>
        </w:tc>
        <w:tc>
          <w:tcPr>
            <w:tcW w:w="200" w:type="dxa"/>
            <w:vAlign w:val="bottom"/>
            <w:gridSpan w:val="2"/>
            <w:shd w:val="clear" w:color="auto" w:fill="CCFFCC"/>
          </w:tcPr>
          <w:p>
            <w:pPr>
              <w:ind w:left="10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11,681</w:t>
            </w:r>
          </w:p>
        </w:tc>
        <w:tc>
          <w:tcPr>
            <w:tcW w:w="100" w:type="dxa"/>
            <w:vAlign w:val="bottom"/>
            <w:gridSpan w:val="2"/>
            <w:shd w:val="clear" w:color="auto" w:fill="CCFFCC"/>
          </w:tcPr>
          <w:p>
            <w:pPr>
              <w:jc w:val="right"/>
              <w:ind w:right="14"/>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9,636,202</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Changes during the period: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Compensation in respect of restricted</w:t>
            </w: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ind w:left="120"/>
              <w:spacing w:after="0"/>
              <w:rPr>
                <w:sz w:val="20"/>
                <w:szCs w:val="20"/>
                <w:color w:val="auto"/>
              </w:rPr>
            </w:pPr>
            <w:r>
              <w:rPr>
                <w:rFonts w:ascii="Arial" w:cs="Arial" w:eastAsia="Arial" w:hAnsi="Arial"/>
                <w:sz w:val="13"/>
                <w:szCs w:val="13"/>
                <w:color w:val="auto"/>
                <w:w w:val="99"/>
              </w:rPr>
              <w:t>preferred stock granted to employees</w:t>
            </w: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220"/>
              <w:spacing w:after="0"/>
              <w:rPr>
                <w:sz w:val="20"/>
                <w:szCs w:val="20"/>
                <w:color w:val="auto"/>
              </w:rPr>
            </w:pPr>
            <w:r>
              <w:rPr>
                <w:rFonts w:ascii="Arial" w:cs="Arial" w:eastAsia="Arial" w:hAnsi="Arial"/>
                <w:sz w:val="13"/>
                <w:szCs w:val="13"/>
                <w:color w:val="auto"/>
              </w:rPr>
              <w:t>188,509</w:t>
            </w:r>
          </w:p>
        </w:tc>
        <w:tc>
          <w:tcPr>
            <w:tcW w:w="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188,509</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188,509</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spacing w:after="0" w:line="121" w:lineRule="exact"/>
              <w:rPr>
                <w:sz w:val="20"/>
                <w:szCs w:val="20"/>
                <w:color w:val="auto"/>
              </w:rPr>
            </w:pPr>
            <w:r>
              <w:rPr>
                <w:rFonts w:ascii="Arial" w:cs="Arial" w:eastAsia="Arial" w:hAnsi="Arial"/>
                <w:sz w:val="13"/>
                <w:szCs w:val="13"/>
                <w:color w:val="auto"/>
                <w:w w:val="90"/>
              </w:rPr>
              <w:t>Preferred stock issued at $20.00 per share,</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20"/>
              <w:spacing w:after="0"/>
              <w:rPr>
                <w:sz w:val="20"/>
                <w:szCs w:val="20"/>
                <w:color w:val="auto"/>
              </w:rPr>
            </w:pPr>
            <w:r>
              <w:rPr>
                <w:rFonts w:ascii="Arial" w:cs="Arial" w:eastAsia="Arial" w:hAnsi="Arial"/>
                <w:sz w:val="13"/>
                <w:szCs w:val="13"/>
                <w:color w:val="auto"/>
              </w:rPr>
              <w:t>net of expenses</w:t>
            </w: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695,428</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3"/>
                <w:szCs w:val="13"/>
                <w:color w:val="auto"/>
              </w:rPr>
              <w:t>12,180,709</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12,181,405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12,181,405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Shares issued in subsidiary to</w:t>
            </w: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FFCC"/>
          </w:tcPr>
          <w:p>
            <w:pPr>
              <w:ind w:left="120"/>
              <w:spacing w:after="0" w:line="135" w:lineRule="exact"/>
              <w:rPr>
                <w:sz w:val="20"/>
                <w:szCs w:val="20"/>
                <w:color w:val="auto"/>
              </w:rPr>
            </w:pPr>
            <w:r>
              <w:rPr>
                <w:rFonts w:ascii="Arial" w:cs="Arial" w:eastAsia="Arial" w:hAnsi="Arial"/>
                <w:sz w:val="13"/>
                <w:szCs w:val="13"/>
                <w:color w:val="auto"/>
              </w:rPr>
              <w:t>noncontrolling interest in connection</w:t>
            </w: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ind w:left="120"/>
              <w:spacing w:after="0"/>
              <w:rPr>
                <w:sz w:val="20"/>
                <w:szCs w:val="20"/>
                <w:color w:val="auto"/>
              </w:rPr>
            </w:pPr>
            <w:r>
              <w:rPr>
                <w:rFonts w:ascii="Arial" w:cs="Arial" w:eastAsia="Arial" w:hAnsi="Arial"/>
                <w:sz w:val="13"/>
                <w:szCs w:val="13"/>
                <w:color w:val="auto"/>
              </w:rPr>
              <w:t>with in-licensing agreement</w:t>
            </w: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16,578,000</w:t>
            </w: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w w:val="95"/>
              </w:rPr>
              <w:t>16,578,000</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spacing w:after="0" w:line="121" w:lineRule="exact"/>
              <w:rPr>
                <w:sz w:val="20"/>
                <w:szCs w:val="20"/>
                <w:color w:val="auto"/>
              </w:rPr>
            </w:pPr>
            <w:r>
              <w:rPr>
                <w:rFonts w:ascii="Arial" w:cs="Arial" w:eastAsia="Arial" w:hAnsi="Arial"/>
                <w:sz w:val="13"/>
                <w:szCs w:val="13"/>
                <w:color w:val="auto"/>
                <w:w w:val="94"/>
              </w:rPr>
              <w:t>Conversion of preferred stock to common</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20"/>
              <w:spacing w:after="0" w:line="135" w:lineRule="exact"/>
              <w:rPr>
                <w:sz w:val="20"/>
                <w:szCs w:val="20"/>
                <w:color w:val="auto"/>
              </w:rPr>
            </w:pPr>
            <w:r>
              <w:rPr>
                <w:rFonts w:ascii="Arial" w:cs="Arial" w:eastAsia="Arial" w:hAnsi="Arial"/>
                <w:sz w:val="13"/>
                <w:szCs w:val="13"/>
                <w:color w:val="auto"/>
                <w:w w:val="96"/>
              </w:rPr>
              <w:t>stock in conjunction with reverse stock</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20"/>
              <w:spacing w:after="0"/>
              <w:rPr>
                <w:sz w:val="20"/>
                <w:szCs w:val="20"/>
                <w:color w:val="auto"/>
              </w:rPr>
            </w:pPr>
            <w:r>
              <w:rPr>
                <w:rFonts w:ascii="Arial" w:cs="Arial" w:eastAsia="Arial" w:hAnsi="Arial"/>
                <w:sz w:val="13"/>
                <w:szCs w:val="13"/>
                <w:color w:val="auto"/>
              </w:rPr>
              <w:t>split</w:t>
            </w:r>
          </w:p>
        </w:tc>
        <w:tc>
          <w:tcPr>
            <w:tcW w:w="880" w:type="dxa"/>
            <w:vAlign w:val="bottom"/>
            <w:gridSpan w:val="3"/>
          </w:tcPr>
          <w:p>
            <w:pPr>
              <w:jc w:val="right"/>
              <w:ind w:right="180"/>
              <w:spacing w:after="0"/>
              <w:rPr>
                <w:sz w:val="20"/>
                <w:szCs w:val="20"/>
                <w:color w:val="auto"/>
              </w:rPr>
            </w:pPr>
            <w:r>
              <w:rPr>
                <w:rFonts w:ascii="Arial" w:cs="Arial" w:eastAsia="Arial" w:hAnsi="Arial"/>
                <w:sz w:val="13"/>
                <w:szCs w:val="13"/>
                <w:color w:val="auto"/>
              </w:rPr>
              <w:t>(1,108,816)</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(1,109)</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9,857,596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9,858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(8,749)</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Issuance of restricted stock</w:t>
            </w: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gridSpan w:val="3"/>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3,135,000</w:t>
            </w:r>
          </w:p>
        </w:tc>
        <w:tc>
          <w:tcPr>
            <w:tcW w:w="1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4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3,135</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(3,135)</w:t>
            </w:r>
          </w:p>
        </w:tc>
        <w:tc>
          <w:tcPr>
            <w:tcW w:w="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spacing w:after="0" w:line="121" w:lineRule="exact"/>
              <w:rPr>
                <w:sz w:val="20"/>
                <w:szCs w:val="20"/>
                <w:color w:val="auto"/>
              </w:rPr>
            </w:pPr>
            <w:r>
              <w:rPr>
                <w:rFonts w:ascii="Arial" w:cs="Arial" w:eastAsia="Arial" w:hAnsi="Arial"/>
                <w:sz w:val="13"/>
                <w:szCs w:val="13"/>
                <w:color w:val="auto"/>
              </w:rPr>
              <w:t>Compensation in respect of restricted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20"/>
              <w:spacing w:after="0" w:line="135" w:lineRule="exact"/>
              <w:rPr>
                <w:sz w:val="20"/>
                <w:szCs w:val="20"/>
                <w:color w:val="auto"/>
              </w:rPr>
            </w:pPr>
            <w:r>
              <w:rPr>
                <w:rFonts w:ascii="Arial" w:cs="Arial" w:eastAsia="Arial" w:hAnsi="Arial"/>
                <w:sz w:val="13"/>
                <w:szCs w:val="13"/>
                <w:color w:val="auto"/>
                <w:w w:val="99"/>
              </w:rPr>
              <w:t>common stock granted to employees,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20"/>
              <w:spacing w:after="0"/>
              <w:rPr>
                <w:sz w:val="20"/>
                <w:szCs w:val="20"/>
                <w:color w:val="auto"/>
              </w:rPr>
            </w:pPr>
            <w:r>
              <w:rPr>
                <w:rFonts w:ascii="Arial" w:cs="Arial" w:eastAsia="Arial" w:hAnsi="Arial"/>
                <w:sz w:val="13"/>
                <w:szCs w:val="13"/>
                <w:color w:val="auto"/>
              </w:rPr>
              <w:t>directors and consultants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3"/>
                <w:szCs w:val="13"/>
                <w:color w:val="auto"/>
              </w:rPr>
              <w:t>1,171,991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1,171,991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1,171,991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38"/>
              <w:spacing w:after="0"/>
              <w:rPr>
                <w:sz w:val="20"/>
                <w:szCs w:val="20"/>
                <w:color w:val="auto"/>
              </w:rPr>
            </w:pPr>
            <w:r>
              <w:rPr>
                <w:rFonts w:ascii="Arial" w:cs="Arial" w:eastAsia="Arial" w:hAnsi="Arial"/>
                <w:sz w:val="13"/>
                <w:szCs w:val="13"/>
                <w:color w:val="auto"/>
                <w:w w:val="89"/>
              </w:rPr>
              <w:t>(12,150,743)</w:t>
            </w:r>
          </w:p>
        </w:tc>
        <w:tc>
          <w:tcPr>
            <w:tcW w:w="10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w w:val="89"/>
              </w:rPr>
              <w:t>(12,150,743)</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(7,819,954)</w:t>
            </w: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w w:val="89"/>
              </w:rPr>
              <w:t>(19,970,697)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line="141" w:lineRule="exact"/>
              <w:rPr>
                <w:sz w:val="20"/>
                <w:szCs w:val="20"/>
                <w:color w:val="auto"/>
              </w:rPr>
            </w:pPr>
            <w:r>
              <w:rPr>
                <w:rFonts w:ascii="Arial" w:cs="Arial" w:eastAsia="Arial" w:hAnsi="Arial"/>
                <w:sz w:val="13"/>
                <w:szCs w:val="13"/>
                <w:color w:val="auto"/>
              </w:rPr>
              <w:t>Balance at June 30, 2012</w:t>
            </w:r>
          </w:p>
        </w:tc>
        <w:tc>
          <w:tcPr>
            <w:tcW w:w="10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18,053,995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18,054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$ 24,001,440</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(13,003,817</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11,015,683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8,769,727</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19,785,410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6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Six months ended June 30,</w:t>
            </w:r>
          </w:p>
        </w:tc>
        <w:tc>
          <w:tcPr>
            <w:tcW w:w="80" w:type="dxa"/>
            <w:vAlign w:val="bottom"/>
          </w:tcPr>
          <w:p>
            <w:pPr>
              <w:spacing w:after="0"/>
              <w:rPr>
                <w:sz w:val="21"/>
                <w:szCs w:val="21"/>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period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June 30,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8"/>
              </w:rPr>
              <w:t>$  (19,970,697)</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(297,000)</w:t>
            </w:r>
          </w:p>
        </w:tc>
        <w:tc>
          <w:tcPr>
            <w:tcW w:w="13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  (20,859,768)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Adjustments to reconcile consolidated net loss to net cash used in operating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1,360,500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1,446,994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 issued in connection with in-licensing agreement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16,578,000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297,000</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notes payable</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(269,597)</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(269,597)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Decrease (increase) in other current assets</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(2,313)</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Increase in accounts payable related party, other accounts payable and accrued expenses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912,685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1,320,995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interest payable</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30,003</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37,100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(1,361,419</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(1,447,996</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plant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acquired in connection with acquisition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provided by investing activities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FINANCING ACTIVITIES: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(1,399)</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(1,399)</w:t>
            </w:r>
          </w:p>
        </w:tc>
      </w:tr>
      <w:tr>
        <w:trPr>
          <w:trHeight w:val="230"/>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10,386</w:t>
            </w:r>
          </w:p>
        </w:tc>
        <w:tc>
          <w:tcPr>
            <w:tcW w:w="60" w:type="dxa"/>
            <w:vAlign w:val="bottom"/>
          </w:tcPr>
          <w:p>
            <w:pPr>
              <w:spacing w:after="0"/>
              <w:rPr>
                <w:sz w:val="20"/>
                <w:szCs w:val="20"/>
                <w:color w:val="auto"/>
              </w:rPr>
            </w:pPr>
          </w:p>
        </w:tc>
      </w:tr>
      <w:tr>
        <w:trPr>
          <w:trHeight w:val="210"/>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8,987</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-299720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-8255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6720" w:space="720"/>
            <w:col w:w="39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Payments of short-term loans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sale of common stock, net</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sale of preferred stock, net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12,257,309</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12,257,309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Offering costs paid</w:t>
            </w: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(75,903)</w:t>
            </w:r>
          </w:p>
        </w:tc>
        <w:tc>
          <w:tcPr>
            <w:tcW w:w="520" w:type="dxa"/>
            <w:vAlign w:val="bottom"/>
            <w:shd w:val="clear" w:color="auto" w:fill="CCFFCC"/>
          </w:tcPr>
          <w:p>
            <w:pPr>
              <w:spacing w:after="0"/>
              <w:rPr>
                <w:sz w:val="19"/>
                <w:szCs w:val="19"/>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(75,903)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11,981,406</w:t>
            </w:r>
          </w:p>
        </w:tc>
        <w:tc>
          <w:tcPr>
            <w:tcW w:w="220" w:type="dxa"/>
            <w:vAlign w:val="bottom"/>
            <w:tcBorders>
              <w:bottom w:val="single" w:sz="8" w:color="CCFFC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21,806,088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10,618,588</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20,367,079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9,748,491</w:t>
            </w:r>
          </w:p>
        </w:tc>
        <w:tc>
          <w:tcPr>
            <w:tcW w:w="520" w:type="dxa"/>
            <w:vAlign w:val="bottom"/>
          </w:tcPr>
          <w:p>
            <w:pPr>
              <w:spacing w:after="0"/>
              <w:rPr>
                <w:sz w:val="19"/>
                <w:szCs w:val="19"/>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20,367,079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20,367,079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FFCC"/>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6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TRANSACTIONS: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Conversion of notes payable to preferred stock</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financing costs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116,626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Inc.(formerly known as Manhattan Pharmaceuticals,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firstLine="648"/>
        <w:spacing w:after="0" w:line="245" w:lineRule="auto"/>
        <w:rPr>
          <w:sz w:val="20"/>
          <w:szCs w:val="20"/>
          <w:color w:val="auto"/>
        </w:rPr>
      </w:pPr>
      <w:r>
        <w:rPr>
          <w:rFonts w:ascii="Arial" w:cs="Arial" w:eastAsia="Arial" w:hAnsi="Arial"/>
          <w:sz w:val="17"/>
          <w:szCs w:val="17"/>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we are developing TGTX-1101 (ublituximab), a novel, third generation monoclonal antibody that targets a specific and unique epitope on the CD20 antigen found on mature B-lymphocytes. We also hold the development rights to AST-726, a nasally delivered product for the treatment of Vitamin B</w:t>
      </w:r>
      <w:r>
        <w:rPr>
          <w:rFonts w:ascii="Arial" w:cs="Arial" w:eastAsia="Arial" w:hAnsi="Arial"/>
          <w:sz w:val="28"/>
          <w:szCs w:val="28"/>
          <w:color w:val="auto"/>
          <w:vertAlign w:val="subscript"/>
        </w:rPr>
        <w:t>12</w:t>
      </w:r>
      <w:r>
        <w:rPr>
          <w:rFonts w:ascii="Arial" w:cs="Arial" w:eastAsia="Arial" w:hAnsi="Arial"/>
          <w:sz w:val="17"/>
          <w:szCs w:val="17"/>
          <w:color w:val="auto"/>
        </w:rPr>
        <w:t xml:space="preserve"> deficiency, and AST-915, an orally delivered treatment for essential tremor.</w:t>
      </w:r>
    </w:p>
    <w:p>
      <w:pPr>
        <w:spacing w:after="0" w:line="20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(“GAAP”) for interim financial information and with the instructions to Form 10-Q and Article 10 of Regulation S-X. Accordingly, they may not include all of the information and footnotes required by GAAP for complete financial statements. All adjustments that are, in the opinion of management, of a normal recurring nature and are necessary for a fair presentation of the consolidated financial statements have been included. Nevertheless, these consolidated financial statements should be read in conjunction with the audited consolidated financial statements contained in our Annual Report on Form 10-K for the year ended December 31, 2011. The results of operations for the three and six months ended June 30, 2012 are not necessarily indicative of the results that may be expected for the entire fiscal year or any other interim period.</w:t>
      </w:r>
    </w:p>
    <w:p>
      <w:pPr>
        <w:spacing w:after="0" w:line="17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December 29, 2011, the Company entered into and consummated an exchange transaction agreement (the “Exchange Transaction”) with Opus Point Partners, LLC (“Opus”) and TG Biologics, Inc. (formerly known as TG Therapeutics, Inc.) (“TG Bio”). The stockholders of TG Bio received the majority of the voting shares of the Company, therefore, the merger was accounted for as a reverse acquisition whereby TG Bio was the accounting acquirer (legal acquiree) and the Company was the accounting acquiree (legal acquirer) under the acquisition method of accounting. TG Bio was incorporated in Delaware in November 2010, but did not commence operations until April 2011.</w:t>
      </w:r>
    </w:p>
    <w:p>
      <w:pPr>
        <w:spacing w:after="0" w:line="17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(“Manhattan”) to TG Therapeutics, Inc. In conjunction with this change, the subsidiary formerly named TG Therapeutics, Inc. filed a Certificate of Amendment changing its name to TG Biologics,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June 30, 2012, we have an accumulated deficit of $13,003,817.</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primary source of cash has been proceeds from the private placement of equity securities.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 w:name="page9"/>
    <w:bookmarkEnd w:id="8"/>
    <w:p>
      <w:pPr>
        <w:jc w:val="both"/>
        <w:ind w:right="60" w:firstLine="648"/>
        <w:spacing w:after="0" w:line="259" w:lineRule="auto"/>
        <w:rPr>
          <w:sz w:val="20"/>
          <w:szCs w:val="20"/>
          <w:color w:val="auto"/>
        </w:rPr>
      </w:pPr>
      <w:r>
        <w:rPr>
          <w:rFonts w:ascii="Arial" w:cs="Arial" w:eastAsia="Arial" w:hAnsi="Arial"/>
          <w:sz w:val="18"/>
          <w:szCs w:val="18"/>
          <w:color w:val="auto"/>
        </w:rPr>
        <w:t>On December 30, 2011, we completed the first closing of the private placement of our securities, issuing 4,929,523 shares of Company $0.001 par value common stock (“Common Stock “)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2012, we completed two additional closings of the 2011 Equity PIPE. These closings were held on January 31, 2012, and February 24, 2012. In these closings, the Company issued 695,428 shares of our Series A preferred stock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(as discussed below), all shares of preferred stock issued in the 2011 Equity PIPE were converted to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OTC Bulletin Board and trades under the symbol “TGTX.”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April 30, 2012, the Company effected a reverse split of its Common Stock at a ratio of 56.25 for 1, pursuant to a previously obtained stockholder authorization. All share amounts and per share prices in this Quarterly Report on Form 10-Q have been retroactively adjusted to reflect the effect of our reverse stock split, on a fifty six and one quarter (56.25) for one (1) basis, unless otherwise indicated. The exercise price for all stock options and warrants and the conversion price for convertible securities in the accompanying condensed consolidated financial statements have been adjusted to reflect the reverse stock split by multiplying the original exercise or conversion price by fifty six and one quarter (56.25).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Acquired research and development projects are recorded at their fair value as of the date acquisition. The fair values are assessed annually in the fourth quarter, or sooner, if there is an indicator of impairment, to ascertain if there has been any impairment of the recorded value. If there is an impairment, the asset is written down to its current fair value by the recording of an expense. Impairment testing consists of a comparison of the fair value of the in-process research and development with its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recognize all share-based payments to employees and to non-employee directors for service on our board of directors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Income Per Share of Common Stock</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Basic net income (loss) per share of Common Stock is calculated by dividing net income (loss) applicable to the Common Stock by the weighted-average number of shares of Common Stock outstanding for the period. Diluted net loss per share of Common Stock is the same as basic net income (loss) per share of Common Stock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7,433,525 at June 30, 2012. During the three and six months ended June 30, 2012, the Company incurred a net loss; therefore, all of the dilutive securities are excluded from the computation of diluted earnings per share.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Long 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 for the difference between the carrying value and the estimated fair value.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goodwill may not be recoverable.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FAIR VALUE MEASUREMENTS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December 31, 2011 and June 30, 2012, the fair values of cash and cash equivalents, other current assets, notes and interest payable, current portion, accounts payable and accrued expenses, and interest payable, noncurrent approximate their carrying value.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merger between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right="50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$16,883,000 at December 31, 2011, and $17,302,000 at June 30, 2012. As these notes payable are tied directly to net product cash flows derived from the preexisting products of the Company, this note and accrued interest was recorded at fair value of $4,664,697 as of the date of the Exchange Transaction. No payments have been made on these notes as of June 30, 2012.</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elected the fair value option for valuing the 5% Notes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ind w:right="100" w:firstLine="648"/>
        <w:spacing w:after="0" w:line="273" w:lineRule="auto"/>
        <w:rPr>
          <w:sz w:val="20"/>
          <w:szCs w:val="20"/>
          <w:color w:val="auto"/>
        </w:rPr>
      </w:pPr>
      <w:r>
        <w:rPr>
          <w:rFonts w:ascii="Arial" w:cs="Arial" w:eastAsia="Arial" w:hAnsi="Arial"/>
          <w:sz w:val="17"/>
          <w:szCs w:val="17"/>
          <w:color w:val="auto"/>
        </w:rPr>
        <w:t>The valuation methods used to estimate the 5% Notes’ fair value was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2011 and June 30, 2012.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fair value measurements of applicable financial liabilities as of December 31, 2011 and June 30,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8"/>
                <w:szCs w:val="18"/>
                <w:b w:val="1"/>
                <w:bCs w:val="1"/>
                <w:color w:val="auto"/>
                <w:w w:val="88"/>
              </w:rPr>
              <w:t>as of December 31, 2011</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26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2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ind w:left="10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ind w:left="110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4,664,697</w:t>
            </w:r>
          </w:p>
        </w:tc>
        <w:tc>
          <w:tcPr>
            <w:tcW w:w="320" w:type="dxa"/>
            <w:vAlign w:val="bottom"/>
            <w:gridSpan w:val="2"/>
            <w:shd w:val="clear" w:color="auto" w:fill="CCFFCC"/>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4,664,697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Totals</w:t>
            </w:r>
          </w:p>
        </w:tc>
        <w:tc>
          <w:tcPr>
            <w:tcW w:w="19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4,664,697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4,664,697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as of June 30, 2012</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26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2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ind w:left="10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ind w:left="110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4,395,100</w:t>
            </w:r>
          </w:p>
        </w:tc>
        <w:tc>
          <w:tcPr>
            <w:tcW w:w="320" w:type="dxa"/>
            <w:vAlign w:val="bottom"/>
            <w:gridSpan w:val="2"/>
            <w:shd w:val="clear" w:color="auto" w:fill="CCFFCC"/>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4,395,100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Totals</w:t>
            </w:r>
          </w:p>
        </w:tc>
        <w:tc>
          <w:tcPr>
            <w:tcW w:w="19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4,395,100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4,395,100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six months ended June 30, 2012:</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Fair value at December 31, 2011</w:t>
            </w:r>
          </w:p>
        </w:tc>
        <w:tc>
          <w:tcPr>
            <w:tcW w:w="76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4,664,697</w:t>
            </w:r>
          </w:p>
        </w:tc>
        <w:tc>
          <w:tcPr>
            <w:tcW w:w="40" w:type="dxa"/>
            <w:vAlign w:val="bottom"/>
            <w:shd w:val="clear" w:color="auto" w:fill="CCFFC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7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418,256</w:t>
            </w:r>
          </w:p>
        </w:tc>
        <w:tc>
          <w:tcPr>
            <w:tcW w:w="40" w:type="dxa"/>
            <w:vAlign w:val="bottom"/>
          </w:tcPr>
          <w:p>
            <w:pPr>
              <w:spacing w:after="0"/>
              <w:rPr>
                <w:sz w:val="18"/>
                <w:szCs w:val="18"/>
                <w:color w:val="auto"/>
              </w:rPr>
            </w:pPr>
          </w:p>
        </w:tc>
      </w:tr>
      <w:tr>
        <w:trPr>
          <w:trHeight w:val="230"/>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Level 3 liabilities</w:t>
            </w:r>
          </w:p>
        </w:tc>
        <w:tc>
          <w:tcPr>
            <w:tcW w:w="760" w:type="dxa"/>
            <w:vAlign w:val="bottom"/>
            <w:shd w:val="clear" w:color="auto" w:fill="CCFFCC"/>
          </w:tcPr>
          <w:p>
            <w:pPr>
              <w:spacing w:after="0"/>
              <w:rPr>
                <w:sz w:val="19"/>
                <w:szCs w:val="19"/>
                <w:color w:val="auto"/>
              </w:rPr>
            </w:pPr>
          </w:p>
        </w:tc>
        <w:tc>
          <w:tcPr>
            <w:tcW w:w="14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(687,853)</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Fair value at June 30, 2012</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4,395,100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December 29, 2011, the Company completed a reverse acquisition of privately held TG Bio, a Delaware Corporation. The acquisition was effected pursuant to an Exchange Transaction Agreement (the “Agreement”) dated December 29, 2011 by and among the Company, TG Bio and Opus, the largest shareholder of TG Bio. In accordance with the terms of the Agreement, 95% of the holders of common stock of TG Bio (one (1) minority shareholder of TG Bio holding in aggregate 132,000 shares of common stock of TG Bio did not participate) surrendered their TG Bio common stock. The Agreement caused the Company to issue to TG Bio’s shareholders 281,250 shares of Company Preferred Stock. Each share of Company Preferred Stock were convertible into 8.89 shares of the Common Stock provided that such conversion rights were subject to sufficient available authorized shares of Common Stock. In connection with the reverse stock split effected by the Company on April 30, 2012 (as discussed above), all shares of preferred stock issued in connection with the Agreement were converted to Common Stock. The Company Preferred Stock issued in connection with the Agreement provided the former TG Bio shareholders with direct and/or indirect ownership of approximately 95% of the Company’s outstanding Company Common Stock immediately following the consummation of the transaction.</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shares of Common Stock issued upon the conversion of the Company Preferred Stock are not registered for resale and, therefore, shall remain subject to the rights and restrictions of Rule 144 under the Securities Act of 1933, as amended.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80" w:firstLine="648"/>
        <w:spacing w:after="0" w:line="342" w:lineRule="auto"/>
        <w:rPr>
          <w:sz w:val="20"/>
          <w:szCs w:val="20"/>
          <w:color w:val="auto"/>
        </w:rPr>
      </w:pPr>
      <w:r>
        <w:rPr>
          <w:rFonts w:ascii="Arial" w:cs="Arial" w:eastAsia="Arial" w:hAnsi="Arial"/>
          <w:sz w:val="16"/>
          <w:szCs w:val="16"/>
          <w:color w:val="auto"/>
        </w:rPr>
        <w:t>Based on fair value of the Company’s Common Stock of $2.25 per share at December 29, 2011, the purchase price was $295,933, plus the fair value of restricted stock assumed of $82,305. In connection with the Exchange Transaction, the Company incurred $231,580 of acquisition related costs.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40" w:type="dxa"/>
            <w:vAlign w:val="bottom"/>
          </w:tcPr>
          <w:p>
            <w:pPr>
              <w:ind w:left="320"/>
              <w:spacing w:after="0"/>
              <w:rPr>
                <w:sz w:val="20"/>
                <w:szCs w:val="20"/>
                <w:color w:val="auto"/>
              </w:rPr>
            </w:pPr>
            <w:r>
              <w:rPr>
                <w:rFonts w:ascii="Arial" w:cs="Arial" w:eastAsia="Arial" w:hAnsi="Arial"/>
                <w:sz w:val="18"/>
                <w:szCs w:val="18"/>
                <w:color w:val="auto"/>
              </w:rPr>
              <w:t>A summary of the purchase price calculation is as follows: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57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Number of shares of Manhattan common stock outstanding at the time of the</w:t>
            </w:r>
          </w:p>
        </w:tc>
        <w:tc>
          <w:tcPr>
            <w:tcW w:w="2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30"/>
        </w:trPr>
        <w:tc>
          <w:tcPr>
            <w:tcW w:w="57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transaction</w:t>
            </w:r>
          </w:p>
        </w:tc>
        <w:tc>
          <w:tcPr>
            <w:tcW w:w="20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131,526</w:t>
            </w:r>
          </w:p>
        </w:tc>
        <w:tc>
          <w:tcPr>
            <w:tcW w:w="4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Multiplied by Manhattan’s fair value of the Common Stock</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295,933</w:t>
            </w:r>
          </w:p>
        </w:tc>
        <w:tc>
          <w:tcPr>
            <w:tcW w:w="60" w:type="dxa"/>
            <w:vAlign w:val="bottom"/>
          </w:tcPr>
          <w:p>
            <w:pPr>
              <w:spacing w:after="0"/>
              <w:rPr>
                <w:sz w:val="19"/>
                <w:szCs w:val="19"/>
                <w:color w:val="auto"/>
              </w:rPr>
            </w:pPr>
          </w:p>
        </w:tc>
      </w:tr>
      <w:tr>
        <w:trPr>
          <w:trHeight w:val="223"/>
        </w:trPr>
        <w:tc>
          <w:tcPr>
            <w:tcW w:w="57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of restricted stock assumed</w:t>
            </w:r>
          </w:p>
        </w:tc>
        <w:tc>
          <w:tcPr>
            <w:tcW w:w="200" w:type="dxa"/>
            <w:vAlign w:val="bottom"/>
            <w:tcBorders>
              <w:top w:val="single" w:sz="8" w:color="CCFFCC"/>
            </w:tcBorders>
            <w:shd w:val="clear" w:color="auto" w:fill="CCFFCC"/>
          </w:tcPr>
          <w:p>
            <w:pPr>
              <w:spacing w:after="0"/>
              <w:rPr>
                <w:sz w:val="19"/>
                <w:szCs w:val="19"/>
                <w:color w:val="auto"/>
              </w:rPr>
            </w:pPr>
          </w:p>
        </w:tc>
        <w:tc>
          <w:tcPr>
            <w:tcW w:w="480" w:type="dxa"/>
            <w:vAlign w:val="bottom"/>
            <w:tcBorders>
              <w:top w:val="single" w:sz="8" w:color="auto"/>
            </w:tcBorders>
            <w:shd w:val="clear" w:color="auto" w:fill="CCFFCC"/>
          </w:tcPr>
          <w:p>
            <w:pPr>
              <w:spacing w:after="0"/>
              <w:rPr>
                <w:sz w:val="19"/>
                <w:szCs w:val="19"/>
                <w:color w:val="auto"/>
              </w:rPr>
            </w:pPr>
          </w:p>
        </w:tc>
        <w:tc>
          <w:tcPr>
            <w:tcW w:w="1000" w:type="dxa"/>
            <w:vAlign w:val="bottom"/>
            <w:tcBorders>
              <w:top w:val="single" w:sz="8" w:color="auto"/>
            </w:tcBorders>
            <w:shd w:val="clear" w:color="auto" w:fill="CCFFCC"/>
          </w:tcPr>
          <w:p>
            <w:pPr>
              <w:spacing w:after="0"/>
              <w:rPr>
                <w:sz w:val="19"/>
                <w:szCs w:val="19"/>
                <w:color w:val="auto"/>
              </w:rPr>
            </w:pPr>
          </w:p>
        </w:tc>
        <w:tc>
          <w:tcPr>
            <w:tcW w:w="160" w:type="dxa"/>
            <w:vAlign w:val="bottom"/>
            <w:tcBorders>
              <w:top w:val="single" w:sz="8" w:color="CCFFCC"/>
            </w:tcBorders>
            <w:shd w:val="clear" w:color="auto" w:fill="CCFFCC"/>
          </w:tcPr>
          <w:p>
            <w:pPr>
              <w:spacing w:after="0"/>
              <w:rPr>
                <w:sz w:val="19"/>
                <w:szCs w:val="19"/>
                <w:color w:val="auto"/>
              </w:rPr>
            </w:pPr>
          </w:p>
        </w:tc>
        <w:tc>
          <w:tcPr>
            <w:tcW w:w="480" w:type="dxa"/>
            <w:vAlign w:val="bottom"/>
            <w:tcBorders>
              <w:top w:val="single" w:sz="8" w:color="CCFFCC"/>
            </w:tcBorders>
            <w:shd w:val="clear" w:color="auto" w:fill="CCFFCC"/>
          </w:tcPr>
          <w:p>
            <w:pPr>
              <w:spacing w:after="0"/>
              <w:rPr>
                <w:sz w:val="19"/>
                <w:szCs w:val="19"/>
                <w:color w:val="auto"/>
              </w:rPr>
            </w:pPr>
          </w:p>
        </w:tc>
        <w:tc>
          <w:tcPr>
            <w:tcW w:w="1000" w:type="dxa"/>
            <w:vAlign w:val="bottom"/>
            <w:tcBorders>
              <w:top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82,305</w:t>
            </w:r>
          </w:p>
        </w:tc>
        <w:tc>
          <w:tcPr>
            <w:tcW w:w="60" w:type="dxa"/>
            <w:vAlign w:val="bottom"/>
            <w:tcBorders>
              <w:top w:val="single" w:sz="8" w:color="CCFFCC"/>
            </w:tcBorders>
            <w:shd w:val="clear" w:color="auto" w:fill="CCFFCC"/>
          </w:tcPr>
          <w:p>
            <w:pPr>
              <w:spacing w:after="0"/>
              <w:rPr>
                <w:sz w:val="19"/>
                <w:szCs w:val="19"/>
                <w:color w:val="auto"/>
              </w:rPr>
            </w:pPr>
          </w:p>
        </w:tc>
      </w:tr>
      <w:tr>
        <w:trPr>
          <w:trHeight w:val="223"/>
        </w:trPr>
        <w:tc>
          <w:tcPr>
            <w:tcW w:w="5740" w:type="dxa"/>
            <w:vAlign w:val="bottom"/>
          </w:tcPr>
          <w:p>
            <w:pPr>
              <w:ind w:left="160"/>
              <w:spacing w:after="0"/>
              <w:rPr>
                <w:sz w:val="20"/>
                <w:szCs w:val="20"/>
                <w:color w:val="auto"/>
              </w:rPr>
            </w:pPr>
            <w:r>
              <w:rPr>
                <w:rFonts w:ascii="Arial" w:cs="Arial" w:eastAsia="Arial" w:hAnsi="Arial"/>
                <w:sz w:val="18"/>
                <w:szCs w:val="18"/>
                <w:color w:val="auto"/>
              </w:rPr>
              <w:t>Total purchase price</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378,238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has been allocated as follows based on the fair values of the assets and liabilities acquired:</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10,386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90,770</w:t>
            </w:r>
          </w:p>
        </w:tc>
      </w:tr>
      <w:tr>
        <w:trPr>
          <w:trHeight w:val="230"/>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In-process research and development acquired</w:t>
            </w:r>
          </w:p>
        </w:tc>
        <w:tc>
          <w:tcPr>
            <w:tcW w:w="1220" w:type="dxa"/>
            <w:vAlign w:val="bottom"/>
            <w:shd w:val="clear" w:color="auto" w:fill="CCFFCC"/>
          </w:tcPr>
          <w:p>
            <w:pPr>
              <w:spacing w:after="0"/>
              <w:rPr>
                <w:sz w:val="19"/>
                <w:szCs w:val="19"/>
                <w:color w:val="auto"/>
              </w:rPr>
            </w:pPr>
          </w:p>
        </w:tc>
        <w:tc>
          <w:tcPr>
            <w:tcW w:w="46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5,441,839</w:t>
            </w:r>
          </w:p>
        </w:tc>
        <w:tc>
          <w:tcPr>
            <w:tcW w:w="60" w:type="dxa"/>
            <w:vAlign w:val="bottom"/>
            <w:shd w:val="clear" w:color="auto" w:fill="CCFFCC"/>
          </w:tcPr>
          <w:p>
            <w:pPr>
              <w:spacing w:after="0"/>
              <w:rPr>
                <w:sz w:val="19"/>
                <w:szCs w:val="19"/>
                <w:color w:val="auto"/>
              </w:rPr>
            </w:pPr>
          </w:p>
        </w:tc>
      </w:tr>
      <w:tr>
        <w:trPr>
          <w:trHeight w:val="210"/>
        </w:trPr>
        <w:tc>
          <w:tcPr>
            <w:tcW w:w="456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identifiable assets</w:t>
            </w:r>
          </w:p>
        </w:tc>
        <w:tc>
          <w:tcPr>
            <w:tcW w:w="122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5,542,995</w:t>
            </w:r>
          </w:p>
        </w:tc>
        <w:tc>
          <w:tcPr>
            <w:tcW w:w="60" w:type="dxa"/>
            <w:vAlign w:val="bottom"/>
            <w:tcBorders>
              <w:bottom w:val="single" w:sz="8" w:color="CCFFCC"/>
            </w:tcBorders>
          </w:tcPr>
          <w:p>
            <w:pPr>
              <w:spacing w:after="0"/>
              <w:rPr>
                <w:sz w:val="18"/>
                <w:szCs w:val="18"/>
                <w:color w:val="auto"/>
              </w:rPr>
            </w:pPr>
          </w:p>
        </w:tc>
      </w:tr>
      <w:tr>
        <w:trPr>
          <w:trHeight w:val="210"/>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197,191</w:t>
            </w:r>
          </w:p>
        </w:tc>
        <w:tc>
          <w:tcPr>
            <w:tcW w:w="60" w:type="dxa"/>
            <w:vAlign w:val="bottom"/>
            <w:shd w:val="clear" w:color="auto" w:fill="CCFFC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Notes payable (ICON and Swiss Pharma)</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939,718</w:t>
            </w:r>
          </w:p>
        </w:tc>
        <w:tc>
          <w:tcPr>
            <w:tcW w:w="60" w:type="dxa"/>
            <w:vAlign w:val="bottom"/>
          </w:tcPr>
          <w:p>
            <w:pPr>
              <w:spacing w:after="0"/>
              <w:rPr>
                <w:sz w:val="18"/>
                <w:szCs w:val="18"/>
                <w:color w:val="auto"/>
              </w:rPr>
            </w:pPr>
          </w:p>
        </w:tc>
      </w:tr>
      <w:tr>
        <w:trPr>
          <w:trHeight w:val="230"/>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5% notes payable and accrued interest</w:t>
            </w:r>
          </w:p>
        </w:tc>
        <w:tc>
          <w:tcPr>
            <w:tcW w:w="1220" w:type="dxa"/>
            <w:vAlign w:val="bottom"/>
            <w:shd w:val="clear" w:color="auto" w:fill="CCFFCC"/>
          </w:tcPr>
          <w:p>
            <w:pPr>
              <w:spacing w:after="0"/>
              <w:rPr>
                <w:sz w:val="19"/>
                <w:szCs w:val="19"/>
                <w:color w:val="auto"/>
              </w:rPr>
            </w:pPr>
          </w:p>
        </w:tc>
        <w:tc>
          <w:tcPr>
            <w:tcW w:w="46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4,657,600</w:t>
            </w:r>
          </w:p>
        </w:tc>
        <w:tc>
          <w:tcPr>
            <w:tcW w:w="60" w:type="dxa"/>
            <w:vAlign w:val="bottom"/>
            <w:shd w:val="clear" w:color="auto" w:fill="CCFFCC"/>
          </w:tcPr>
          <w:p>
            <w:pPr>
              <w:spacing w:after="0"/>
              <w:rPr>
                <w:sz w:val="19"/>
                <w:szCs w:val="19"/>
                <w:color w:val="auto"/>
              </w:rPr>
            </w:pPr>
          </w:p>
        </w:tc>
      </w:tr>
      <w:tr>
        <w:trPr>
          <w:trHeight w:val="210"/>
        </w:trPr>
        <w:tc>
          <w:tcPr>
            <w:tcW w:w="456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identifiable liabilities</w:t>
            </w:r>
          </w:p>
        </w:tc>
        <w:tc>
          <w:tcPr>
            <w:tcW w:w="122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5,794,509</w:t>
            </w:r>
          </w:p>
        </w:tc>
        <w:tc>
          <w:tcPr>
            <w:tcW w:w="60" w:type="dxa"/>
            <w:vAlign w:val="bottom"/>
            <w:tcBorders>
              <w:bottom w:val="single" w:sz="8" w:color="CCFFCC"/>
            </w:tcBorders>
          </w:tcPr>
          <w:p>
            <w:pPr>
              <w:spacing w:after="0"/>
              <w:rPr>
                <w:sz w:val="18"/>
                <w:szCs w:val="18"/>
                <w:color w:val="auto"/>
              </w:rPr>
            </w:pPr>
          </w:p>
        </w:tc>
      </w:tr>
      <w:tr>
        <w:trPr>
          <w:trHeight w:val="210"/>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Net identifiable liabilities</w:t>
            </w:r>
          </w:p>
        </w:tc>
        <w:tc>
          <w:tcPr>
            <w:tcW w:w="1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(251,514)</w:t>
            </w:r>
          </w:p>
        </w:tc>
        <w:tc>
          <w:tcPr>
            <w:tcW w:w="60" w:type="dxa"/>
            <w:vAlign w:val="bottom"/>
            <w:shd w:val="clear" w:color="auto" w:fill="CCFFCC"/>
          </w:tcPr>
          <w:p>
            <w:pPr>
              <w:spacing w:after="0"/>
              <w:rPr>
                <w:sz w:val="18"/>
                <w:szCs w:val="18"/>
                <w:color w:val="auto"/>
              </w:rPr>
            </w:pPr>
          </w:p>
        </w:tc>
      </w:tr>
      <w:tr>
        <w:trPr>
          <w:trHeight w:val="230"/>
        </w:trPr>
        <w:tc>
          <w:tcPr>
            <w:tcW w:w="45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Goodwill</w:t>
            </w:r>
          </w:p>
        </w:tc>
        <w:tc>
          <w:tcPr>
            <w:tcW w:w="1220" w:type="dxa"/>
            <w:vAlign w:val="bottom"/>
            <w:tcBorders>
              <w:bottom w:val="single" w:sz="8" w:color="CCFFC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629,752</w:t>
            </w:r>
          </w:p>
        </w:tc>
        <w:tc>
          <w:tcPr>
            <w:tcW w:w="60" w:type="dxa"/>
            <w:vAlign w:val="bottom"/>
            <w:tcBorders>
              <w:bottom w:val="single" w:sz="8" w:color="CCFFCC"/>
            </w:tcBorders>
          </w:tcPr>
          <w:p>
            <w:pPr>
              <w:spacing w:after="0"/>
              <w:rPr>
                <w:sz w:val="19"/>
                <w:szCs w:val="19"/>
                <w:color w:val="auto"/>
              </w:rPr>
            </w:pPr>
          </w:p>
        </w:tc>
      </w:tr>
      <w:tr>
        <w:trPr>
          <w:trHeight w:val="223"/>
        </w:trPr>
        <w:tc>
          <w:tcPr>
            <w:tcW w:w="45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FFCC"/>
            </w:tcBorders>
            <w:shd w:val="clear" w:color="auto" w:fill="CCFFCC"/>
          </w:tcPr>
          <w:p>
            <w:pPr>
              <w:spacing w:after="0"/>
              <w:rPr>
                <w:sz w:val="19"/>
                <w:szCs w:val="19"/>
                <w:color w:val="auto"/>
              </w:rPr>
            </w:pPr>
          </w:p>
        </w:tc>
        <w:tc>
          <w:tcPr>
            <w:tcW w:w="460" w:type="dxa"/>
            <w:vAlign w:val="bottom"/>
            <w:tcBorders>
              <w:bottom w:val="single" w:sz="8" w:color="auto"/>
            </w:tcBorders>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378,238</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valuation was performed to determine the fair value of certain identifiable intangible assets of Manhattan.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fair value of certain identifiable intangible assets was determined using the income approach. This method starts with a forecast of the expected future net cash flows. These cash flows are then adjusted to present value by applying an appropriate discount rate that reflects the risk of achieving the asset’s projected cash flows. The present value of the estimated cash flows are then added to the present value equivalent of the residual value of the asset, if any, at the end of the discrete projection period to estimate the fair value.</w:t>
      </w:r>
    </w:p>
    <w:p>
      <w:pPr>
        <w:spacing w:after="0" w:line="187"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The valuations are based on information that is available as of the acquisition date and the expectations and assumptions that have been deemed reasonable by our management. No assurance can be given, however, that the underlying assumptions or events associated with such assets will occur as projected. For these reasons, among others, the actual results may vary from the projected results.</w:t>
      </w:r>
    </w:p>
    <w:p>
      <w:pPr>
        <w:spacing w:after="0" w:line="166"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following supplemental pro forma information presents the financial results as if the transaction had occurred on January 1, 2011 for the three and six months ended June 30, 2011. This supplemental pro forma information has been prepared for comparative purposes and does not purport to be indicative of what would have occurred had the acquisition been made on January 1, 2011, nor are they indicative of future results.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Three months ended</w:t>
            </w:r>
          </w:p>
        </w:tc>
        <w:tc>
          <w:tcPr>
            <w:tcW w:w="22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 2011</w:t>
            </w:r>
          </w:p>
        </w:tc>
        <w:tc>
          <w:tcPr>
            <w:tcW w:w="22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June 30, 2011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w:t>
            </w:r>
          </w:p>
        </w:tc>
        <w:tc>
          <w:tcPr>
            <w:tcW w:w="160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16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060" w:type="dxa"/>
            <w:vAlign w:val="bottom"/>
            <w:tcBorders>
              <w:bottom w:val="single" w:sz="8" w:color="CCFFCC"/>
            </w:tcBorders>
            <w:vMerge w:val="continue"/>
          </w:tcPr>
          <w:p>
            <w:pPr>
              <w:spacing w:after="0"/>
              <w:rPr>
                <w:sz w:val="20"/>
                <w:szCs w:val="20"/>
                <w:color w:val="auto"/>
              </w:rPr>
            </w:pPr>
          </w:p>
        </w:tc>
        <w:tc>
          <w:tcPr>
            <w:tcW w:w="1600" w:type="dxa"/>
            <w:vAlign w:val="bottom"/>
            <w:tcBorders>
              <w:bottom w:val="single" w:sz="8" w:color="CCFF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(3,279,539</w:t>
            </w:r>
          </w:p>
        </w:tc>
        <w:tc>
          <w:tcPr>
            <w:tcW w:w="200" w:type="dxa"/>
            <w:vAlign w:val="bottom"/>
            <w:tcBorders>
              <w:bottom w:val="single" w:sz="8" w:color="CCFFCC"/>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552,844</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06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w w:val="99"/>
              </w:rPr>
              <w:t>Basic and diluted (loss) income per common share</w:t>
            </w:r>
          </w:p>
        </w:tc>
        <w:tc>
          <w:tcPr>
            <w:tcW w:w="16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(1.24</w:t>
            </w:r>
          </w:p>
        </w:tc>
        <w:tc>
          <w:tcPr>
            <w:tcW w:w="200" w:type="dxa"/>
            <w:vAlign w:val="bottom"/>
            <w:tcBorders>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0.21</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0" w:type="dxa"/>
            <w:vAlign w:val="bottom"/>
            <w:vMerge w:val="restart"/>
          </w:tcPr>
          <w:p>
            <w:pPr>
              <w:jc w:val="right"/>
              <w:ind w:right="93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conjunction with the reverse split effected on April 30, 2012 (as discussed in Note 1), all outstanding Company Preferred Stock automatically converted to 9,857,596 shares of Common Stock as of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500,000,000 shares of $0.001 par value common stock.</w:t>
      </w:r>
    </w:p>
    <w:p>
      <w:pPr>
        <w:spacing w:after="0" w:line="23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all shares of preferred stock issued in the 2011 Equity PIPE were converted to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TG Therapeutics, Inc. Amended and Restated 2012 Incentive Plan (“2012 Incentive Plan”) was adopted in May 2012. Under the 2012 Incentive Plan, the compensation committee of the Company’s board of directors is authorized to grant stock-based awards to directors, consultants, employees and officers. The 2012 Incentive Plan authorizes grants to purchase up to 6,000,000 shares of authorized but unissued common stock. As of June 30, 2012, up to an additional 2,865,000 shares may be issued under the 2012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stock options as of June 30, 2012 and changes during the period then ended is presented below:</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4" w:name="page15"/>
    <w:bookmarkEnd w:id="14"/>
    <w:p>
      <w:pPr>
        <w:ind w:left="700"/>
        <w:spacing w:after="0"/>
        <w:rPr>
          <w:sz w:val="20"/>
          <w:szCs w:val="20"/>
          <w:color w:val="auto"/>
        </w:rPr>
      </w:pPr>
      <w:r>
        <w:rPr>
          <w:rFonts w:ascii="Arial" w:cs="Arial" w:eastAsia="Arial" w:hAnsi="Arial"/>
          <w:sz w:val="17"/>
          <w:szCs w:val="17"/>
          <w:color w:val="auto"/>
        </w:rPr>
        <w:t>A summary of the status of the Company’s stock options as of June 30, 2012 and changes during the period then ended is presented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six months ended June 30,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0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08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of shares</w:t>
            </w: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60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3,379</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1,315.62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720.45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63"/>
        </w:trPr>
        <w:tc>
          <w:tcPr>
            <w:tcW w:w="6080" w:type="dxa"/>
            <w:vAlign w:val="bottom"/>
          </w:tcPr>
          <w:p>
            <w:pPr>
              <w:spacing w:after="0"/>
              <w:rPr>
                <w:sz w:val="20"/>
                <w:szCs w:val="20"/>
                <w:color w:val="auto"/>
              </w:rPr>
            </w:pPr>
            <w:r>
              <w:rPr>
                <w:rFonts w:ascii="Arial" w:cs="Arial" w:eastAsia="Arial" w:hAnsi="Arial"/>
                <w:sz w:val="18"/>
                <w:szCs w:val="18"/>
                <w:color w:val="auto"/>
              </w:rPr>
              <w:t>Outstanding at June 30, 2012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2,945.09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197"/>
        </w:trPr>
        <w:tc>
          <w:tcPr>
            <w:tcW w:w="6080" w:type="dxa"/>
            <w:vAlign w:val="bottom"/>
            <w:tcBorders>
              <w:top w:val="single" w:sz="8" w:color="CCFFCC"/>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83"/>
        </w:trPr>
        <w:tc>
          <w:tcPr>
            <w:tcW w:w="6080" w:type="dxa"/>
            <w:vAlign w:val="bottom"/>
          </w:tcPr>
          <w:p>
            <w:pPr>
              <w:spacing w:after="0"/>
              <w:rPr>
                <w:sz w:val="20"/>
                <w:szCs w:val="20"/>
                <w:color w:val="auto"/>
              </w:rPr>
            </w:pPr>
            <w:r>
              <w:rPr>
                <w:rFonts w:ascii="Arial" w:cs="Arial" w:eastAsia="Arial" w:hAnsi="Arial"/>
                <w:sz w:val="18"/>
                <w:szCs w:val="18"/>
                <w:color w:val="auto"/>
              </w:rPr>
              <w:t>Vested and expected to vest at June 30, 2012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2,945.09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197"/>
        </w:trPr>
        <w:tc>
          <w:tcPr>
            <w:tcW w:w="6080" w:type="dxa"/>
            <w:vAlign w:val="bottom"/>
            <w:tcBorders>
              <w:top w:val="single" w:sz="8" w:color="CCFFCC"/>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Exercisable at June 30, 2012</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898</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2,963.46</w:t>
            </w: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1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2.19</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ind w:left="84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June 30, 2012, the total compensation cost related to unvested option awards not yet recognized is less than $1,000. The weighted average period over which it is expected to be recognized is approximately 9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 Preferred</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Certain employees have been awarded restricted Company Preferred Stock. The restricted stock vesting consists of milestone and time-based vesting. The following table summarizes restricted share activity for the six months ended June 30, 2012:</w:t>
      </w:r>
    </w:p>
    <w:p>
      <w:pPr>
        <w:sectPr>
          <w:pgSz w:w="11900" w:h="16838" w:orient="portrait"/>
          <w:cols w:equalWidth="0" w:num="1">
            <w:col w:w="11420"/>
          </w:cols>
          <w:pgMar w:left="240" w:top="881" w:right="239" w:bottom="8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right="560" w:hanging="242"/>
        <w:spacing w:after="0" w:line="258" w:lineRule="auto"/>
        <w:rPr>
          <w:sz w:val="20"/>
          <w:szCs w:val="20"/>
          <w:color w:val="auto"/>
        </w:rPr>
      </w:pPr>
      <w:r>
        <w:rPr>
          <w:rFonts w:ascii="Arial" w:cs="Arial" w:eastAsia="Arial" w:hAnsi="Arial"/>
          <w:sz w:val="18"/>
          <w:szCs w:val="18"/>
          <w:color w:val="auto"/>
        </w:rPr>
        <w:t>Outstanding at December 31, 2011 Granted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firstLine="243"/>
        <w:spacing w:after="0" w:line="276" w:lineRule="auto"/>
        <w:rPr>
          <w:sz w:val="20"/>
          <w:szCs w:val="20"/>
          <w:color w:val="auto"/>
        </w:rPr>
      </w:pPr>
      <w:r>
        <w:rPr>
          <w:rFonts w:ascii="Arial" w:cs="Arial" w:eastAsia="Arial" w:hAnsi="Arial"/>
          <w:sz w:val="18"/>
          <w:szCs w:val="18"/>
          <w:color w:val="auto"/>
        </w:rPr>
        <w:t>Conversion to restricted common stock Outstanding at June 30, 2012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Number of Shares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9"/>
                <w:szCs w:val="19"/>
                <w:color w:val="auto"/>
              </w:rPr>
            </w:pPr>
          </w:p>
        </w:tc>
      </w:tr>
      <w:tr>
        <w:trPr>
          <w:trHeight w:val="216"/>
        </w:trPr>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Restricted Series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 Preferred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70"/>
        </w:trPr>
        <w:tc>
          <w:tcPr>
            <w:tcW w:w="2060" w:type="dxa"/>
            <w:vAlign w:val="bottom"/>
            <w:gridSpan w:val="2"/>
          </w:tcPr>
          <w:p>
            <w:pPr>
              <w:jc w:val="center"/>
              <w:ind w:right="180"/>
              <w:spacing w:after="0" w:line="269" w:lineRule="exact"/>
              <w:rPr>
                <w:sz w:val="20"/>
                <w:szCs w:val="20"/>
                <w:color w:val="auto"/>
              </w:rPr>
            </w:pPr>
            <w:r>
              <w:rPr>
                <w:rFonts w:ascii="Arial" w:cs="Arial" w:eastAsia="Arial" w:hAnsi="Arial"/>
                <w:sz w:val="18"/>
                <w:szCs w:val="18"/>
                <w:b w:val="1"/>
                <w:bCs w:val="1"/>
                <w:color w:val="auto"/>
                <w:w w:val="81"/>
              </w:rPr>
              <w:t>Stock</w:t>
            </w:r>
            <w:r>
              <w:rPr>
                <w:rFonts w:ascii="Arial" w:cs="Arial" w:eastAsia="Arial" w:hAnsi="Arial"/>
                <w:sz w:val="30"/>
                <w:szCs w:val="30"/>
                <w:b w:val="1"/>
                <w:bCs w:val="1"/>
                <w:color w:val="auto"/>
                <w:w w:val="81"/>
                <w:vertAlign w:val="superscript"/>
              </w:rPr>
              <w:t>(1)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Value</w:t>
            </w:r>
          </w:p>
        </w:tc>
      </w:tr>
      <w:tr>
        <w:trPr>
          <w:trHeight w:val="195"/>
        </w:trPr>
        <w:tc>
          <w:tcPr>
            <w:tcW w:w="1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129,375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w:t>
            </w: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16"/>
        </w:trPr>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r>
      <w:tr>
        <w:trPr>
          <w:trHeight w:val="230"/>
        </w:trPr>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446"/>
        </w:trPr>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(129,375)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3"/>
        </w:trPr>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r>
      <w:tr>
        <w:trPr>
          <w:trHeight w:val="20"/>
        </w:trPr>
        <w:tc>
          <w:tcPr>
            <w:tcW w:w="1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-882650</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-599440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-325120</wp:posOffset>
            </wp:positionV>
            <wp:extent cx="579755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620"/>
            <w:col w:w="7720"/>
          </w:cols>
          <w:pgMar w:left="240" w:top="881" w:right="239" w:bottom="883" w:gutter="0" w:footer="0" w:header="0"/>
          <w:type w:val="continuous"/>
        </w:sectPr>
      </w:pPr>
    </w:p>
    <w:p>
      <w:pPr>
        <w:spacing w:after="0" w:line="42" w:lineRule="exact"/>
        <w:rPr>
          <w:sz w:val="20"/>
          <w:szCs w:val="20"/>
          <w:color w:val="auto"/>
        </w:rPr>
      </w:pPr>
    </w:p>
    <w:p>
      <w:pPr>
        <w:ind w:right="160" w:firstLine="656"/>
        <w:spacing w:after="0" w:line="254" w:lineRule="auto"/>
        <w:tabs>
          <w:tab w:leader="none" w:pos="861"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restricted Company Preferred Stock listed in the table above was granted in connection with the Exchange Transaction to certain executives as discussed above. Each share of Company Preferred Stock was convertible into 8.89 shares of the Company’s Common Stock. In conjunction with the reverse split effected on April 30, 2012 (as discussed in Note 1), all outstanding restricted Preferred Stock automatically converted to 1,150,000 shares of Common Stock as of that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 Common</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Certain employees, directors and consultants have been awarded restricted stock under the 2012 Incentive Plan. The restricted stock vesting consists of milestone and time-based vesting. The following table summarizes restricted share activity for the six months ended June 30, 2012: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Weighted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700" w:type="dxa"/>
            <w:vAlign w:val="bottom"/>
          </w:tcPr>
          <w:p>
            <w:pPr>
              <w:spacing w:after="0"/>
              <w:rPr>
                <w:sz w:val="20"/>
                <w:szCs w:val="20"/>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 Shares</w:t>
            </w:r>
          </w:p>
        </w:tc>
        <w:tc>
          <w:tcPr>
            <w:tcW w:w="240" w:type="dxa"/>
            <w:vAlign w:val="bottom"/>
          </w:tcPr>
          <w:p>
            <w:pPr>
              <w:spacing w:after="0"/>
              <w:rPr>
                <w:sz w:val="20"/>
                <w:szCs w:val="20"/>
                <w:color w:val="auto"/>
              </w:rPr>
            </w:pPr>
          </w:p>
        </w:tc>
        <w:tc>
          <w:tcPr>
            <w:tcW w:w="11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Fair Value</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3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ind w:right="9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FFCC"/>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Converted preferred stock</w:t>
            </w:r>
          </w:p>
        </w:tc>
        <w:tc>
          <w:tcPr>
            <w:tcW w:w="1900" w:type="dxa"/>
            <w:vAlign w:val="bottom"/>
          </w:tcPr>
          <w:p>
            <w:pPr>
              <w:jc w:val="right"/>
              <w:spacing w:after="0"/>
              <w:rPr>
                <w:sz w:val="20"/>
                <w:szCs w:val="20"/>
                <w:color w:val="auto"/>
              </w:rPr>
            </w:pPr>
            <w:r>
              <w:rPr>
                <w:rFonts w:ascii="Arial" w:cs="Arial" w:eastAsia="Arial" w:hAnsi="Arial"/>
                <w:sz w:val="18"/>
                <w:szCs w:val="18"/>
                <w:color w:val="auto"/>
              </w:rPr>
              <w:t>1,150,000</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2.25</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Granted</w:t>
            </w:r>
          </w:p>
        </w:tc>
        <w:tc>
          <w:tcPr>
            <w:tcW w:w="1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3,135,000</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79"/>
              </w:rPr>
              <w:t>6.20</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Vested</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7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5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Outstanding at June 30, 2012</w:t>
            </w:r>
          </w:p>
        </w:tc>
        <w:tc>
          <w:tcPr>
            <w:tcW w:w="1900" w:type="dxa"/>
            <w:vAlign w:val="bottom"/>
          </w:tcPr>
          <w:p>
            <w:pPr>
              <w:jc w:val="right"/>
              <w:spacing w:after="0"/>
              <w:rPr>
                <w:sz w:val="20"/>
                <w:szCs w:val="20"/>
                <w:color w:val="auto"/>
              </w:rPr>
            </w:pPr>
            <w:r>
              <w:rPr>
                <w:rFonts w:ascii="Arial" w:cs="Arial" w:eastAsia="Arial" w:hAnsi="Arial"/>
                <w:sz w:val="18"/>
                <w:szCs w:val="18"/>
                <w:color w:val="auto"/>
              </w:rPr>
              <w:t>4,285,000</w:t>
            </w:r>
          </w:p>
        </w:tc>
        <w:tc>
          <w:tcPr>
            <w:tcW w:w="138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5.14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26,781,250</w:t>
            </w:r>
          </w:p>
        </w:tc>
        <w:tc>
          <w:tcPr>
            <w:tcW w:w="14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Total expense associated with restricted stock (both common and preferred) was $1,171,991 and $1,360,500 during the three and six months ended June 30,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883"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660" w:type="dxa"/>
            <w:vAlign w:val="bottom"/>
            <w:tcBorders>
              <w:top w:val="single" w:sz="8" w:color="auto"/>
            </w:tcBorders>
          </w:tcPr>
          <w:p>
            <w:pPr>
              <w:spacing w:after="0"/>
              <w:rPr>
                <w:sz w:val="24"/>
                <w:szCs w:val="24"/>
                <w:color w:val="auto"/>
              </w:rPr>
            </w:pPr>
          </w:p>
        </w:tc>
        <w:tc>
          <w:tcPr>
            <w:tcW w:w="7420" w:type="dxa"/>
            <w:vAlign w:val="bottom"/>
            <w:gridSpan w:val="6"/>
          </w:tcPr>
          <w:p>
            <w:pPr>
              <w:jc w:val="right"/>
              <w:ind w:right="1000"/>
              <w:spacing w:after="0"/>
              <w:rPr>
                <w:sz w:val="20"/>
                <w:szCs w:val="20"/>
                <w:color w:val="auto"/>
              </w:rPr>
            </w:pPr>
            <w:r>
              <w:rPr>
                <w:rFonts w:ascii="Arial" w:cs="Arial" w:eastAsia="Arial" w:hAnsi="Arial"/>
                <w:sz w:val="18"/>
                <w:szCs w:val="18"/>
                <w:color w:val="auto"/>
                <w:w w:val="90"/>
              </w:rPr>
              <w:t>The following table summarizes warrant activity for the six months ended June 30, 2012:</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average</w:t>
            </w:r>
          </w:p>
        </w:tc>
        <w:tc>
          <w:tcPr>
            <w:tcW w:w="8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Warrants</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3"/>
              </w:rPr>
              <w:t>exercise price</w:t>
            </w:r>
          </w:p>
        </w:tc>
        <w:tc>
          <w:tcPr>
            <w:tcW w:w="8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9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2,118,768</w:t>
            </w: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900" w:type="dxa"/>
            <w:vAlign w:val="bottom"/>
            <w:gridSpan w:val="2"/>
          </w:tcPr>
          <w:p>
            <w:pPr>
              <w:ind w:left="260"/>
              <w:spacing w:after="0"/>
              <w:rPr>
                <w:sz w:val="20"/>
                <w:szCs w:val="20"/>
                <w:color w:val="auto"/>
              </w:rPr>
            </w:pPr>
            <w:r>
              <w:rPr>
                <w:rFonts w:ascii="Arial" w:cs="Arial" w:eastAsia="Arial" w:hAnsi="Arial"/>
                <w:sz w:val="18"/>
                <w:szCs w:val="18"/>
                <w:color w:val="auto"/>
              </w:rPr>
              <w:t>Issued</w:t>
            </w:r>
          </w:p>
        </w:tc>
        <w:tc>
          <w:tcPr>
            <w:tcW w:w="880" w:type="dxa"/>
            <w:vAlign w:val="bottom"/>
          </w:tcPr>
          <w:p>
            <w:pPr>
              <w:jc w:val="right"/>
              <w:spacing w:after="0"/>
              <w:rPr>
                <w:sz w:val="20"/>
                <w:szCs w:val="20"/>
                <w:color w:val="auto"/>
              </w:rPr>
            </w:pPr>
            <w:r>
              <w:rPr>
                <w:rFonts w:ascii="Arial" w:cs="Arial" w:eastAsia="Arial" w:hAnsi="Arial"/>
                <w:sz w:val="18"/>
                <w:szCs w:val="18"/>
                <w:color w:val="auto"/>
              </w:rPr>
              <w:t>2,163,555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5900" w:type="dxa"/>
            <w:vAlign w:val="bottom"/>
            <w:gridSpan w:val="2"/>
          </w:tcPr>
          <w:p>
            <w:pPr>
              <w:ind w:left="260"/>
              <w:spacing w:after="0"/>
              <w:rPr>
                <w:sz w:val="20"/>
                <w:szCs w:val="20"/>
                <w:color w:val="auto"/>
              </w:rPr>
            </w:pPr>
            <w:r>
              <w:rPr>
                <w:rFonts w:ascii="Arial" w:cs="Arial" w:eastAsia="Arial" w:hAnsi="Arial"/>
                <w:sz w:val="18"/>
                <w:szCs w:val="18"/>
                <w:color w:val="auto"/>
              </w:rPr>
              <w:t>Expired</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2,812.50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9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Outstanding at June 30, 2012</w:t>
            </w: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4,280,874</w:t>
            </w:r>
          </w:p>
        </w:tc>
        <w:tc>
          <w:tcPr>
            <w:tcW w:w="16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w:t>
            </w:r>
          </w:p>
        </w:tc>
        <w:tc>
          <w:tcPr>
            <w:tcW w:w="1060" w:type="dxa"/>
            <w:vAlign w:val="bottom"/>
            <w:tcBorders>
              <w:top w:val="single" w:sz="8" w:color="CCFFCC"/>
            </w:tcBorders>
            <w:gridSpan w:val="3"/>
            <w:shd w:val="clear" w:color="auto" w:fill="CCFFCC"/>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16,860,808</w:t>
            </w:r>
          </w:p>
        </w:tc>
      </w:tr>
      <w:tr>
        <w:trPr>
          <w:trHeight w:val="20"/>
        </w:trPr>
        <w:tc>
          <w:tcPr>
            <w:tcW w:w="660" w:type="dxa"/>
            <w:vAlign w:val="bottom"/>
            <w:tcBorders>
              <w:top w:val="single" w:sz="8" w:color="CCFFCC"/>
            </w:tcBorders>
          </w:tcPr>
          <w:p>
            <w:pPr>
              <w:spacing w:after="0" w:line="20" w:lineRule="exact"/>
              <w:rPr>
                <w:sz w:val="1"/>
                <w:szCs w:val="1"/>
                <w:color w:val="auto"/>
              </w:rPr>
            </w:pPr>
          </w:p>
        </w:tc>
        <w:tc>
          <w:tcPr>
            <w:tcW w:w="524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During the six months ended June 30, 2012, as part of the 2011 Equity PIPE, we issued warrants to purchase up to 1,545,396 shares of our Company Common Stock to investors in the 2011 Equity PIPE, none of which have been exercised as of June 30, 2012. The warrants have an exercise price of $2.25 per warrant share. In addition, we issued to the placement agent in the transaction warrants to purchase up to 618,159 shares of our Company Common Stock at an exercise price of $2.48 per warrant share, none of which have been exercised as of June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six months ended June 30, 2012.</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stock options and restricted stock for the three and six months ended June 30,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7"/>
              </w:rPr>
              <w:t>Six months ended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June 30, 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Arial" w:cs="Arial" w:eastAsia="Arial" w:hAnsi="Arial"/>
                <w:sz w:val="18"/>
                <w:szCs w:val="18"/>
                <w:b w:val="1"/>
                <w:bCs w:val="1"/>
                <w:color w:val="auto"/>
              </w:rPr>
              <w:t>June 30, 2012</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FFCC"/>
            </w:tcBorders>
            <w:gridSpan w:val="5"/>
            <w:shd w:val="clear" w:color="auto" w:fill="CCFFCC"/>
          </w:tcPr>
          <w:p>
            <w:pPr>
              <w:spacing w:after="0"/>
              <w:rPr>
                <w:sz w:val="20"/>
                <w:szCs w:val="20"/>
                <w:color w:val="auto"/>
              </w:rPr>
            </w:pPr>
            <w:r>
              <w:rPr>
                <w:rFonts w:ascii="Arial" w:cs="Arial" w:eastAsia="Arial" w:hAnsi="Arial"/>
                <w:sz w:val="18"/>
                <w:szCs w:val="18"/>
                <w:color w:val="auto"/>
                <w:w w:val="89"/>
              </w:rPr>
              <w:t>Stock-based compensation expense associated with restricted stock</w:t>
            </w:r>
          </w:p>
        </w:tc>
        <w:tc>
          <w:tcPr>
            <w:tcW w:w="10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560" w:type="dxa"/>
            <w:vAlign w:val="bottom"/>
            <w:tcBorders>
              <w:top w:val="single" w:sz="8" w:color="auto"/>
            </w:tcBorders>
            <w:shd w:val="clear" w:color="auto" w:fill="CCFFCC"/>
          </w:tcPr>
          <w:p>
            <w:pPr>
              <w:jc w:val="right"/>
              <w:ind w:right="40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2"/>
              </w:rPr>
              <w:t>1,171,991</w:t>
            </w: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1,360,500</w:t>
            </w:r>
          </w:p>
        </w:tc>
        <w:tc>
          <w:tcPr>
            <w:tcW w:w="2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color w:val="auto"/>
                <w:w w:val="89"/>
              </w:rPr>
              <w:t>Stock-based compensation expense associated with option grants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02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0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CCFFCC"/>
              <w:bottom w:val="single" w:sz="8" w:color="CCFFCC"/>
            </w:tcBorders>
            <w:shd w:val="clear" w:color="auto" w:fill="CCFFCC"/>
          </w:tcPr>
          <w:p>
            <w:pPr>
              <w:spacing w:after="0"/>
              <w:rPr>
                <w:sz w:val="19"/>
                <w:szCs w:val="19"/>
                <w:color w:val="auto"/>
              </w:rPr>
            </w:pPr>
          </w:p>
        </w:tc>
        <w:tc>
          <w:tcPr>
            <w:tcW w:w="560" w:type="dxa"/>
            <w:vAlign w:val="bottom"/>
            <w:tcBorders>
              <w:top w:val="single" w:sz="8" w:color="auto"/>
              <w:bottom w:val="single" w:sz="8" w:color="auto"/>
            </w:tcBorders>
            <w:shd w:val="clear" w:color="auto" w:fill="CCFFCC"/>
          </w:tcPr>
          <w:p>
            <w:pPr>
              <w:jc w:val="right"/>
              <w:ind w:right="40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spacing w:after="0"/>
              <w:rPr>
                <w:sz w:val="19"/>
                <w:szCs w:val="19"/>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2"/>
              </w:rPr>
              <w:t>1,171,991</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1,360,500</w:t>
            </w:r>
          </w:p>
        </w:tc>
        <w:tc>
          <w:tcPr>
            <w:tcW w:w="20" w:type="dxa"/>
            <w:vAlign w:val="bottom"/>
            <w:tcBorders>
              <w:top w:val="single" w:sz="8" w:color="auto"/>
              <w:bottom w:val="single" w:sz="8" w:color="auto"/>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NOTE 5 – NOTES PAYABLE</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gridSpan w:val="4"/>
          </w:tcPr>
          <w:p>
            <w:pPr>
              <w:ind w:left="660"/>
              <w:spacing w:after="0"/>
              <w:rPr>
                <w:sz w:val="20"/>
                <w:szCs w:val="20"/>
                <w:color w:val="auto"/>
              </w:rPr>
            </w:pPr>
            <w:r>
              <w:rPr>
                <w:rFonts w:ascii="Arial" w:cs="Arial" w:eastAsia="Arial" w:hAnsi="Arial"/>
                <w:sz w:val="18"/>
                <w:szCs w:val="18"/>
                <w:color w:val="auto"/>
              </w:rPr>
              <w:t>The following is a summary of notes payable: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2012</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0"/>
                <w:szCs w:val="10"/>
                <w:color w:val="auto"/>
              </w:rPr>
            </w:pPr>
          </w:p>
        </w:tc>
        <w:tc>
          <w:tcPr>
            <w:tcW w:w="12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Non-</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Non-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current</w:t>
            </w:r>
          </w:p>
        </w:tc>
        <w:tc>
          <w:tcPr>
            <w:tcW w:w="240" w:type="dxa"/>
            <w:vAlign w:val="bottom"/>
          </w:tcPr>
          <w:p>
            <w:pPr>
              <w:spacing w:after="0"/>
              <w:rPr>
                <w:sz w:val="12"/>
                <w:szCs w:val="12"/>
                <w:color w:val="auto"/>
              </w:rPr>
            </w:pPr>
          </w:p>
        </w:tc>
        <w:tc>
          <w:tcPr>
            <w:tcW w:w="10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current</w:t>
            </w:r>
          </w:p>
        </w:tc>
        <w:tc>
          <w:tcPr>
            <w:tcW w:w="80" w:type="dxa"/>
            <w:vAlign w:val="bottom"/>
          </w:tcPr>
          <w:p>
            <w:pPr>
              <w:spacing w:after="0"/>
              <w:rPr>
                <w:sz w:val="12"/>
                <w:szCs w:val="12"/>
                <w:color w:val="auto"/>
              </w:rPr>
            </w:pPr>
          </w:p>
        </w:tc>
        <w:tc>
          <w:tcPr>
            <w:tcW w:w="11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portion, net</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portion, net</w:t>
            </w: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portion, net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portion, net</w:t>
            </w:r>
          </w:p>
        </w:tc>
        <w:tc>
          <w:tcPr>
            <w:tcW w:w="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Non-interest Bearing Note Payable, Net</w:t>
            </w:r>
          </w:p>
        </w:tc>
        <w:tc>
          <w:tcPr>
            <w:tcW w:w="140" w:type="dxa"/>
            <w:vAlign w:val="bottom"/>
            <w:tcBorders>
              <w:top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jc w:val="center"/>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gridSpan w:val="4"/>
            <w:shd w:val="clear" w:color="auto" w:fill="CCFFCC"/>
          </w:tcPr>
          <w:p>
            <w:pPr>
              <w:jc w:val="right"/>
              <w:spacing w:after="0" w:line="142" w:lineRule="exact"/>
              <w:rPr>
                <w:sz w:val="20"/>
                <w:szCs w:val="20"/>
                <w:color w:val="auto"/>
              </w:rPr>
            </w:pPr>
            <w:r>
              <w:rPr>
                <w:rFonts w:ascii="Arial" w:cs="Arial" w:eastAsia="Arial" w:hAnsi="Arial"/>
                <w:sz w:val="14"/>
                <w:szCs w:val="14"/>
                <w:color w:val="auto"/>
              </w:rPr>
              <w:t>200,000</w:t>
            </w:r>
          </w:p>
        </w:tc>
        <w:tc>
          <w:tcPr>
            <w:tcW w:w="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FFCC"/>
            </w:tcBorders>
            <w:gridSpan w:val="2"/>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jc w:val="right"/>
              <w:ind w:right="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200,000</w:t>
            </w:r>
          </w:p>
        </w:tc>
        <w:tc>
          <w:tcPr>
            <w:tcW w:w="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Convertible 5% Notes Payable</w:t>
            </w:r>
          </w:p>
        </w:tc>
        <w:tc>
          <w:tcPr>
            <w:tcW w:w="14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4,395,100</w:t>
            </w:r>
          </w:p>
        </w:tc>
        <w:tc>
          <w:tcPr>
            <w:tcW w:w="24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4,395,100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30"/>
              <w:spacing w:after="0" w:line="149" w:lineRule="exact"/>
              <w:rPr>
                <w:sz w:val="20"/>
                <w:szCs w:val="20"/>
                <w:color w:val="auto"/>
              </w:rPr>
            </w:pPr>
            <w:r>
              <w:rPr>
                <w:rFonts w:ascii="Arial" w:cs="Arial" w:eastAsia="Arial" w:hAnsi="Arial"/>
                <w:sz w:val="14"/>
                <w:szCs w:val="14"/>
                <w:color w:val="auto"/>
              </w:rPr>
              <w:t>4,664,697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4,664,697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FFCC"/>
          </w:tcPr>
          <w:p>
            <w:pPr>
              <w:spacing w:after="0"/>
              <w:rPr>
                <w:sz w:val="20"/>
                <w:szCs w:val="20"/>
                <w:color w:val="auto"/>
              </w:rPr>
            </w:pPr>
            <w:r>
              <w:rPr>
                <w:rFonts w:ascii="Arial" w:cs="Arial" w:eastAsia="Arial" w:hAnsi="Arial"/>
                <w:sz w:val="14"/>
                <w:szCs w:val="14"/>
                <w:color w:val="auto"/>
              </w:rPr>
              <w:t>ICON Convertible Note</w:t>
            </w:r>
          </w:p>
        </w:tc>
        <w:tc>
          <w:tcPr>
            <w:tcW w:w="140" w:type="dxa"/>
            <w:vAlign w:val="bottom"/>
            <w:shd w:val="clear" w:color="auto" w:fill="CCFFCC"/>
          </w:tcPr>
          <w:p>
            <w:pPr>
              <w:spacing w:after="0"/>
              <w:rPr>
                <w:sz w:val="14"/>
                <w:szCs w:val="14"/>
                <w:color w:val="auto"/>
              </w:rPr>
            </w:pPr>
          </w:p>
        </w:tc>
        <w:tc>
          <w:tcPr>
            <w:tcW w:w="12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677,778</w:t>
            </w:r>
          </w:p>
        </w:tc>
        <w:tc>
          <w:tcPr>
            <w:tcW w:w="14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677,778</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60" w:type="dxa"/>
            <w:vAlign w:val="bottom"/>
            <w:gridSpan w:val="5"/>
            <w:shd w:val="clear" w:color="auto" w:fill="CCFFCC"/>
          </w:tcPr>
          <w:p>
            <w:pPr>
              <w:jc w:val="right"/>
              <w:ind w:right="40"/>
              <w:spacing w:after="0"/>
              <w:rPr>
                <w:sz w:val="20"/>
                <w:szCs w:val="20"/>
                <w:color w:val="auto"/>
              </w:rPr>
            </w:pPr>
            <w:r>
              <w:rPr>
                <w:rFonts w:ascii="Arial" w:cs="Arial" w:eastAsia="Arial" w:hAnsi="Arial"/>
                <w:sz w:val="14"/>
                <w:szCs w:val="14"/>
                <w:color w:val="auto"/>
              </w:rPr>
              <w:t>677,778</w:t>
            </w:r>
          </w:p>
        </w:tc>
        <w:tc>
          <w:tcPr>
            <w:tcW w:w="1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240" w:type="dxa"/>
            <w:vAlign w:val="bottom"/>
            <w:gridSpan w:val="3"/>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677,778</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677,778</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4,395,100</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5,072,878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877,778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4,664,697</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5,542,475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assumed the preceding notes payable as the result of the Exchange Transaction. Accordingly, a valuation was performed and these notes have been presented at their fair value on the date of the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Non-Interest Bearing Note Payable</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October 2009, Manhattan entered into a Settlement Agreement and Mutual Release with Swiss Pharma Contract LTD (“Swiss Pharma”) pursuant to which Manhattan agreed to pay Swiss Pharma $200,000 and issue to Swiss Pharma an interest free promissory note due on October 27, 2011 in the principal amount of $250,000 in full satisfaction of a September 5, 2008 arbitration award. In November 2011, Manhattan renegotiated the $250,000 promissory note due October 27, 2011 in which the amount of the promissory note was reduced to $200,000 and the maturity date was extended to February 15, 2012. This amount was paid on February 14, 2012 in full settlement of this note.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the Company, Ariston Pharmaceuticals, Inc., a Delaware corporation ("Ariston") and Ariston Merger Corp., a Delaware corporation and wholly-owned subsidiary of the Company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the Company.</w:t>
      </w:r>
    </w:p>
    <w:p>
      <w:pPr>
        <w:spacing w:after="0" w:line="18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 Interest accrues monthly, is added to principal on an annual basis, every March 8, and is payable at maturity.</w:t>
      </w:r>
    </w:p>
    <w:p>
      <w:pPr>
        <w:spacing w:after="0" w:line="173"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$16,883,000 at December 31, 2011, and $17,302,000 at June 30, 2012. As these notes payable are tied directly to net product cash flows derived from the preexisting products of the Company, this note and accrued interest was recorded at fair value as of the date of the Exchange Transaction. No payments have been made on these notes as of June 30, 2012. See Note 2 for further details.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connection with the merger with Ariston as discussed above, Ariston satisfied an account payable of $1,275,188 to ICON Clinical Research Limited (“ICON”) through the payment of $275,188 in cash and the issuance of a three-year 5% note payable (the “ICON Note”). The principal was to be repaid in 36 monthly installments of $27,778 commencing in April 2010. Interest was payable monthly in arrears. On March 1, 2011, Ariston entered into an amended and restated convertible promissory note (the “Amended ICON Note”) with ICON. The principal terms of the Amended ICON Note are that monthly payments of principal and interest will be waived for the thirteen month period ended December 31, 2011 (the “Waiver Period”) in exchange for a single payment of $100,000 on March 31, 2011, an increase in the interest on the Amended ICON Note from 5% to 8% per annum during the Waiver Period and a balloon payment on January 31, 2012. The Amended ICON Note is convertible at the option of the holder into the Company’s Common Stock at the conversion price of $562.50 per share. During the three and six months ended June 30, 2012, the Company recorded $15,150 and $30,003, respectively, of interest expense on the Amended ICON Note. At June 30, 2012, the principal amount of the Amended ICON Note was $677,778, of which the entire balance has been classified as current, and interest payable on the Amended ICON Note was $91,944, and is reflected as notes payable, current portion, net, and interest payable, current portion, net, respectively, in the accompanying balance sheet as of June 30, 2012. This note is currently in default as the Company did not make the balloon payment due on January 31, 2012, or any subsequent payments. The Company is currently attempting to negotiate a settlement or alternative arrangement in satisfaction of this note.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 LICENSE AGREEMENTS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April 2011, TG Bio, acquired from LFB Biotechnologies, a fully owned subsidiary of France based LFB S.A., an option (the “License Option”) for exclusive worldwide rights (except France/Belgium) to develop and market ublituximab (“TGTX-1101”), a monoclonal antibody that targets a specific epitope on the B-cell lymphocyte CD20 antigen. In exchange for the License Option, TG Bio issued 132,000 shares of its common stock to LFB.</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30, 2012, TG Bio exercised the License Option and entered into an exclusive license agreement with LFB Biotechnologies, GTC Biotherapeutics and LFB/GTC LLC, all wholly-owned subsidiaries of LFB Group, relating to the development of ublituximab (the “License Agreement”). Under the License Agreement, we have acquired the exclusive worldwide rights (exclusive of France/Belgium) for the development and commercialization of TGTX-1101 (ublituximab). To date, we have made no payments to LFB Group and LFB Group is eligible to receive payments of up to an aggregate of approximately $31.0 million upon our successful achievement of certain clinical development, regulatory and sales milestones, in addition to royalty payments on net sales of ublituximab. The license will terminate on a country by country basis upon the expiration of the last licensed patent right or 15 years after the first commercial sale of a product in such country, unless the agreement is earlier terminated.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license agreement, our subsidiary TG Biologics issued 7,368,000 shares of its common stock to LFB, and the Company agreed to contribute $15 million, less applicable fees and expenses associated with the financing, to TG Bio to fund the development of ublituximab under the License Agreement in exchange for 7,500,000 shares of TG Bio common stock. The Company recognized approximately $16,578,000 of noncash research and development expense during the six months ended June 30, 2012 in connection with the issuance of these shares. In addition, in connection with the issuance of 7,368,000 shares of TG Bio common stock, the Company and TG Bio provided LFB Group the option to, in its sole discretion, elect to convert all, and not less than all, of the shares of TG Bio common stock into 7,500,000 shares of the Company’s Common Stock. This option may be exercised by LFB Group at any time before May 31, 2013.</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should LFB Group choose to exercise the option for Company Common Stock, the Board of Directors of the Company shall appoint an individual designated by LFB Group to serve as a director of the Company until the next annual meeting of the stockholders and until his or her successor has been duly elected. Thereafter the Board of Directors of the Company shall nominate a designee named by LFB Group for election at each annual meeting of the stockholders until such time as LFB Group owns less than 10% of the outstanding Company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December 30, 2011, OPN Capital Markets (“OPNCM”) and its affiliated broker-dealer, National Securities Corporation (“NSC” and collectively with OPNCM, “National”), both affiliates of National Holdings Corporation (“National Holdings”), entered into a Placement Agency Agreement (the “PAA”) with the Company in connection with the initial closing of the 2011 Equity PIPE, offering of up to $25 million of stock and warrants of the Company. Pursuant to the PAA, National acted as the Company’s placement agent for 2011 Equity PIPE.</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Until April 2012, Michael S. Weiss was a director and Non-Executive Chairman of the Board of Directors of National Holdings. He is also a stockholder of National Holdings and, when combined with his ownership indirectly through Opus and its affiliates, beneficially owns 23.6% of National Holdings, the parent company of NSC. Mr. Weiss disclaims such beneficial ownership other than to the extent of his pecuniary interest. In addition, at the time, Opus and NSC were parties to a 50/50 joint venture that shared profits from OPNCM, the investment banking division of NSC that was responsible for managing the Offering. This joint venture was dissolved in April 2012.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ind w:right="140" w:firstLine="648"/>
        <w:spacing w:after="0" w:line="257" w:lineRule="auto"/>
        <w:rPr>
          <w:sz w:val="20"/>
          <w:szCs w:val="20"/>
          <w:color w:val="auto"/>
        </w:rPr>
      </w:pPr>
      <w:r>
        <w:rPr>
          <w:rFonts w:ascii="Arial" w:cs="Arial" w:eastAsia="Arial" w:hAnsi="Arial"/>
          <w:sz w:val="18"/>
          <w:szCs w:val="18"/>
          <w:color w:val="auto"/>
        </w:rPr>
        <w:t>As placement agent, National received cash commissions equal to 10% of the gross proceeds of the 2011 Equity PIPE, five-year warrants to purchase shares of Company Preferred Stock equal to 10% of shares sold in the 2011 Equity PIPE, and a non-accountable expense allowance equal to two percent of the gross proceeds of the 2011 Equity PIPE for National’s expenses (not including up to $80,000 of National’s legal expenses and any blue sky fees, both of which the Company also reimbursed). In addition to acting as placement, National provided advisory services in connection with the Exchange Transaction and received an advisory fee of $150,000 for such services.</w:t>
      </w:r>
    </w:p>
    <w:p>
      <w:pPr>
        <w:spacing w:after="0" w:line="18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Under the terms of the Company’s License Agreement with LFB Group, the Company utilizes LFB Group for certain development and manufacturing services. The Company recognized approximately $1,258,000 in such expenses during the three and six months ended June 30, 2012, which has been included in other research and development expenses in the accompanying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we are developing ublituximab (TGTX-1101), a novel, third generation monoclonal antibody that targets a specific and unique epitope on the CD20 antigen found on mature B-lymphocytes.</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Developed for the treatment of B-cell proliferative disorders, including Non-Hodgkin’s Lymphoma (“NHL”) and Chronic Lymphocytic Leukemia (“CLL”), anti-CD20 antibodies target and aid in the depletion of B-cell lymphocytes. Anti-CD20 antibodies have also been shown to be effective in treating select autoimmune diseases such as Rheumatoid Arthritis (“RA”) and Systemic Lupus Erythematosus (“SLE”), along with the neurological disorder Multiple Sclerosis (“MS”).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product candidates is summarized below:</w:t>
      </w:r>
    </w:p>
    <w:p>
      <w:pPr>
        <w:spacing w:after="0" w:line="2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TGTX-1101 (ublituximab), an anti-CD20 monoclonal antibody for oncology and B-cell related disorders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AST-726, a nasally delivered form of hydroxocobalamin for the treatment of vitamin B12 deficiency</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also actively evaluate complimentary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TGTX-1101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TGTX-1101 (“LFB-R603” or “R603”) is a chimeric murine/human monoclonal antibody with the generic name “ublituximab” that targets the CD20 antigen found on the surface of B-cell lymphocytes and has been developed to aid in the depletion of circulating B-cells. We hold exclusive worldwide rights (excepting France/Belgium) to develop and commercialize ublituximab for all indications, including the treatment of cancer and autoimmune diseases such as Non-Hodgkin’s Lymphoma (“NHL”) and Chronic Lymphocytic Leukemia (“CLL”).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9" w:name="page20"/>
    <w:bookmarkEnd w:id="19"/>
    <w:p>
      <w:pPr>
        <w:jc w:val="both"/>
        <w:ind w:right="140" w:firstLine="648"/>
        <w:spacing w:after="0" w:line="264" w:lineRule="auto"/>
        <w:rPr>
          <w:sz w:val="20"/>
          <w:szCs w:val="20"/>
          <w:color w:val="auto"/>
        </w:rPr>
      </w:pPr>
      <w:r>
        <w:rPr>
          <w:rFonts w:ascii="Arial" w:cs="Arial" w:eastAsia="Arial" w:hAnsi="Arial"/>
          <w:sz w:val="18"/>
          <w:szCs w:val="18"/>
          <w:color w:val="auto"/>
        </w:rPr>
        <w:t xml:space="preserve">Multiple preclinical studies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produced data that support the activity and potency of ublituximab as an efficient and selective B-cell targeting anti-CD20 antibody with the ability to effectively deplete B lymphocytes in both malignant laboratory cell models as well as NHL and CLL patient donor cell lines.</w:t>
      </w:r>
    </w:p>
    <w:p>
      <w:pPr>
        <w:spacing w:after="0" w:line="181" w:lineRule="exact"/>
        <w:rPr>
          <w:sz w:val="20"/>
          <w:szCs w:val="20"/>
          <w:color w:val="auto"/>
        </w:rPr>
      </w:pPr>
    </w:p>
    <w:p>
      <w:pPr>
        <w:jc w:val="both"/>
        <w:ind w:right="280" w:firstLine="648"/>
        <w:spacing w:after="0" w:line="30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direct or programmed cell death (“DCD” or “PCD”), complement dependent cytotoxicity (“CDC”), and antibody dependent cell-mediated cytotoxicity (“ADCC”). Ublituximab has been specifically bio-engineered to enhance the ADCC effects, which enhances its ability to deplete B-cells and may improve its anti-cancer effects as compared to Rituxan</w:t>
      </w:r>
      <w:r>
        <w:rPr>
          <w:rFonts w:ascii="Arial" w:cs="Arial" w:eastAsia="Arial" w:hAnsi="Arial"/>
          <w:sz w:val="26"/>
          <w:szCs w:val="26"/>
          <w:color w:val="auto"/>
          <w:vertAlign w:val="superscript"/>
        </w:rPr>
        <w:t>®</w:t>
      </w:r>
      <w:r>
        <w:rPr>
          <w:rFonts w:ascii="Arial" w:cs="Arial" w:eastAsia="Arial" w:hAnsi="Arial"/>
          <w:sz w:val="16"/>
          <w:szCs w:val="16"/>
          <w:color w:val="auto"/>
        </w:rPr>
        <w:t>, the leading anti-CD20 monoclonal antibody, which had worldwide sales in 2011 of approximately $7 billion.</w:t>
      </w:r>
    </w:p>
    <w:p>
      <w:pPr>
        <w:spacing w:after="0" w:line="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 two part dose escalating Phase I clinical trial was completed in France in which ublituximab was introduced in relapsed or refractory CLL patients. In Part 1 of the study, 21 CLL patients in escalating dosage cohorts received once weekly infusions of ublituximab over the course of 4 weeks, with an additional 12 patients in Part 2 of the study receiving weekly infusions of ublituximab at a higher flat dose for 8 weeks. According to the investigators, results of Part 2 indicate single agent ublituximab therapy was well tolerated with primary adverse events including infusion related reactions, neutropenia, transient elevations in liver enzymes, pyrexia and thrombocytopenia. Though the primary endpoint of this Phase I clinical study was to assess the safety and tolerability of ublituximab in CLL patients, robust B-cell depletion and an encouraging rate of partial responses may suggest preliminary evidence of efficacy.</w:t>
      </w:r>
    </w:p>
    <w:p>
      <w:pPr>
        <w:spacing w:after="0" w:line="5" w:lineRule="exact"/>
        <w:rPr>
          <w:sz w:val="20"/>
          <w:szCs w:val="20"/>
          <w:color w:val="auto"/>
        </w:rPr>
      </w:pPr>
    </w:p>
    <w:p>
      <w:pPr>
        <w:jc w:val="both"/>
        <w:ind w:right="100"/>
        <w:spacing w:after="0" w:line="217" w:lineRule="auto"/>
        <w:rPr>
          <w:sz w:val="20"/>
          <w:szCs w:val="20"/>
          <w:color w:val="auto"/>
        </w:rPr>
      </w:pPr>
      <w:r>
        <w:rPr>
          <w:rFonts w:ascii="Arial" w:cs="Arial" w:eastAsia="Arial" w:hAnsi="Arial"/>
          <w:sz w:val="18"/>
          <w:szCs w:val="18"/>
          <w:color w:val="auto"/>
        </w:rPr>
        <w:t>A portion of the data from Part 2 of this study was presented at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Meeting in San Diego, CA. The Company intends to utilize the data generated from patients in the recently completed Phase I clinical trial to design and conduct future Phase I, II and III studies in the United States and internationally.</w:t>
      </w:r>
    </w:p>
    <w:p>
      <w:pPr>
        <w:spacing w:after="0" w:line="204"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Manufacturing of ublituximab is currently performed by our partner, LFB Biotechnologies, using mammalian cells with plans to explore a second manufacturing method utilizing a transgenic animal vector developed by GTC Biotherapeutics, a wholly owned subsidiary of LFB S.A.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AST-726</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AST-726 is a nasally delivered form of hydroxocobalamin for the treatment of Vitamin B12 deficiency. The Company acquired global rights to AST-726 as part of the Ariston acquisition. AST-726 has demonstrated pharmacokinetic equivalence to a marketed intramuscular injection product for Vitamin B12 remediation.</w:t>
      </w:r>
    </w:p>
    <w:p>
      <w:pPr>
        <w:spacing w:after="0" w:line="18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Company is currently reviewing its development plans for AST-726, which may include: (1) ceasing further development and attempting to sell or license AST-726, (2) continuing development as originally contemplated under the SPA or (3) evaluating and implementing alternative development plans. No decision has been made as to which approach to execute. A final decision is expected to take 6-12 months, but may occur earlier or later.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AST-915</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 sponsored research arrangement for AST-915, an orally delivered treatment for essential tremor. Patient enrollment, treatment, and follow-up concluded for a Phase 1 dose escalation trial of AST-915 in early June 2012 and data analysis is currently ongoing, with final data estimated to be available in the third quarter of 2012. It is unlikely that the Company will continue the development of AST-915 thereafter, but a final determination will be reserved until development activities have concluded.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TGTX-1101 (ublituximab)</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March 2012, the Company submitted to the U.S. Food and Drug Administration (“FDA”) an Investigational New Drug Application (“IND”) for TGTX-1101 (ublituximab). The Company received notification of acceptance of this IND in April of 2012, permitting the initiation of clinical trials for TGTX-1101 in oncology patients in the US. Pursuant to the acceptance of this IND, the Company intends to initiate a Phase I/II study with ublituximab in the third quarter of 2012.</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 or from any other source.</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2012 and June 30, 2011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Noncash Stock Expense Associated with In-licensing Agreement. </w:t>
      </w:r>
      <w:r>
        <w:rPr>
          <w:rFonts w:ascii="Arial" w:cs="Arial" w:eastAsia="Arial" w:hAnsi="Arial"/>
          <w:sz w:val="16"/>
          <w:szCs w:val="16"/>
          <w:color w:val="auto"/>
        </w:rPr>
        <w:t>Noncash stock expense associated with in-licensing agreement decreased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$297,000 to $0 for the three months ended June 30, 2012, as compared to $297,000 for the three months ended June 30, 2011. The expense in 2011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a noncash expense of $297,000 recorded in conjunction with the stock issued to LFB Group for the license option to TGTX-1101.</w:t>
      </w:r>
    </w:p>
    <w:p>
      <w:pPr>
        <w:spacing w:after="0" w:line="21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$109,198 for the three months ended June 30, 2012. The noncash compensation expense was related to the period’s expense for restricted stock grants to research and development personnel. We expect noncash compensation expense (research and development) to increase modestly during the remainder of 2012.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ind w:firstLine="648"/>
        <w:spacing w:after="0" w:line="259"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totaled $1,536,896 for the three months ended June 30, 2012.</w:t>
      </w:r>
      <w:r>
        <w:rPr>
          <w:rFonts w:ascii="Arial" w:cs="Arial" w:eastAsia="Arial" w:hAnsi="Arial"/>
          <w:sz w:val="18"/>
          <w:szCs w:val="18"/>
          <w:i w:val="1"/>
          <w:iCs w:val="1"/>
          <w:color w:val="auto"/>
        </w:rPr>
        <w:t xml:space="preserve"> </w:t>
      </w:r>
      <w:r>
        <w:rPr>
          <w:rFonts w:ascii="Arial" w:cs="Arial" w:eastAsia="Arial" w:hAnsi="Arial"/>
          <w:sz w:val="18"/>
          <w:szCs w:val="18"/>
          <w:color w:val="auto"/>
        </w:rPr>
        <w:t>These expenses are due primarily to an increase in research and development expenses related to TGTX-1101, and the Company’s preparations for a U.S. based Phase I/II study. We expect our other research and development costs to increase for the remainder of 2012 due to the commencement of our clinical development program for TGTX-1101.</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$1,062,793 for the three months ended June 30, 2012. The noncash compensation expense was related to the period’s expense for restricted stock grants to general and administrative personnel. We expect noncash compensation expense (general and administrative) to decrease modestly during the remainder of 2012.</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totaled $396,043 for the three months ended June 30, 2012.</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expense was primarily related to legal and personnel costs. We expect our other general and administrative expenses to remain at a comparable level during the remainder of 2012.</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expense totaled $(530,771) for the three months ended June 30, 2012. The other income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 refund of New York State Franchise tax of approximately $272,000 and the change in the fair value of our notes payable, partially offset by interest expense on our short-term note payable.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2012 and June 30, 2011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Noncash Stock Expense Associated with In-licensing Agreement. </w:t>
      </w:r>
      <w:r>
        <w:rPr>
          <w:rFonts w:ascii="Arial" w:cs="Arial" w:eastAsia="Arial" w:hAnsi="Arial"/>
          <w:sz w:val="16"/>
          <w:szCs w:val="16"/>
          <w:color w:val="auto"/>
        </w:rPr>
        <w:t>Noncash stock expense associated with in-licensing agreement increased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$16,281,000 to $16,578,000 for the six months ended June 30, 2012, as compared to $297,000 for the six months ended June 30, 2011. The expense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months ended June 30, 2012 primarily related to a noncash expense of $16,578,000 recorded in conjunction with the stock issued to LFB Group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license to TGTX-1101. The expense during the six months ended June 30, 2011 primarily related to a noncash expense of $297,000 recorded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conjunction with the stock issued to LFB Group for the license option to TGTX-1101.</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$109,198 for the six months ended June 30, 2012. The noncash compensation expense was related to the period’s expense for restricted stock grants to research and development personnel. We expect noncash compensation expense (research and development) to increase during the remainder 2012.</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totaled $1,700,249 for the six months ended June 30, 2012.</w:t>
      </w:r>
      <w:r>
        <w:rPr>
          <w:rFonts w:ascii="Arial" w:cs="Arial" w:eastAsia="Arial" w:hAnsi="Arial"/>
          <w:sz w:val="18"/>
          <w:szCs w:val="18"/>
          <w:i w:val="1"/>
          <w:iCs w:val="1"/>
          <w:color w:val="auto"/>
        </w:rPr>
        <w:t xml:space="preserve"> </w:t>
      </w:r>
      <w:r>
        <w:rPr>
          <w:rFonts w:ascii="Arial" w:cs="Arial" w:eastAsia="Arial" w:hAnsi="Arial"/>
          <w:sz w:val="18"/>
          <w:szCs w:val="18"/>
          <w:color w:val="auto"/>
        </w:rPr>
        <w:t>These expenses are due primarily to an increase in research and development expenses related to TGTX-1101, and the Company’s preparations for a U.S. based Phase I/II study. We expect our other research and development costs to increase for the remainder of 2012 due to the commencement of our clinical development program for TGTX-1101.</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$1,251,302 for the six months ended June 30, 2012. The noncash compensation expense was related to the period’s expense for restricted stock grants to general and administrative personnel. We expect noncash compensation expense (general and administrative) to decrease modestly during the remainder of 2012.</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totaled $851,535 for the six months ended June 30, 2012.</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expense was primarily related to legal and personnel costs. We expect our other general and administrative expenses to remain at a comparable level during the remainder of 2012.</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expense totaled $(519,587) for the six months ended June 30, 2012. The other income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 refund of New York State Franchise tax of approximately $272,000 and the change in the fair value of our notes payable, partially offset by interest expense on our short-term note payable.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primary source of cash has been proceeds from the private placement of equity securities.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June 30, 2012, we had $20,367,079 in cash and cash equivalents. We currently anticipate that our cash and cash equivalents as of June 30, 2012 are sufficient to fund our anticipated operating cash requirements for approximately 20-24 months from June 30, 2012.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Cash used in operating activities for the six months ended June 30, 2012 was $1,361,419, which primarily related to general and administrative and research and development expenses associated with TG commencing operations and development of TGTX-1101.</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six months ended June 30, 2012, net cash provided by financing activities of $11,981,406 related primarily to net proceeds from the issuance of Company Preferred Stock, partially offset by the repayment of a short-term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PIPE</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were convertible into 8.89 shares of Common Stock provided that such conversion rights were subject to sufficient available authorized shares of Common Stock. In connection with the reverse stock split effected by the Company on April 30, 2012, all shares of Company Preferred Stock issued in the 2011 Equity PIPE were converted to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We have granted stock options and restricted stock to employees, directors and consultants, as well as warrants to other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4" w:name="page25"/>
    <w:bookmarkEnd w:id="24"/>
    <w:p>
      <w:pPr>
        <w:ind w:right="140"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June 30, 2012, there was approximately $630,000 of goodwill on our consolidated balance sheets.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elected the fair value option for valuing our Convertible 5% Notes Payable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$16,883,000 at December 31, 2011, and $17,302,000 at June 30, 2012. As these notes payable are tied directly to net product cash flows derived from the preexisting products of the Company, this note and accrued interest was recorded at fair value as of the date of the Exchange Transaction. No payments have been made on these notes as of June 30, 2012. The fair value of the 5% Notes Payable was approximately $4,664,697 as of December 31, 2011 and $4,395,100 at June 30, 2012.</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valuation methods used to estimate the 5% Notes’ fair value was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2011 and June 30, 2012.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June 30, 2012, our portfolio of financial instruments consists of cash equivalents, including bank deposits. Due to the short-term nature of our investments, we believe there is no material exposure to interest rate risk, and/or credit risk, arising from our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June 30, 2012,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2012, our disclosure controls and procedures were not effective. This conclusion was reached because a lack of segregation of duties exists, as all financial and accounting duties are performed by the Chief Financial Officer. The Company intends to address this deficiency by hiring additional accounting personnel to alleviate the segregation of duties issue.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2012,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Company’s Business and Industry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the Company has in-licensed its product candidates from third parties, any dispute with or non-performance by its licensors will adversely affect its ability to develop and commercialize the applicable product candidates.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26" w:name="page27"/>
    <w:bookmarkEnd w:id="26"/>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order to submit an Investigational New Drug application (“IND”) and Biologics License Application (“BLA”) to the FDA, it is necessary to submit all information on the clinical, non-clinical, chemistry, manufacturing, controls and quality aspects of the product candidate. We rely on our licensing partners and, in some cases, third parties, to provide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we maintain an active IND for ublituximab enabling the conduct of studies in the FDA’s Division of Hematology and Oncology; there can be no assurance given that we will be successful in obtaining an active IND for ublituximab in any other division under whose supervision we may seek to develop ublituximab.</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attrition from the failure of pharmaceutical candidates proceeding through clinical trials.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plan on conducting additional Phase I and II clinical trials for ublituximab. If the results from these trials are different from those found in the completed Phase I clinical trial of ublituximab, we may need to terminate or revise our clinical development plan, which could extend the time for conducting our development program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7" w:name="page28"/>
    <w:bookmarkEnd w:id="27"/>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w:t>
      </w:r>
    </w:p>
    <w:p>
      <w:pPr>
        <w:spacing w:after="0" w:line="18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EMA and any of the applicable European and other regulatory bodies can delay, limit or deny approval of a product candidate for many reasons, including:</w:t>
      </w:r>
    </w:p>
    <w:p>
      <w:pPr>
        <w:spacing w:after="0" w:line="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ind w:left="980" w:right="10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Unacceptable adverse events caused by any of our product candidates that we take into clinical trials could cause either us or regulatory authorities to interrupt, delay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right="80" w:firstLine="648"/>
        <w:spacing w:after="0" w:line="288"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its product candidates. To date, clinical trials using ublituximab and our other product candidates have demonstrated a toxicity profile that was deemed acceptable by the investigators performing such studies. Such interpretation may not be shared by future investigators or by the FDA and in the case of ublituximab, even if deemed acceptable for oncology applications, like the completed clinical trial, it may not be acceptable for diseases outside the oncology setting, and likewise for any other product candidates we may develop. Additionally, the severity, duration and incidence of adverse events may increase in larger study populations. With respect to ublituximab, the toxicity when manufactured under different conditions is not known, nor is the toxicity of transgenically derived ublituximab, and it is possible that additional and/or different adverse events may appear upon the human use of those formulations and those adverse events may arise with greater frequency, intensity and duration than in the current formulation. If any of our product candidates cause unacceptable adverse events in clinical trials, we may not be able to obtain marketing approval and generate revenues from its sale.</w:t>
      </w:r>
    </w:p>
    <w:p>
      <w:pPr>
        <w:spacing w:after="0" w:line="169"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6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its ability to pursue regulatory approval.</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its product candidates.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While we currently maintain an active IND for cell derived ublituximab, we plan to rely on preclinical and clinical trial data from third parties for the IND submissions for transgenically derived ublituximab and any other product candidates we may develop.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animal studies to assess the potential safety and activity of the pharmaceutical product candidate. The conduct of the preclinical tests must comply with federal regulations and requirements including good laboratory practices (GLP).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jc w:val="both"/>
        <w:ind w:right="20"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the Company and the FDA must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 and</w:t>
      </w:r>
    </w:p>
    <w:p>
      <w:pPr>
        <w:spacing w:after="0" w:line="9" w:lineRule="exact"/>
        <w:rPr>
          <w:rFonts w:ascii="Arial" w:cs="Arial" w:eastAsia="Arial" w:hAnsi="Arial"/>
          <w:sz w:val="18"/>
          <w:szCs w:val="18"/>
          <w:color w:val="auto"/>
        </w:rPr>
      </w:pPr>
    </w:p>
    <w:p>
      <w:pPr>
        <w:ind w:left="980" w:right="12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w:t>
      </w:r>
    </w:p>
    <w:p>
      <w:pPr>
        <w:spacing w:after="0" w:line="184"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Delays in the completion of clinical testing could result in increased costs to the Company and delay our ability to generate product revenues.</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Institutional Review Board (“IRB”), an ethics committee or a Data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0" w:name="page31"/>
    <w:bookmarkEnd w:id="30"/>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As the product candidates for which we hold an exclusive license agreement, are still under development; manufacturing and process improvements implemented in the production of ublituximab, or any of our product candidates, may affect their ultimate activity or function.</w:t>
      </w:r>
    </w:p>
    <w:p>
      <w:pPr>
        <w:spacing w:after="0" w:line="12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TGTX-1101 (ublituximab) is in the initial stages of development and is currently manufactured in small batches for use in pre-clinical and clinical studies. Process improvements implemented to date have, and process improvements in the future may change the activity of the antibody, which may affect the safety and efficacy of the product. No assurance can be given that the material manufactured from any of the optimized processes will perform comparably to ublituximab as manufactured to date and used in currently available pre-clinical data and in early clinical trials reported in this or any previous filing. Additionally, future clinical trial results will be subject to the same level of uncertainty if, following such trials, additional process improvements are made, including without limitation, the introduction of transgenically derived ublituximab.</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right="420" w:firstLine="45"/>
        <w:spacing w:after="0" w:line="264"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that are approved more quickly, marketed more effectively or demonstrated to be more effective than our product candidates, our commercial opportunity will be reduced or eliminated.</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cancer indications for which we are developing our product, TGTX-1101,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50" w:lineRule="exact"/>
        <w:rPr>
          <w:sz w:val="20"/>
          <w:szCs w:val="20"/>
          <w:color w:val="auto"/>
        </w:rPr>
      </w:pPr>
    </w:p>
    <w:p>
      <w:pPr>
        <w:ind w:right="360" w:firstLine="648"/>
        <w:spacing w:after="0" w:line="210" w:lineRule="auto"/>
        <w:rPr>
          <w:sz w:val="20"/>
          <w:szCs w:val="20"/>
          <w:color w:val="auto"/>
        </w:rPr>
      </w:pPr>
      <w:r>
        <w:rPr>
          <w:rFonts w:ascii="Arial" w:cs="Arial" w:eastAsia="Arial" w:hAnsi="Arial"/>
          <w:sz w:val="16"/>
          <w:szCs w:val="16"/>
          <w:color w:val="auto"/>
        </w:rPr>
        <w:t>If approved, we expect TGTX-1101 to compete directly with Roche Group’s Rituxan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(Rituximab), Spectrum Pharmaceutical’s Zevalin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(Y</w:t>
      </w:r>
      <w:r>
        <w:rPr>
          <w:rFonts w:ascii="Arial" w:cs="Arial" w:eastAsia="Arial" w:hAnsi="Arial"/>
          <w:sz w:val="26"/>
          <w:szCs w:val="26"/>
          <w:color w:val="auto"/>
          <w:vertAlign w:val="superscript"/>
        </w:rPr>
        <w:t>90</w:t>
      </w:r>
      <w:r>
        <w:rPr>
          <w:rFonts w:ascii="Arial" w:cs="Arial" w:eastAsia="Arial" w:hAnsi="Arial"/>
          <w:sz w:val="16"/>
          <w:szCs w:val="16"/>
          <w:color w:val="auto"/>
        </w:rPr>
        <w:t>-Ibritumomab Tiuxetan), GlaxoSmithKline’s Bexxar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w:t>
      </w:r>
      <w:r>
        <w:rPr>
          <w:rFonts w:ascii="Arial" w:cs="Arial" w:eastAsia="Arial" w:hAnsi="Arial"/>
          <w:sz w:val="26"/>
          <w:szCs w:val="26"/>
          <w:color w:val="auto"/>
          <w:vertAlign w:val="superscript"/>
        </w:rPr>
        <w:t>131</w:t>
      </w:r>
      <w:r>
        <w:rPr>
          <w:rFonts w:ascii="Arial" w:cs="Arial" w:eastAsia="Arial" w:hAnsi="Arial"/>
          <w:sz w:val="16"/>
          <w:szCs w:val="16"/>
          <w:color w:val="auto"/>
        </w:rPr>
        <w:t>-Tositumomab), Dr. Reddy’s Laboratories’ Reditux</w:t>
      </w:r>
      <w:r>
        <w:rPr>
          <w:rFonts w:ascii="Arial" w:cs="Arial" w:eastAsia="Arial" w:hAnsi="Arial"/>
          <w:sz w:val="26"/>
          <w:szCs w:val="26"/>
          <w:color w:val="auto"/>
          <w:vertAlign w:val="superscript"/>
        </w:rPr>
        <w:t>®</w:t>
      </w:r>
      <w:r>
        <w:rPr>
          <w:rFonts w:ascii="Arial" w:cs="Arial" w:eastAsia="Arial" w:hAnsi="Arial"/>
          <w:sz w:val="16"/>
          <w:szCs w:val="16"/>
          <w:color w:val="auto"/>
        </w:rPr>
        <w:t>, and Genmab and GlaxoSmithKline’s</w:t>
      </w:r>
    </w:p>
    <w:p>
      <w:pPr>
        <w:spacing w:after="0" w:line="2"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Arzerra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(Ofatumomab) among others, each of which is currently approved for the treatment of various diseases including NHL and CLL. New developments, including the development of other pharmaceutical technologies and methods of treating disease, occur in the pharmaceutical and life sciences industries at a rapid pace.</w:t>
      </w:r>
    </w:p>
    <w:p>
      <w:pPr>
        <w:spacing w:after="0" w:line="203" w:lineRule="exact"/>
        <w:rPr>
          <w:sz w:val="20"/>
          <w:szCs w:val="20"/>
          <w:color w:val="auto"/>
        </w:rPr>
      </w:pPr>
    </w:p>
    <w:p>
      <w:pPr>
        <w:ind w:right="54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specifications and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Our partner, LFB, is currently exploring long-term, scalable contract manufacturers for ublituximab and/or the build-out of such capabilities. No assurance can be given that a long-term, scalable manufacturer can be identified or that they can make clinical and commercial supplies of ublituximab at an appropriate scale and cost to make it commercially feasible. If they are unable to do so, it could have a material adverse impact on our business. If that is the case, we may need to rely exclusively on transgenically manufactured material, which may introduce additional risk and uncertainty the extent of which cannot be fully determined today.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2" w:name="page33"/>
    <w:bookmarkEnd w:id="32"/>
    <w:p>
      <w:pPr>
        <w:ind w:right="80" w:firstLine="648"/>
        <w:spacing w:after="0" w:line="255" w:lineRule="auto"/>
        <w:rPr>
          <w:sz w:val="20"/>
          <w:szCs w:val="20"/>
          <w:color w:val="auto"/>
        </w:rPr>
      </w:pPr>
      <w:r>
        <w:rPr>
          <w:rFonts w:ascii="Arial" w:cs="Arial" w:eastAsia="Arial" w:hAnsi="Arial"/>
          <w:sz w:val="18"/>
          <w:szCs w:val="18"/>
          <w:color w:val="auto"/>
        </w:rPr>
        <w:t>In addition, the Company does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Additionally, the proprietary transgenic technology that supports the manufacture of transgenically derived ublituximab is not easily transferrable, if at all, and it is expected that GTC will be the sole supplier of transgenically derived ublituximab at a single site for the foreseeable future. If the Company’s suppliers do not deliver sufficient quantities of ublituximab on a timely basis, or at all, and in accordance with applicable specifications, there could be a significant interruption of our supply of ublituximab, which would adversely affect clinical development and commercialization of the product. In addition, if the Company’s current or future supply of ublituximab should fail to meet specifications during its stability program there could be a significant interruption of our supply of drug, which would adversely affect the Company’s clinical development and commercialization of the product.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Clinical trials of our transgenically produced products may be unsuccessful or delayed, which may prevent us from meeting our anticipated development timeline.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Company and its collaborators must demonstrate through preclinical and clinical trials that our transgenically produced products are safe and effective for use in humans. Clinical trials are expensive and may take several years. Several factors could prevent or delay completion of these trials, including an inability to enroll the required number of patients or demonstrate adequately the safety or efficacy of the product for humans. If safety concerns develop, regulatory authorities could stop or delay trials of transgenically derived ublituximab or any other product candidate evaluated by the Company. Furthermore, the results from early clinical trials are often not predictive of results in later clinical trials.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our knowledge, Pharming Group N.V. and GTC Biotherapeutics, Inc. are the only other entities to have completed human clinical trials sufficient to support the filing for regulatory approval of a product produced from a transgenic mammal. If we are unable to complete all clinical trials and to satisfy any requirements that may be required by the FDA or the EMA for approval of transgenically derived ublituximab, it could have a material adverse effect on our business and operations.</w:t>
      </w:r>
    </w:p>
    <w:p>
      <w:pPr>
        <w:spacing w:after="0" w:line="18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Any transgenically produced products for which we obtain regulatory approval will be subject to continuing review and extensive regulatory requirements, which could affect their manufacture and marketing.</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If and when the FDA or other foreign agencies approve our transgenically produced products under development, the manufacture and marketing of these products will be subject to continuing regulation and product approvals may be withdrawn if problems occur after initial approval. Post-approval regulation includes compliance with current Quality Systems Regulations and Good Manufacturing Practices, (“QSR/GMP”), adverse event reporting requirements and prohibitions on promoting a product for unapproved uses. In addition, the FDA could require us to conduct post-approval clinical trials or studies. We will also be required to obtain additional approvals for any significant alterations in the product’s labeling or manufacturing process. Enforcement actions resulting from failure to comply with QSR/GMP requirements could result in fines, suspensions of approvals, recalls of products, operating restrictions and criminal prosecutions, and affect the manufacture and marketing of our transgenically produced products. The FDA or other regulatory agencies could withdraw a previously approved product from the market upon receipt of newly discovered information, including a failure to comply with regulatory requirements and the occurrence of unanticipated problems with products, including adverse events, manufacturing and quality problems, following approval. Any of these withdrawals could adversely affect our operating results.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The Company may face public concerns about genetic engineering in animals.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activities of the Company’s development and manufacturing affiliate involve genetic engineering in animals. The success of our potential commercial products will depend in part on public acceptance of the use of genetic engineering. Public attitudes may be influenced by claims and perceptions that these types of activities are unsafe and our products may not gain the acceptance of the public or the medical community. Negative public reaction to genetic engineering activities in general could result in greater restrictive legislation and regulations involving nuclear transfer and other methodologies which could impede our ability to conduct our business efficiently, delay preclinical studies or future clinical trials, or prevent us or our partners from obtaining regulatory approvals or commercializing transgenically produced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transgenically produced products may be subject to technology risks that may restrict or prevent their development and commercialization.</w:t>
      </w:r>
    </w:p>
    <w:p>
      <w:pPr>
        <w:spacing w:after="0" w:line="24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Developing products based on transgenic technology is subject to significant development risks. Each DNA construct is unique and it is possible that it might not be expressed in the transgenic animal’s milk at a level that is commercially viable. Purifying the recombinant protein out of the milk to use as a biotherapeutic may be too difficult to be commercially feasible. In addition, production of the recombinant protein may have negative effects on the health of either the mammary gland or more systematically on the animal as a whole. This would compromise the ability of the animal to produce the recombinant protein. Directing the mammary gland to produce additional proteins in the milk could negatively affect lactation, thereby shutting down milk production. The mammary gland may also modify a protein in such a manner that it is non-functional or harmful in humans. It is also possible that there may be disease agents present in the animals that would prevent the use of products derived from these animals. If an as yet unknown disease was identified that could not be effectively mitigated, government agencies may confiscate or destroy the animals, or prevent the utilization of their milk. Any of these governmental actions would prevent the use of the recombinant proteins and may result in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recover from any catastrophic event affecting our suppliers’ animals or facilities.</w:t>
      </w:r>
    </w:p>
    <w:p>
      <w:pPr>
        <w:spacing w:after="0" w:line="22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While our suppliers have measures in place to minimize and recover from catastrophic events that may substantially destroy their animal herd(s), these measures may not be adequate to recover production processes quickly enough to support critical timelines, collaborator needs, or market demands. These catastrophic events may include, but are not limited to, animal diseases that breach biosecurity measures or weather events such as tornadoes, earthquakes or fires. In addition, these catastrophic events may render some or all of the products at the affected facilities unusable.</w:t>
      </w:r>
    </w:p>
    <w:p>
      <w:pPr>
        <w:spacing w:after="0" w:line="15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the Company or its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right="520"/>
        <w:spacing w:after="0" w:line="308" w:lineRule="auto"/>
        <w:rPr>
          <w:sz w:val="20"/>
          <w:szCs w:val="20"/>
          <w:color w:val="auto"/>
        </w:rPr>
      </w:pPr>
      <w:r>
        <w:rPr>
          <w:rFonts w:ascii="Arial" w:cs="Arial" w:eastAsia="Arial" w:hAnsi="Arial"/>
          <w:sz w:val="17"/>
          <w:szCs w:val="17"/>
          <w:b w:val="1"/>
          <w:bCs w:val="1"/>
          <w:i w:val="1"/>
          <w:iCs w:val="1"/>
          <w:color w:val="auto"/>
        </w:rPr>
        <w:t>If any product candidate that the Company successfully develops does not achieve broad market acceptance among physicians, patients, healthcare payors, and the medical community, the revenues that we generate from its sales will be limited.</w:t>
      </w:r>
    </w:p>
    <w:p>
      <w:pPr>
        <w:spacing w:after="0" w:line="14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the Company,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the Company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the Company could cause its stock price to decline and, if judgments exceed our insurance coverage, could decrease our cash and adversely affect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ind w:right="38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The Company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taxes that the Company is required to pay;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addition, governments may impose price controls, which may adversely affect our future profitability.</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36" w:name="page37"/>
    <w:bookmarkEnd w:id="36"/>
    <w:p>
      <w:pPr>
        <w:ind w:right="280"/>
        <w:spacing w:after="0" w:line="277" w:lineRule="auto"/>
        <w:rPr>
          <w:sz w:val="20"/>
          <w:szCs w:val="20"/>
          <w:color w:val="auto"/>
        </w:rPr>
      </w:pPr>
      <w:r>
        <w:rPr>
          <w:rFonts w:ascii="Arial" w:cs="Arial" w:eastAsia="Arial" w:hAnsi="Arial"/>
          <w:sz w:val="18"/>
          <w:szCs w:val="18"/>
          <w:b w:val="1"/>
          <w:bCs w:val="1"/>
          <w:i w:val="1"/>
          <w:iCs w:val="1"/>
          <w:color w:val="auto"/>
        </w:rPr>
        <w:t>The Company will need to increase the size of its organization and the scope of our outside vendor relationships, and we may experience difficulties in managing this growth.</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of June 30, 2012, the Company has 5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utilize the services of outside vendors or consultants to perform tasks including clinical trial management, statistics and analysis, regulatory affairs, formulation development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the Company is not able to effectively expand its organization by hiring new employees and expanding its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Company fails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the Company continues to expand its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the Company is not able to attract and retain the necessary personnel to accomplish its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Company fails to comply with healthcare regulations, it could face substantial penalties and its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b w:val="1"/>
          <w:bCs w:val="1"/>
          <w:i w:val="1"/>
          <w:iCs w:val="1"/>
          <w:color w:val="auto"/>
        </w:rPr>
        <w:t>The Company uses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filing are based on the assumption of further financing.</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timelines and projections in this filing are predicated upon the assumption that we will raise additional financing in the future to continue the development of our product candidates. In the event the Company does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We may seek to expand our business through the acquisition of, investments in and strategic alliances with companies, technologies, products, and services, such as the Exchange Transaction between the Company and TG Bio. Acquisitions, investments and strategic alliances involve a number of special problems and risks, including, but not limited to:</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12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8" w:name="page39"/>
    <w:bookmarkEnd w:id="38"/>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4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Intellectual Property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Company’s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LFB Biotechnologies or any of our other licensors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Currently, the composition of matter patent and several method of use patents for ublituximab in various indications and settings have been applied for but have not yet been issued. The patent application process is subject to numerous risks and uncertainties, and there can be no assurance that we or our partners will be successful in protecting our product candidates by obtaining and defending patents.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16, 2013, the U.S. will convert from a “first to invent” to a “first to file” system. After this time if we do not win the filing race, we will not be entitled to inventive priority;</w:t>
      </w:r>
    </w:p>
    <w:p>
      <w:pPr>
        <w:ind w:left="980" w:right="6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6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2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9" w:name="page40"/>
    <w:bookmarkEnd w:id="39"/>
    <w:p>
      <w:pPr>
        <w:ind w:left="660"/>
        <w:spacing w:after="0"/>
        <w:rPr>
          <w:sz w:val="20"/>
          <w:szCs w:val="20"/>
          <w:color w:val="auto"/>
        </w:rPr>
      </w:pPr>
      <w:r>
        <w:rPr>
          <w:rFonts w:ascii="Arial" w:cs="Arial" w:eastAsia="Arial" w:hAnsi="Arial"/>
          <w:sz w:val="17"/>
          <w:szCs w:val="17"/>
          <w:color w:val="auto"/>
        </w:rPr>
        <w:t>If patents are not issued that protect ublituximab, it could have a material adverse effect on our financial condition and results of operations.</w:t>
      </w:r>
    </w:p>
    <w:p>
      <w:pPr>
        <w:spacing w:after="0" w:line="23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If the Company or its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ublituximab.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ublituximab, then we will need to either prevail in a litigation to challenge those patents or negotiate a settlement agreement with the patent holders. If we are unable to do so we may be forced to delay the launch of ublituximab or launch at the risk of litigation for patent infringement, which may have a material adverse effect on the Company.</w:t>
      </w:r>
    </w:p>
    <w:p>
      <w:pPr>
        <w:spacing w:after="0" w:line="19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4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its management and other employees. We may not be able to prevent, alone or with our licensors, misappropriation of our trade secrets or confidential information, particularly in countries where the laws may not protect those rights as fully as in the United States. Moreover, as of March 16, 2013, the U.S. will convert from a “first to invent” to a “first to file” system. After that time, should there be any innovations that we invented first, but on which we filed the patent application second, we will have limited options available to reclaim invention priority.</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Company may be subject to claims that its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the Company has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will need to raise additional capital to continue to operate its business.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of June 30, 2012, we had net cash on hand of approximately $20,367,000. We believe that our cash on hand will sustain our operations for the next 20-24 months.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the Company’s equity securities, which would have a dilutive effect on your holdings of our capital stock.</w:t>
      </w:r>
    </w:p>
    <w:p>
      <w:pPr>
        <w:spacing w:after="0" w:line="17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ind w:right="50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it will become profitable, if ever.</w:t>
      </w:r>
    </w:p>
    <w:p>
      <w:pPr>
        <w:spacing w:after="0" w:line="17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 was incorporated in December 1993. 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The Company’s prospects must be considered in light of the uncertainties, risks, expenses and difficulties frequently encountered by companies in their early stages of operations and the competitive environment in which we operate.</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has never been profitable, and, as of June 30, 2012, we had an accumulated deficit of approximately $13,003,817. We have generated operating losses in all periods since the Company was incorporated. We expect to make substantial expenditures resulting in increasing operating costs in the future and our accumulated deficit may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completion of preclinical studies of its product candidates;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its product candidates and any future product candidates we advance into clinical trials;</w:t>
      </w:r>
    </w:p>
    <w:p>
      <w:pPr>
        <w:ind w:left="980" w:right="42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the Company is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Until the Company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Our directors, executive officers and principal stockholders beneficially own approximately 34%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global economic crisis, which affected stock prices of many companies, and particularly many small pharmaceutical companies like ours;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3" w:name="page44"/>
    <w:bookmarkEnd w:id="43"/>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is not listed on a national exchange and there is a limited market for the Common Stock which may make it more difficult for you to sell your stock.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quoted on the OTC Bulletin Board under the symbol "TGTX." There is a limited trading market for our Common Stock which negatively impacts the liquidity of our Common Stock not only in terms of the number of shares that can be bought and sold at a given price, but also through delays in the timing of transactions and reduction in security analysts’ and the media’s coverage of us. Accordingly, there can be no assurance as to the liquidity of any markets that may develop for the Common Stock, the ability of holders of our Common Stock to sell the Common Stock, or the prices at which holders may be able to sell the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fact that our common stock is not listed on a national exchange may negatively impact our ability to attract investors and to use our common stock to raise capital to fund our operations.</w:t>
      </w:r>
    </w:p>
    <w:p>
      <w:pPr>
        <w:spacing w:after="0" w:line="170"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In order to maintain liquidity in our common stock, we depend upon the continuing availability of a market on which our securities may be traded. We need to raise substantial additional funds in the future to continue our operations and the fact that our common stock is not listed on a national exchange may impact our ability to attract investors and to use our common stock to raise sufficient capital to continue to fund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file periodic reports with the SEC our common stock may be removed from the OTCBB.</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Pursuant to the Over-The-Counter Bulletin Board ("OTCBB") rules relating to the timely filing of periodic reports with the SEC, any OTCBB issuer which fails to file a periodic report (Form 10-Qs or 10-Ks) by the due date of such report (as extended by the filing of a Form 12b-25), three (3) times during any twenty-four (24) month period is automatically de-listed from the OTCBB. In the event an issuer is de-listed, such issuer would not be eligible to be re-listed on the OTCBB for a period of one-year, during which time any subsequent late filing would reset the one-year period of de-listing. If the Company is late in its filings three (3) times in any twenty-four (24) month period and is de-listed from the OTCBB, the Common Stock would likely be listed for trading only on the “Pink Sheets,” which generally provide an even less liquid market than the OTCBB. In such event, investors may find it more difficult to trade the Common Stock or to obtain accurate, current information concerning market prices for the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of market fraud.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OTCBB securities are frequent targets of fraud or market manipulation. Not only because of their generally low price, but also because the OTCBB reporting requirements for these securities are less stringent than for listed or NASDAQ traded securities, and no exchange requirements are imposed. Dealers may dominate the market and set prices that are not based on competitive forces. Individuals or groups may create fraudulent markets and control the sudden, sharp increase of price and trading volume and the equally sudden collapse of market prices.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Penny stock regulations may impose certain restrictions on marketability of our securities.</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Securities and Exchange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9"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rFonts w:ascii="Arial" w:cs="Arial" w:eastAsia="Arial" w:hAnsi="Arial"/>
          <w:sz w:val="18"/>
          <w:szCs w:val="18"/>
          <w:color w:val="auto"/>
        </w:rPr>
      </w:pPr>
    </w:p>
    <w:p>
      <w:pPr>
        <w:ind w:left="980" w:right="220" w:hanging="324"/>
        <w:spacing w:after="0" w:line="261"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4"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must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ind w:left="820"/>
              <w:spacing w:after="0"/>
              <w:rPr>
                <w:sz w:val="20"/>
                <w:szCs w:val="20"/>
                <w:color w:val="auto"/>
              </w:rPr>
            </w:pPr>
            <w:r>
              <w:rPr>
                <w:rFonts w:ascii="Arial" w:cs="Arial" w:eastAsia="Arial" w:hAnsi="Arial"/>
                <w:sz w:val="18"/>
                <w:szCs w:val="18"/>
                <w:color w:val="auto"/>
              </w:rPr>
              <w:t>3.1</w:t>
            </w:r>
          </w:p>
        </w:tc>
        <w:tc>
          <w:tcPr>
            <w:tcW w:w="10020" w:type="dxa"/>
            <w:vAlign w:val="bottom"/>
          </w:tcPr>
          <w:p>
            <w:pPr>
              <w:ind w:left="280"/>
              <w:spacing w:after="0"/>
              <w:rPr>
                <w:sz w:val="20"/>
                <w:szCs w:val="20"/>
                <w:color w:val="auto"/>
              </w:rPr>
            </w:pPr>
            <w:r>
              <w:rPr>
                <w:rFonts w:ascii="Arial" w:cs="Arial" w:eastAsia="Arial" w:hAnsi="Arial"/>
                <w:sz w:val="18"/>
                <w:szCs w:val="18"/>
                <w:color w:val="auto"/>
              </w:rPr>
              <w:t>Amended and Restated Certificate of Incorporation of TG Therapeutics, Inc. dated April 26, 2012.</w:t>
            </w:r>
          </w:p>
        </w:tc>
      </w:tr>
      <w:tr>
        <w:trPr>
          <w:trHeight w:val="418"/>
        </w:trPr>
        <w:tc>
          <w:tcPr>
            <w:tcW w:w="1400" w:type="dxa"/>
            <w:vAlign w:val="bottom"/>
          </w:tcPr>
          <w:p>
            <w:pPr>
              <w:ind w:left="820"/>
              <w:spacing w:after="0"/>
              <w:rPr>
                <w:sz w:val="20"/>
                <w:szCs w:val="20"/>
                <w:color w:val="auto"/>
              </w:rPr>
            </w:pPr>
            <w:r>
              <w:rPr>
                <w:rFonts w:ascii="Arial" w:cs="Arial" w:eastAsia="Arial" w:hAnsi="Arial"/>
                <w:sz w:val="18"/>
                <w:szCs w:val="18"/>
                <w:color w:val="auto"/>
              </w:rPr>
              <w:t>3.2</w:t>
            </w:r>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Restated Bylaws of TG Therapeutics, Inc. dated May 14, 2012 (incorporated by reference to the Registrant’s Form 10-Q for the quarter</w:t>
            </w:r>
          </w:p>
        </w:tc>
      </w:tr>
      <w:tr>
        <w:trPr>
          <w:trHeight w:val="230"/>
        </w:trPr>
        <w:tc>
          <w:tcPr>
            <w:tcW w:w="140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ended March 31, 2012 filed May 14, 2012).</w:t>
            </w:r>
          </w:p>
        </w:tc>
      </w:tr>
      <w:tr>
        <w:trPr>
          <w:trHeight w:val="418"/>
        </w:trPr>
        <w:tc>
          <w:tcPr>
            <w:tcW w:w="1400" w:type="dxa"/>
            <w:vAlign w:val="bottom"/>
          </w:tcPr>
          <w:p>
            <w:pPr>
              <w:ind w:left="820"/>
              <w:spacing w:after="0"/>
              <w:rPr>
                <w:sz w:val="20"/>
                <w:szCs w:val="20"/>
                <w:color w:val="auto"/>
              </w:rPr>
            </w:pPr>
            <w:r>
              <w:rPr>
                <w:rFonts w:ascii="Arial" w:cs="Arial" w:eastAsia="Arial" w:hAnsi="Arial"/>
                <w:sz w:val="18"/>
                <w:szCs w:val="18"/>
                <w:color w:val="auto"/>
              </w:rPr>
              <w:t>31.1</w:t>
            </w:r>
          </w:p>
        </w:tc>
        <w:tc>
          <w:tcPr>
            <w:tcW w:w="10020" w:type="dxa"/>
            <w:vAlign w:val="bottom"/>
          </w:tcPr>
          <w:p>
            <w:pPr>
              <w:ind w:left="28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 Sarbanes-</w:t>
            </w:r>
          </w:p>
        </w:tc>
      </w:tr>
      <w:tr>
        <w:trPr>
          <w:trHeight w:val="230"/>
        </w:trPr>
        <w:tc>
          <w:tcPr>
            <w:tcW w:w="140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Oxley Act of 2002, dated August 9, 2012.</w:t>
            </w:r>
          </w:p>
        </w:tc>
      </w:tr>
      <w:tr>
        <w:trPr>
          <w:trHeight w:val="418"/>
        </w:trPr>
        <w:tc>
          <w:tcPr>
            <w:tcW w:w="1400" w:type="dxa"/>
            <w:vAlign w:val="bottom"/>
          </w:tcPr>
          <w:p>
            <w:pPr>
              <w:ind w:left="820"/>
              <w:spacing w:after="0"/>
              <w:rPr>
                <w:sz w:val="20"/>
                <w:szCs w:val="20"/>
                <w:color w:val="auto"/>
              </w:rPr>
            </w:pPr>
            <w:r>
              <w:rPr>
                <w:rFonts w:ascii="Arial" w:cs="Arial" w:eastAsia="Arial" w:hAnsi="Arial"/>
                <w:sz w:val="18"/>
                <w:szCs w:val="18"/>
                <w:color w:val="auto"/>
              </w:rPr>
              <w:t>31.2</w:t>
            </w: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Certification of Chief Financial Officer pursuant to Rule 13a-14(a)/15d-14(a), as adopted pursuant to Section 302 of the Sarbanes-</w:t>
            </w:r>
          </w:p>
        </w:tc>
      </w:tr>
      <w:tr>
        <w:trPr>
          <w:trHeight w:val="230"/>
        </w:trPr>
        <w:tc>
          <w:tcPr>
            <w:tcW w:w="140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Oxley Act of 2002, dated August 9, 2012.</w:t>
            </w:r>
          </w:p>
        </w:tc>
      </w:tr>
      <w:tr>
        <w:trPr>
          <w:trHeight w:val="418"/>
        </w:trPr>
        <w:tc>
          <w:tcPr>
            <w:tcW w:w="1400" w:type="dxa"/>
            <w:vAlign w:val="bottom"/>
          </w:tcPr>
          <w:p>
            <w:pPr>
              <w:ind w:left="820"/>
              <w:spacing w:after="0"/>
              <w:rPr>
                <w:sz w:val="20"/>
                <w:szCs w:val="20"/>
                <w:color w:val="auto"/>
              </w:rPr>
            </w:pPr>
            <w:r>
              <w:rPr>
                <w:rFonts w:ascii="Arial" w:cs="Arial" w:eastAsia="Arial" w:hAnsi="Arial"/>
                <w:sz w:val="18"/>
                <w:szCs w:val="18"/>
                <w:color w:val="auto"/>
              </w:rPr>
              <w:t>32.1</w:t>
            </w: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Certification of Chief Executive Officer pursuant to 18 U.S.C. §1350, as adopted pursuant to Section 906 of the Sarbanes-Oxley Act of</w:t>
            </w:r>
          </w:p>
        </w:tc>
      </w:tr>
      <w:tr>
        <w:trPr>
          <w:trHeight w:val="230"/>
        </w:trPr>
        <w:tc>
          <w:tcPr>
            <w:tcW w:w="140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2002, dated August 9, 2012.</w:t>
            </w:r>
          </w:p>
        </w:tc>
      </w:tr>
      <w:tr>
        <w:trPr>
          <w:trHeight w:val="418"/>
        </w:trPr>
        <w:tc>
          <w:tcPr>
            <w:tcW w:w="1400" w:type="dxa"/>
            <w:vAlign w:val="bottom"/>
          </w:tcPr>
          <w:p>
            <w:pPr>
              <w:ind w:left="820"/>
              <w:spacing w:after="0"/>
              <w:rPr>
                <w:sz w:val="20"/>
                <w:szCs w:val="20"/>
                <w:color w:val="auto"/>
              </w:rPr>
            </w:pPr>
            <w:r>
              <w:rPr>
                <w:rFonts w:ascii="Arial" w:cs="Arial" w:eastAsia="Arial" w:hAnsi="Arial"/>
                <w:sz w:val="18"/>
                <w:szCs w:val="18"/>
                <w:color w:val="auto"/>
              </w:rPr>
              <w:t>32.2</w:t>
            </w: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 of</w:t>
            </w:r>
          </w:p>
        </w:tc>
      </w:tr>
      <w:tr>
        <w:trPr>
          <w:trHeight w:val="230"/>
        </w:trPr>
        <w:tc>
          <w:tcPr>
            <w:tcW w:w="140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2002, dated August 9, 2012.</w:t>
            </w:r>
          </w:p>
        </w:tc>
      </w:tr>
      <w:tr>
        <w:trPr>
          <w:trHeight w:val="648"/>
        </w:trPr>
        <w:tc>
          <w:tcPr>
            <w:tcW w:w="14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22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88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8020" w:type="dxa"/>
            <w:vAlign w:val="bottom"/>
            <w:gridSpan w:val="2"/>
          </w:tcPr>
          <w:p>
            <w:pPr>
              <w:ind w:left="1860"/>
              <w:spacing w:after="0"/>
              <w:rPr>
                <w:sz w:val="20"/>
                <w:szCs w:val="20"/>
                <w:color w:val="auto"/>
              </w:rPr>
            </w:pPr>
            <w:r>
              <w:rPr>
                <w:rFonts w:ascii="Arial" w:cs="Arial" w:eastAsia="Arial" w:hAnsi="Arial"/>
                <w:sz w:val="18"/>
                <w:szCs w:val="18"/>
                <w:color w:val="auto"/>
              </w:rPr>
              <w:t>TG THERAPEUTICS,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August 9, 2012</w:t>
            </w:r>
          </w:p>
        </w:tc>
        <w:tc>
          <w:tcPr>
            <w:tcW w:w="8020" w:type="dxa"/>
            <w:vAlign w:val="bottom"/>
            <w:gridSpan w:val="2"/>
          </w:tcPr>
          <w:p>
            <w:pPr>
              <w:ind w:left="1860"/>
              <w:spacing w:after="0"/>
              <w:rPr>
                <w:sz w:val="20"/>
                <w:szCs w:val="20"/>
                <w:color w:val="auto"/>
              </w:rPr>
            </w:pPr>
            <w:r>
              <w:rPr>
                <w:rFonts w:ascii="Arial" w:cs="Arial" w:eastAsia="Arial" w:hAnsi="Arial"/>
                <w:sz w:val="18"/>
                <w:szCs w:val="18"/>
                <w:color w:val="auto"/>
              </w:rPr>
              <w:t>By:  /s/ Sean A. Power</w:t>
            </w: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4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jc w:val="right"/>
              <w:ind w:right="553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877" w:right="239" w:bottom="1440" w:gutter="0" w:footer="0" w:header="0"/>
        </w:sectPr>
      </w:pPr>
    </w:p>
    <w:bookmarkStart w:id="46" w:name="page47"/>
    <w:bookmarkEnd w:id="46"/>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p>
      <w:pPr>
        <w:spacing w:after="0" w:line="225"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of TG Therapeutics, Inc. dated April 26, 2012.</w:t>
      </w:r>
    </w:p>
    <w:p>
      <w:pPr>
        <w:spacing w:after="0" w:line="225" w:lineRule="exact"/>
        <w:rPr>
          <w:sz w:val="20"/>
          <w:szCs w:val="20"/>
          <w:color w:val="auto"/>
        </w:rPr>
      </w:pPr>
    </w:p>
    <w:p>
      <w:pPr>
        <w:ind w:left="1680" w:right="300" w:hanging="852"/>
        <w:spacing w:after="0" w:line="277" w:lineRule="auto"/>
        <w:tabs>
          <w:tab w:leader="none" w:pos="1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 dated August 9, 2012.</w:t>
      </w:r>
    </w:p>
    <w:p>
      <w:pPr>
        <w:spacing w:after="0" w:line="170" w:lineRule="exact"/>
        <w:rPr>
          <w:sz w:val="20"/>
          <w:szCs w:val="20"/>
          <w:color w:val="auto"/>
        </w:rPr>
      </w:pPr>
    </w:p>
    <w:p>
      <w:pPr>
        <w:ind w:left="1680" w:right="340" w:hanging="852"/>
        <w:spacing w:after="0" w:line="277" w:lineRule="auto"/>
        <w:tabs>
          <w:tab w:leader="none" w:pos="1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 dated August 9, 2012.</w:t>
      </w:r>
    </w:p>
    <w:p>
      <w:pPr>
        <w:spacing w:after="0" w:line="170"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§1350, as adopted pursuant to Section 906 of the Sarbanes-Oxley Act of</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2002, dated August 9, 2012.</w:t>
      </w:r>
    </w:p>
    <w:p>
      <w:pPr>
        <w:spacing w:after="0" w:line="211"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§1350, as adopted pursuant to Section 906 of the Sarbanes-Oxley Act of</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2002, dated August 9, 2012.</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MANHATTAN PHARMACEUTICALS, INC.</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 the Chief Executive Officer, for purposes of amending and restating the Certificate of Incorporation of Manhattan Pharmaceuticals, Inc., a Delaware corporation which was originally incorporated on May 18, 1993 under the name of Atlantic Pharmaceuticals, Inc. (the “Corporation”), hereby certify as follows: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This Amended and Restated Certificate of Incorporation (the “Certificate of Incorporation”) of the Corporation has been duly adopted in accordance with the provisions of Sections 242 and 245 of the General Corporation Law of the State of Delaware.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text of the Certificate of Incorporation of the Corporation is hereby amended and restated to read in its entirety as follows:</w:t>
      </w:r>
    </w:p>
    <w:p>
      <w:pPr>
        <w:spacing w:after="0" w:line="225" w:lineRule="exact"/>
        <w:rPr>
          <w:sz w:val="20"/>
          <w:szCs w:val="20"/>
          <w:color w:val="auto"/>
        </w:rPr>
      </w:pPr>
    </w:p>
    <w:p>
      <w:pPr>
        <w:jc w:val="center"/>
        <w:ind w:right="6020"/>
        <w:spacing w:after="0"/>
        <w:rPr>
          <w:sz w:val="20"/>
          <w:szCs w:val="20"/>
          <w:color w:val="auto"/>
        </w:rPr>
      </w:pPr>
      <w:r>
        <w:rPr>
          <w:rFonts w:ascii="Arial" w:cs="Arial" w:eastAsia="Arial" w:hAnsi="Arial"/>
          <w:sz w:val="18"/>
          <w:szCs w:val="18"/>
          <w:color w:val="auto"/>
        </w:rPr>
        <w:t>FIRST: The name of the corporation is</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TG Therapeutics, Inc.</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SECOND: The address of the registered office of the Corporation in the State of Delaware is 1209 Orange Street, in the City of Wilmington, County of New Castle, and the name of its registered agent at that address is The Corporation Trust Company.</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FOURTH: A. The Corporation is authorized to issue two classes of stock designated “Common Stock” and “Preferred Stock,” respectively. The total number of shares of Common Stock authorized to be issued is 500,000,000, and each such share will have a par value of $0.001. The total number of shares of Preferred Stock authorized to be issued is 10,000,000, and each such share will have a par value of $0.001.</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B. Effective 12:01 a.m. on April 30, 2012 (the “Effective Time”) every fifty six and one quarter (56.25) shares of Common Stock of the Corporation issued and outstanding immediately prior to the Effective Time (“Old Common Stock”) shall automatically be combined, without any action on the part of the holder thereof, into one (1) share of fully paid and nonassessable Common Stock of the Corporation (“New Common Stock”), subject to the treatment of fractional share interests described below.</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C. Following the Effective Time, each holder of Old Common Stock shall be entitled to receive upon surrender of such holder’s certificate(s) representing Old Common Stock (whether one or more, “Old Certificates”) for cancellation pursuant to procedures adopted by the Corporation, a certificate(s) representing the number of whole shares of New Common Stock (whether one or more, “New Certificates”) into which and for which the shares of Old Common Stock formerly represented by such Old Certificates so surrendered are reclassified under the terms hereof. From and after the Effective Time, until surrendered for exchange, each outstanding Old Certificate shall be deemed for all purposes to represent (i) the whole number of shares of New Common Stock into which the Old Common Stock represented by such Old Certificate shall be combined, and (ii) the right to receive New Certificates.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both"/>
        <w:ind w:firstLine="1297"/>
        <w:spacing w:after="0" w:line="257" w:lineRule="auto"/>
        <w:rPr>
          <w:sz w:val="20"/>
          <w:szCs w:val="20"/>
          <w:color w:val="auto"/>
        </w:rPr>
      </w:pPr>
      <w:r>
        <w:rPr>
          <w:rFonts w:ascii="Arial" w:cs="Arial" w:eastAsia="Arial" w:hAnsi="Arial"/>
          <w:sz w:val="18"/>
          <w:szCs w:val="18"/>
          <w:color w:val="auto"/>
        </w:rPr>
        <w:t>D. No fractional shares of Common Stock of the Corporation shall be issued. No stockholder of the Corporation shall transfer any fractional shares of Common Stock of the Corporation. The Corporation shall not recognize on its stock record books any purported transfer of any fractional share of Common Stock of the Corporation. A holder of Old Certificates at the Effective Time who would otherwise be entitled to a fraction of a share of New Common Stock shall, in lieu thereof, be entitled to round such fractional value up to the nearest whole number and receive the additional share created thereby.</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E. Shares of Preferred Stock may be issued from time to time in one or more series. The Board of Directors is hereby authorized, by adopting appropriate resolutions and causing one or more certificates of amendment to be signed, verified and delivered in accordance with the General Corporation Law, to establish from time to time the number of shares to be included in such series, and to fix the designations, relative rights, preferences and limitations of the shares of each such series. Such designations, relative rights, preferences and limitations may include, but are not limited to, the fixing or alteration of the dividend rights, dividend rate, conversion rights, exchange rights, voting rights, rights and terms of redemption (including sinking fund provisions), the redemption price or prices, and the liquidation preferences of any wholly unissued series of shares of Preferred Stock, or any of them. In accordance with the authority hereby granted, the Board of Directors may increase or decrease the number of shares of any series subsequent to the issue of shares of that series, but not above the total number of authorized shares of Preferred Stock and not below the number of shares of such series then outstanding. In case the number of shares of any series shall be so decreased, the shares constituting such decrease shall resume the status that they had prior to the adoption of the resolution originally fixing the number of shares of such series. Except as may otherwise be required by law or this Certificate of Incorporation, the terms of any series of Preferred Stock may be amended without the consent of the holders of any other series of Preferred Stock, or Common Stock.</w:t>
      </w:r>
    </w:p>
    <w:p>
      <w:pPr>
        <w:spacing w:after="0" w:line="18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F. The Certificate of Designations, Preferences and Other Rights of Series A Preferred Stock, as filed with the Delaware Secretary of State on December 29, 2011, and the Amended Certificate of Designations, Preferences and Other Rights of Series A Preferred Stock, as filed with the Delaware Secretary of State on January 27, 2012, are incorporated by reference into this Certificate of Incorporation and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B</w:t>
      </w:r>
      <w:r>
        <w:rPr>
          <w:rFonts w:ascii="Arial" w:cs="Arial" w:eastAsia="Arial" w:hAnsi="Arial"/>
          <w:sz w:val="18"/>
          <w:szCs w:val="18"/>
          <w:color w:val="auto"/>
        </w:rPr>
        <w:t>, respectively.</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FIFTH: The number of directors which shall constitute the whole Board of Directors shall be fixed by, or in the same manner provided in, the Bylaws of the Corporation.</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SIXTH: In furtherance and not in limitation of the powers conferred by statute, the Board of Directors is expressly authorized to make, repeal, alter, amend and rescind the Bylaws of the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9" w:name="page50"/>
    <w:bookmarkEnd w:id="49"/>
    <w:p>
      <w:pPr>
        <w:jc w:val="both"/>
        <w:ind w:firstLine="1297"/>
        <w:spacing w:after="0" w:line="277" w:lineRule="auto"/>
        <w:rPr>
          <w:sz w:val="20"/>
          <w:szCs w:val="20"/>
          <w:color w:val="auto"/>
        </w:rPr>
      </w:pPr>
      <w:r>
        <w:rPr>
          <w:rFonts w:ascii="Arial" w:cs="Arial" w:eastAsia="Arial" w:hAnsi="Arial"/>
          <w:sz w:val="18"/>
          <w:szCs w:val="18"/>
          <w:color w:val="auto"/>
        </w:rPr>
        <w:t>SEVENTH: Election of directors at an annual or special meeting of stockholders need not be made by written ballot unless the Bylaws of the Corporation shall so provide.</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EIGHTH: Whenever a compromise or arrangement is proposed between the Corporation and its creditors or any class of them and/or between the Corporation and its stockholders or any class of them, any court of equitable jurisdiction within the State of Delaware, may, on application in a summary way of the Corporation or of any creditor or stockholder thereof on the application or any receiver or receiver” appointed for the Corporation under the provisions of Section 29l of Title B of the Delaware code or on the application of the trustees in dissolution or of any receiver or receivers appointed for the Corporation under the provisions of Section 279 of Title B of the Delaware Code order a meeting of the creditors or class of creditors, and/or of the stockholders or a class of stockholders or the Corporation, as the case may be to be summoned in such winner as the slid court directs. If a majority in number representing three-fourths in value of the creditors or class of creditor., and/or of the stockholders or class of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had been made, the binding on all the creditors or class of creditors, and/or on all the stockholders or class of stockholders or class of stockholders, of the Corporation, as the case may be, and also on the Corporation.</w:t>
      </w:r>
    </w:p>
    <w:p>
      <w:pPr>
        <w:spacing w:after="0" w:line="18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NINTH: The personal liability of directors of the Corporation is hereby eliminated to the fullest extent permitted by paragraph 7 of Subsection (b) of Section 102 of the General Corporation Law of the State of Delaware as the same may be amended and supplemented.</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TENTH: The Corporation shall, to the full extent permitted by Motion 145 of the Delaware General Corporation Law, as amended and supplemented from time to time, indemnify all persons whom it may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78"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ELEVENTH: The Corporation reserves the right to amend, alter, change or repeal any provision contained in this Certificate of Incorporation, in the manner now or hereafter prescribed by statute, and all rights conferred on stockholders heroin are granted subject to this reservation.</w:t>
      </w:r>
    </w:p>
    <w:p>
      <w:pPr>
        <w:spacing w:after="0" w:line="124" w:lineRule="exact"/>
        <w:rPr>
          <w:sz w:val="20"/>
          <w:szCs w:val="20"/>
          <w:color w:val="auto"/>
        </w:rPr>
      </w:pPr>
    </w:p>
    <w:p>
      <w:pPr>
        <w:jc w:val="both"/>
        <w:ind w:right="20" w:firstLine="1297"/>
        <w:spacing w:after="0" w:line="222" w:lineRule="auto"/>
        <w:rPr>
          <w:sz w:val="20"/>
          <w:szCs w:val="20"/>
          <w:color w:val="auto"/>
        </w:rPr>
      </w:pPr>
      <w:r>
        <w:rPr>
          <w:rFonts w:ascii="Arial" w:cs="Arial" w:eastAsia="Arial" w:hAnsi="Arial"/>
          <w:sz w:val="18"/>
          <w:szCs w:val="18"/>
          <w:color w:val="auto"/>
        </w:rPr>
        <w:t>IN WITNESS WHEREOF, the undersigned being the Chief Executive Officer of the Corporation has duly executed this certificate in the name and on behalf of Manhattan Pharmaceuticals, Inc., and affirms that the statements made herein are true under the penalty of perjury, this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April, 2012.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0" w:name="page51"/>
    <w:bookmarkEnd w:id="50"/>
    <w:p>
      <w:pPr>
        <w:ind w:left="4520"/>
        <w:spacing w:after="0"/>
        <w:rPr>
          <w:sz w:val="20"/>
          <w:szCs w:val="20"/>
          <w:color w:val="auto"/>
        </w:rPr>
      </w:pPr>
      <w:r>
        <w:rPr>
          <w:rFonts w:ascii="Arial" w:cs="Arial" w:eastAsia="Arial" w:hAnsi="Arial"/>
          <w:sz w:val="17"/>
          <w:szCs w:val="17"/>
          <w:color w:val="auto"/>
        </w:rPr>
        <w:t>MANHATTAN PHARMACEUTICALS,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S. Weiss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3152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EXHIBIT A</w:t>
      </w:r>
    </w:p>
    <w:p>
      <w:pPr>
        <w:sectPr>
          <w:pgSz w:w="11900" w:h="16838" w:orient="portrait"/>
          <w:cols w:equalWidth="0" w:num="1">
            <w:col w:w="9019"/>
          </w:cols>
          <w:pgMar w:left="1440" w:top="1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1" w:right="1440"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CERTIFICATE OF DESIGNATIONS,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OTHER RIGHTS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TG Therapeutics,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General Corporation Law of the State of Delaware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hereby certifies that, pursuant to (i) the authority conferred upon the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by the Certificate of Incorporation of the 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and (ii) the provisions of Section 151 of the General Corporation Law, the Board of Directors duly adopted a resolution on December 28, 2011, which resolution is as follows:</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RESOLVED, that pursuant to the authority vested in the Board of Directors of the Corporation by the Certificate of Incorporation, the Board of Directors does hereby create a series of the presently authorized shares of Preferred Stock of the Corporation. The shares of such series shall be designated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 and shall have a par value of $0.001 per share. The designations, preferences and other rights of Series A Preferred Stock authorized hereunder and the qualifications, limitations and restrictions of such preferences and rights are as follows:</w:t>
      </w:r>
    </w:p>
    <w:p>
      <w:pPr>
        <w:spacing w:after="0" w:line="167" w:lineRule="exact"/>
        <w:rPr>
          <w:sz w:val="20"/>
          <w:szCs w:val="20"/>
          <w:color w:val="auto"/>
        </w:rPr>
      </w:pPr>
    </w:p>
    <w:p>
      <w:pPr>
        <w:ind w:left="1160" w:hanging="504"/>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and Number</w:t>
      </w:r>
      <w:r>
        <w:rPr>
          <w:rFonts w:ascii="Arial" w:cs="Arial" w:eastAsia="Arial" w:hAnsi="Arial"/>
          <w:sz w:val="18"/>
          <w:szCs w:val="18"/>
          <w:b w:val="1"/>
          <w:bCs w:val="1"/>
          <w:color w:val="auto"/>
        </w:rPr>
        <w:t>.</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 series of Preferred Stock of the Corporation, designated “Series A Preferred Stock,” is hereby established. The number of shares of Series A Preferred Stock authorized shall be three million and five hundred thousand (3,500,000).</w:t>
      </w:r>
    </w:p>
    <w:p>
      <w:pPr>
        <w:spacing w:after="0" w:line="166" w:lineRule="exact"/>
        <w:rPr>
          <w:sz w:val="20"/>
          <w:szCs w:val="20"/>
          <w:color w:val="auto"/>
        </w:rPr>
      </w:pPr>
    </w:p>
    <w:p>
      <w:pPr>
        <w:ind w:left="1160" w:hanging="504"/>
        <w:spacing w:after="0"/>
        <w:tabs>
          <w:tab w:leader="none" w:pos="11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Provisions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1305"/>
        <w:spacing w:after="0" w:line="312" w:lineRule="auto"/>
        <w:tabs>
          <w:tab w:leader="none" w:pos="1957"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The Series A Preferred Stock shall with respect to dividend rights rank senior to the Common Stock of the Corporation and any other series of Preferred Stock established hereafter by the Board of Directors unless such series of Preferred Stock expressly ranks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Stock (all of such series of Preferred Stock to which the Series A Preferred Stock ranks senior, the “Junior Securities”).</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189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holders of shares of Series A Preferred Stock shall be entitled to receive dividends, out of any assets legally available therefor, prior and in preference to any declaration or payment of any dividend on Common Stock or any Junior Securities of the Corporation, payable only when, as and if declared by the Board of Directors.</w:t>
      </w:r>
    </w:p>
    <w:p>
      <w:pPr>
        <w:spacing w:after="0" w:line="181" w:lineRule="exact"/>
        <w:rPr>
          <w:rFonts w:ascii="Arial" w:cs="Arial" w:eastAsia="Arial" w:hAnsi="Arial"/>
          <w:sz w:val="18"/>
          <w:szCs w:val="18"/>
          <w:color w:val="auto"/>
        </w:rPr>
      </w:pPr>
    </w:p>
    <w:p>
      <w:pPr>
        <w:jc w:val="both"/>
        <w:ind w:firstLine="1305"/>
        <w:spacing w:after="0" w:line="302" w:lineRule="auto"/>
        <w:tabs>
          <w:tab w:leader="none" w:pos="1867"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 dividend or other distribution shall be paid on or declared and set apart for any share of Common Stock, Junior Securities or any other securities of the Corporation entitled generally to participate in the earnings or assets of the Corporation, other than the Series A Preferred Stock, for any period unless at the same time an equal dividend or distribution for the same period shall be paid on or declared and set apart for each share of Series A Preferred Stock based on the number of shares of Common Stock into which each share is then convertible (the “Conversion Shares”).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3" w:name="page54"/>
    <w:bookmarkEnd w:id="53"/>
    <w:p>
      <w:pPr>
        <w:ind w:left="1160" w:hanging="504"/>
        <w:spacing w:after="0"/>
        <w:tabs>
          <w:tab w:leader="none" w:pos="11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Liquidation Preference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76" w:lineRule="auto"/>
        <w:tabs>
          <w:tab w:leader="none" w:pos="1973"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In the event of any liquidation, dissolution or winding up of the Corporation, either voluntary or involuntary (including without limitation upon any bankruptcy), the holders of Series A Preferred Stock shall be entitled to receive in exchange for and in redemption of each share of Series A Preferred Stock $20 per share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as adjusted for any stock splits, dividends and the like, out of the proceeds of such liquidation, prior and in preference to any distribution to the holders of Common Stock and Junior Securities by reason of their ownership thereof, from the funds, proceeds or assets of the Corporation legally available for distribution to stockholders (the “Liquidation Preference”).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upon the occurrence of a Liquidation Event, as defined below, the assets, proceeds and funds thus distributed among the holders of the Series A Preferred Stock shall be insufficient to permit the payment to such holders of their full Liquidation Preference, then the entire assets, proceeds and funds of the Corporation legally available for distribution shall first be distributed ratably to the holders of Series A Preferred Stock in accordance with the amount such holders of Series A Preferred Stock are entitled to receive under the provisions of this Section 3.</w:t>
      </w:r>
    </w:p>
    <w:p>
      <w:pPr>
        <w:spacing w:after="0" w:line="187" w:lineRule="exact"/>
        <w:rPr>
          <w:sz w:val="20"/>
          <w:szCs w:val="20"/>
          <w:color w:val="auto"/>
        </w:rPr>
      </w:pPr>
    </w:p>
    <w:p>
      <w:pPr>
        <w:jc w:val="both"/>
        <w:ind w:firstLine="1305"/>
        <w:spacing w:after="0" w:line="264" w:lineRule="auto"/>
        <w:tabs>
          <w:tab w:leader="none" w:pos="18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completion of the distributions required by Section 3(a), if assets remain in the Corporation, all of such assets available for distribution to the stockholders shall be distributed among the holders of the Common Stock pro rata based upon the number of shares of Common Stock held by them.</w:t>
      </w:r>
    </w:p>
    <w:p>
      <w:pPr>
        <w:spacing w:after="0" w:line="181" w:lineRule="exact"/>
        <w:rPr>
          <w:rFonts w:ascii="Arial" w:cs="Arial" w:eastAsia="Arial" w:hAnsi="Arial"/>
          <w:sz w:val="18"/>
          <w:szCs w:val="18"/>
          <w:color w:val="auto"/>
        </w:rPr>
      </w:pPr>
    </w:p>
    <w:p>
      <w:pPr>
        <w:jc w:val="both"/>
        <w:ind w:firstLine="1305"/>
        <w:spacing w:after="0" w:line="268" w:lineRule="auto"/>
        <w:tabs>
          <w:tab w:leader="none" w:pos="193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For purposes of this Section 3, unless otherwise agreed in writing by the holders of not less than a majority of the outstanding shares of Series A Preferred Stock (voting together as a single class) (such required holders being sometimes collectively referred to herein as the “Required Holders”), a liquidation, dissolution or winding up of the Corporation shall be deemed to be occasioned by, or to include, (A) the acquisition of the Corporation by another entity by means of any transaction or series of related transactions (including, without limitation, any reorganization, merger, share exchange or consolidation) that results in the Corporation’s stockholders immediately prior to such transaction not holding, directly or indirectly, at least 50% of the voting power of the surviving or continuing entity, or (B) a sale, conveyance or disposition of all or substantially all of the assets of the Corporation unless the Corporation’s stockholders immediately prior to such transaction will, as a result of such sale, conveyance or disposition hold at least 50% of the voting power of the purchasing entity (each such transaction and any liquidation, dissolution or winding up of the Corporation, either voluntary or involuntary (including without limitation upon any bankruptcy) is sometimes referred to herein as a “Liquidation Event”)). In the event of a Liquidation Event described in the immediately preceding sentence involving the sale or exchange of shares by stockholders of the Corporation, the funds or proceeds resulting from such transaction available to the Corporation, if any, and all other or assets legally available for distribution to stockholders shall be deemed to have a fair market value for purposes of determining the entitlement to liquidating distributions equal to the fair market value of the aggregate consideration to be paid to all selling stockholders in exchange for all or part of any capital stock of the Corporation divided by a fraction, the numerator of which is the total number of shares of Common Stock deemed to be sold pursuant to such liquidation and the denominator of which is the sum of the total number of shares of Common Stock outstanding and the total number of shares of Common Stock issuable with respect to Common Stock Equivalents (as defined below) immediately prior to such liquidation.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4" w:name="page55"/>
    <w:bookmarkEnd w:id="54"/>
    <w:p>
      <w:pPr>
        <w:ind w:firstLine="1953"/>
        <w:spacing w:after="0" w:line="277" w:lineRule="auto"/>
        <w:tabs>
          <w:tab w:leader="none" w:pos="26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any Liquidation Event, if the consideration received is other than cash, its value will be deemed its fair market value. Any securities shall be valued as follows:</w:t>
      </w:r>
    </w:p>
    <w:p>
      <w:pPr>
        <w:spacing w:after="0" w:line="170" w:lineRule="exact"/>
        <w:rPr>
          <w:rFonts w:ascii="Arial" w:cs="Arial" w:eastAsia="Arial" w:hAnsi="Arial"/>
          <w:sz w:val="18"/>
          <w:szCs w:val="18"/>
          <w:color w:val="auto"/>
        </w:rPr>
      </w:pPr>
    </w:p>
    <w:p>
      <w:pPr>
        <w:ind w:left="2720" w:hanging="605"/>
        <w:spacing w:after="0"/>
        <w:tabs>
          <w:tab w:leader="none" w:pos="27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Securities not subject to investment letter or other similar restrictions on free marketability covered by (B) below:</w:t>
      </w:r>
    </w:p>
    <w:p>
      <w:pPr>
        <w:spacing w:after="0" w:line="236" w:lineRule="exact"/>
        <w:rPr>
          <w:rFonts w:ascii="Arial" w:cs="Arial" w:eastAsia="Arial" w:hAnsi="Arial"/>
          <w:sz w:val="17"/>
          <w:szCs w:val="17"/>
          <w:color w:val="auto"/>
        </w:rPr>
      </w:pPr>
    </w:p>
    <w:p>
      <w:pPr>
        <w:ind w:firstLine="2601"/>
        <w:spacing w:after="0" w:line="277" w:lineRule="auto"/>
        <w:tabs>
          <w:tab w:leader="none" w:pos="3348" w:val="left"/>
        </w:tabs>
        <w:numPr>
          <w:ilvl w:val="2"/>
          <w:numId w:val="33"/>
        </w:numPr>
        <w:rPr>
          <w:rFonts w:ascii="Arial" w:cs="Arial" w:eastAsia="Arial" w:hAnsi="Arial"/>
          <w:sz w:val="18"/>
          <w:szCs w:val="18"/>
          <w:color w:val="auto"/>
        </w:rPr>
      </w:pPr>
      <w:r>
        <w:rPr>
          <w:rFonts w:ascii="Arial" w:cs="Arial" w:eastAsia="Arial" w:hAnsi="Arial"/>
          <w:sz w:val="18"/>
          <w:szCs w:val="18"/>
          <w:color w:val="auto"/>
        </w:rPr>
        <w:t>If traded on a securities exchange, the value shall be deemed to be the average of the closing prices of the securities on such exchange over the thirty-day period ending three (3) days prior to the closing;</w:t>
      </w:r>
    </w:p>
    <w:p>
      <w:pPr>
        <w:spacing w:after="0" w:line="170" w:lineRule="exact"/>
        <w:rPr>
          <w:rFonts w:ascii="Arial" w:cs="Arial" w:eastAsia="Arial" w:hAnsi="Arial"/>
          <w:sz w:val="18"/>
          <w:szCs w:val="18"/>
          <w:color w:val="auto"/>
        </w:rPr>
      </w:pPr>
    </w:p>
    <w:p>
      <w:pPr>
        <w:ind w:firstLine="2601"/>
        <w:spacing w:after="0" w:line="277" w:lineRule="auto"/>
        <w:tabs>
          <w:tab w:leader="none" w:pos="3243" w:val="left"/>
        </w:tabs>
        <w:numPr>
          <w:ilvl w:val="2"/>
          <w:numId w:val="33"/>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or sale prices (whichever is applicable) over the thirty-day period ending three (3) days prior to the closing; and</w:t>
      </w:r>
    </w:p>
    <w:p>
      <w:pPr>
        <w:spacing w:after="0" w:line="170" w:lineRule="exact"/>
        <w:rPr>
          <w:rFonts w:ascii="Arial" w:cs="Arial" w:eastAsia="Arial" w:hAnsi="Arial"/>
          <w:sz w:val="18"/>
          <w:szCs w:val="18"/>
          <w:color w:val="auto"/>
        </w:rPr>
      </w:pPr>
    </w:p>
    <w:p>
      <w:pPr>
        <w:ind w:firstLine="2601"/>
        <w:spacing w:after="0" w:line="277" w:lineRule="auto"/>
        <w:tabs>
          <w:tab w:leader="none" w:pos="3193" w:val="left"/>
        </w:tabs>
        <w:numPr>
          <w:ilvl w:val="2"/>
          <w:numId w:val="33"/>
        </w:numPr>
        <w:rPr>
          <w:rFonts w:ascii="Arial" w:cs="Arial" w:eastAsia="Arial" w:hAnsi="Arial"/>
          <w:sz w:val="18"/>
          <w:szCs w:val="18"/>
          <w:color w:val="auto"/>
        </w:rPr>
      </w:pPr>
      <w:r>
        <w:rPr>
          <w:rFonts w:ascii="Arial" w:cs="Arial" w:eastAsia="Arial" w:hAnsi="Arial"/>
          <w:sz w:val="18"/>
          <w:szCs w:val="18"/>
          <w:color w:val="auto"/>
        </w:rPr>
        <w:t>If there is no active public market, the value shall be the fair market value thereof, as determined by the Board of Directors of the Corporation and approved by the Required Holders.</w:t>
      </w:r>
    </w:p>
    <w:p>
      <w:pPr>
        <w:spacing w:after="0" w:line="170" w:lineRule="exact"/>
        <w:rPr>
          <w:rFonts w:ascii="Arial" w:cs="Arial" w:eastAsia="Arial" w:hAnsi="Arial"/>
          <w:sz w:val="18"/>
          <w:szCs w:val="18"/>
          <w:color w:val="auto"/>
        </w:rPr>
      </w:pPr>
    </w:p>
    <w:p>
      <w:pPr>
        <w:jc w:val="both"/>
        <w:ind w:firstLine="2115"/>
        <w:spacing w:after="0" w:line="259" w:lineRule="auto"/>
        <w:tabs>
          <w:tab w:leader="none" w:pos="2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 (1), (2) or (3) to reflect the approximate fair market value thereof, as determined by the Board of Directors of the Corporation and approved by the Required Holders.</w:t>
      </w:r>
    </w:p>
    <w:p>
      <w:pPr>
        <w:spacing w:after="0" w:line="186" w:lineRule="exact"/>
        <w:rPr>
          <w:rFonts w:ascii="Arial" w:cs="Arial" w:eastAsia="Arial" w:hAnsi="Arial"/>
          <w:sz w:val="18"/>
          <w:szCs w:val="18"/>
          <w:color w:val="auto"/>
        </w:rPr>
      </w:pPr>
    </w:p>
    <w:p>
      <w:pPr>
        <w:jc w:val="both"/>
        <w:ind w:firstLine="1953"/>
        <w:spacing w:after="0" w:line="291" w:lineRule="auto"/>
        <w:tabs>
          <w:tab w:leader="none" w:pos="261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Corporation shall give each holder of record of Series A Preferred Stock written notice of an impending Liquidation Event described in Section 3(c)(i) not later than twenty (20) days prior to the stockholders’ meeting called to approve such Liquidation Event, or twenty (20) days prior to the closing of such Liquidation Event, whichever is earlier, and shall also notify such holders in writing of the final approval of such Liquidation Event, The first of such notices shall describe the material terms and conditions of the impending Liquidation Event and the provisions of this Section 3, and the Corporation shall thereafter give such holders prompt notice of any material changes. Such Liquidation Event shall in no event take place sooner than twenty (20) days after the Corporation has given the first notice provided for herein or sooner than ten (10) days after the Corporation has given notice of any material changes provided for herein; provided, however, that such periods may be shortened upon the written consent of the Required Holders,</w:t>
      </w:r>
    </w:p>
    <w:p>
      <w:pPr>
        <w:spacing w:after="0" w:line="167" w:lineRule="exact"/>
        <w:rPr>
          <w:rFonts w:ascii="Arial" w:cs="Arial" w:eastAsia="Arial" w:hAnsi="Arial"/>
          <w:sz w:val="16"/>
          <w:szCs w:val="16"/>
          <w:color w:val="auto"/>
        </w:rPr>
      </w:pPr>
    </w:p>
    <w:p>
      <w:pPr>
        <w:ind w:left="2580" w:hanging="627"/>
        <w:spacing w:after="0"/>
        <w:tabs>
          <w:tab w:leader="none" w:pos="2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the requirements of Section 3(c)(iii) are not complied with, the Corporation shall forthwith either: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5" w:name="page56"/>
    <w:bookmarkEnd w:id="55"/>
    <w:p>
      <w:pPr>
        <w:ind w:left="2700" w:hanging="605"/>
        <w:spacing w:after="0"/>
        <w:tabs>
          <w:tab w:leader="none" w:pos="2700" w:val="left"/>
        </w:tabs>
        <w:numPr>
          <w:ilvl w:val="2"/>
          <w:numId w:val="34"/>
        </w:numPr>
        <w:rPr>
          <w:rFonts w:ascii="Arial" w:cs="Arial" w:eastAsia="Arial" w:hAnsi="Arial"/>
          <w:sz w:val="16"/>
          <w:szCs w:val="16"/>
          <w:color w:val="auto"/>
        </w:rPr>
      </w:pPr>
      <w:r>
        <w:rPr>
          <w:rFonts w:ascii="Arial" w:cs="Arial" w:eastAsia="Arial" w:hAnsi="Arial"/>
          <w:sz w:val="16"/>
          <w:szCs w:val="16"/>
          <w:color w:val="auto"/>
        </w:rPr>
        <w:t>cause such closing to be postponed until such time as the requirements of Section 3(c)(iii) have been complied with; or</w:t>
      </w:r>
    </w:p>
    <w:p>
      <w:pPr>
        <w:spacing w:after="0" w:line="248" w:lineRule="exact"/>
        <w:rPr>
          <w:rFonts w:ascii="Arial" w:cs="Arial" w:eastAsia="Arial" w:hAnsi="Arial"/>
          <w:sz w:val="16"/>
          <w:szCs w:val="16"/>
          <w:color w:val="auto"/>
        </w:rPr>
      </w:pPr>
    </w:p>
    <w:p>
      <w:pPr>
        <w:jc w:val="both"/>
        <w:ind w:left="-20" w:firstLine="2115"/>
        <w:spacing w:after="0" w:line="264" w:lineRule="auto"/>
        <w:tabs>
          <w:tab w:leader="none" w:pos="2845" w:val="left"/>
        </w:tabs>
        <w:numPr>
          <w:ilvl w:val="2"/>
          <w:numId w:val="34"/>
        </w:numPr>
        <w:rPr>
          <w:rFonts w:ascii="Arial" w:cs="Arial" w:eastAsia="Arial" w:hAnsi="Arial"/>
          <w:sz w:val="18"/>
          <w:szCs w:val="18"/>
          <w:color w:val="auto"/>
        </w:rPr>
      </w:pPr>
      <w:r>
        <w:rPr>
          <w:rFonts w:ascii="Arial" w:cs="Arial" w:eastAsia="Arial" w:hAnsi="Arial"/>
          <w:sz w:val="18"/>
          <w:szCs w:val="18"/>
          <w:color w:val="auto"/>
        </w:rPr>
        <w:t>cancel such Liquidation Event, in which event the rights, preferences and privileges of the holders of the Series A Preferred Stock shall revert to and be the same as such rights, preferences and privileges existing immediately prior to the date of the first notice referred to in Section 3(c)(iii) hereof.</w:t>
      </w:r>
    </w:p>
    <w:p>
      <w:pPr>
        <w:spacing w:after="0" w:line="177" w:lineRule="exact"/>
        <w:rPr>
          <w:rFonts w:ascii="Arial" w:cs="Arial" w:eastAsia="Arial" w:hAnsi="Arial"/>
          <w:sz w:val="18"/>
          <w:szCs w:val="18"/>
          <w:color w:val="auto"/>
        </w:rPr>
      </w:pPr>
    </w:p>
    <w:p>
      <w:pPr>
        <w:jc w:val="both"/>
        <w:ind w:left="-20" w:firstLine="656"/>
        <w:spacing w:after="0" w:line="281" w:lineRule="auto"/>
        <w:tabs>
          <w:tab w:leader="none" w:pos="1299"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the Series A Preferred Stock shall have conversion rights (the “Conversion Rights”) as follows;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that all such rights are subject to the amendment of the Corporation’s Certificate of Incorporation or a reverse stock split, in either case to provide for sufficient authorized shares of the Corporation’s Common Stock to effect any such conversion (the “Amendment”), and no such Conversion Rights shall exist until such Amendment has been properly approved and filed with the Secretary of State of the State of Delaware :</w:t>
      </w:r>
    </w:p>
    <w:p>
      <w:pPr>
        <w:spacing w:after="0" w:line="168" w:lineRule="exact"/>
        <w:rPr>
          <w:rFonts w:ascii="Arial" w:cs="Arial" w:eastAsia="Arial" w:hAnsi="Arial"/>
          <w:sz w:val="17"/>
          <w:szCs w:val="17"/>
          <w:b w:val="1"/>
          <w:bCs w:val="1"/>
          <w:color w:val="auto"/>
        </w:rPr>
      </w:pPr>
    </w:p>
    <w:p>
      <w:pPr>
        <w:jc w:val="both"/>
        <w:ind w:left="-20" w:firstLine="1305"/>
        <w:spacing w:after="0" w:line="264" w:lineRule="auto"/>
        <w:tabs>
          <w:tab w:leader="none" w:pos="1877"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Right to Convert</w:t>
      </w:r>
      <w:r>
        <w:rPr>
          <w:rFonts w:ascii="Arial" w:cs="Arial" w:eastAsia="Arial" w:hAnsi="Arial"/>
          <w:sz w:val="18"/>
          <w:szCs w:val="18"/>
          <w:color w:val="auto"/>
        </w:rPr>
        <w:t>. Subject to adoption of the Amendment, each share of Series A Preferred Stock shall be convertible, at the option of the holder thereof, at any time after the date of issuance of such shares, at the office of the Corporation or any transfer agent for such stock, into Five Hundred (500) shares of fully paid and nonassessable shares of Common Stock.</w:t>
      </w:r>
    </w:p>
    <w:p>
      <w:pPr>
        <w:spacing w:after="0" w:line="181" w:lineRule="exact"/>
        <w:rPr>
          <w:rFonts w:ascii="Arial" w:cs="Arial" w:eastAsia="Arial" w:hAnsi="Arial"/>
          <w:sz w:val="18"/>
          <w:szCs w:val="18"/>
          <w:color w:val="auto"/>
        </w:rPr>
      </w:pPr>
    </w:p>
    <w:p>
      <w:pPr>
        <w:jc w:val="both"/>
        <w:ind w:left="-20" w:firstLine="1305"/>
        <w:spacing w:after="0" w:line="268" w:lineRule="auto"/>
        <w:tabs>
          <w:tab w:leader="none" w:pos="1927"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Subject to the adoption of the Amendment, each share of Series A Preferred Stock shall automatically be converted into Five Hundred (500) shares of fully paid and nonassessable Common Stock immediately upon the consummation of a merger (including a reverse merger) or sale of substantially all of the assets of the Corporation. Each share of Series A Preferred Stock will automatically convert into that number of shares of common stock of the surviving entity equal in value to the Liquidation Preference. Such conversion shall be automatic, without need for any further action by the holders of shares of the Series A Preferred Stock and regardless of whether the certificates representing such shares are surrendered to the Corporation or its transfer agent; provided, however, that the Corporation shall not be obligated to issue certificates evidencing the shares of Common Stock issuable upon such conversion unless certificates evidencing such shares of Series A Preferred Stock so converted are surrendered to the Corporation or the holder of record of such shares notifies the Corporation that such certificates have been lost, stolen or destroyed and executes an agreement to indemnify the Corporation from any loss incurred by it in connection with such certificates, in each case in accordance with the procedures described in Section 4(c) below. Upon the conversion of any Series A Preferred Stock pursuant to this Section 4(b), the Corporation shall promptly send written notice thereof, by registered or certified mail, return receipt requested and postage prepaid, by hand delivery or by overnight delivery, to each holder of record of the Series A Preferred Stock at such holder’s address then shown on the records of the Corporation, which notice shall state that certificates evidencing shares of Series A Preferred Stock must be surrendered at the office of the Corporation (or of its transfer agent for the Common Stock, if applicable) in the manner described in Section 4(c).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125" w:right="239" w:bottom="1440" w:gutter="0" w:footer="0" w:header="0"/>
        </w:sectPr>
      </w:pPr>
    </w:p>
    <w:bookmarkStart w:id="56" w:name="page57"/>
    <w:bookmarkEnd w:id="56"/>
    <w:p>
      <w:pPr>
        <w:jc w:val="both"/>
        <w:ind w:firstLine="1305"/>
        <w:spacing w:after="0" w:line="270" w:lineRule="auto"/>
        <w:tabs>
          <w:tab w:leader="none" w:pos="188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Before any holder of Series A Preferred Stock shall be entitled to receive certificates representing shares of Common Stock into which shares of Series A Preferred Stock are converted pursuant to this Section 4, such holder shall surrender the certificate or certificates therefor, duly endorsed, at the office of the Corporation or of any transfer agent selected by the Corporation for the Series A Preferred Stock, and shall give written notice to the Corporation at such office of the name or names in which the certificate or certificates for shares of Common Stock are to be issued. The Corporation shall, as soon as practicable and in no event later than fifteen (15) days after the delivery of said certificates, issue and deliver at such office to such holder of Series A Preferred Stock, or to the nominee or nominees of such holder, a certificate or certificates for the number of shares of Common Stock to which such holder shall be entitled as aforesaid. The person or persons entitled to receive the shares of Common Stock issuable upon such conversion pursuant to this Section 4 shall be treated for all purposes as the record holder or holders of such shares of Common Stock as of the effective date of such conversion.</w:t>
      </w:r>
    </w:p>
    <w:p>
      <w:pPr>
        <w:spacing w:after="0" w:line="181" w:lineRule="exact"/>
        <w:rPr>
          <w:rFonts w:ascii="Arial" w:cs="Arial" w:eastAsia="Arial" w:hAnsi="Arial"/>
          <w:sz w:val="17"/>
          <w:szCs w:val="17"/>
          <w:color w:val="auto"/>
        </w:rPr>
      </w:pPr>
    </w:p>
    <w:p>
      <w:pPr>
        <w:jc w:val="both"/>
        <w:ind w:firstLine="1305"/>
        <w:spacing w:after="0" w:line="276" w:lineRule="auto"/>
        <w:tabs>
          <w:tab w:leader="none" w:pos="197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Other Distributions</w:t>
      </w:r>
      <w:r>
        <w:rPr>
          <w:rFonts w:ascii="Arial" w:cs="Arial" w:eastAsia="Arial" w:hAnsi="Arial"/>
          <w:sz w:val="17"/>
          <w:szCs w:val="17"/>
          <w:color w:val="auto"/>
        </w:rPr>
        <w:t>. In the event the Corporation shall declare a distribution payable in securities of other persons, evidences of indebtedness issued by the Corporation or other persons, assets (excluding cash dividends) or options or rights, then, in each such case for the purpose of this Section 4(d), the holders of the Series A Preferred Stock shall be entitled to a proportionate share of any such distribution as though they were the holders of the number of shares of Common Stock of the Corporation into which their shares of Series A Preferred Stock are convertible as of the record date fixed for the determination of the holders of Common Stock of the Corporation entitled to receive such distribution.</w:t>
      </w:r>
    </w:p>
    <w:p>
      <w:pPr>
        <w:spacing w:after="0" w:line="172" w:lineRule="exact"/>
        <w:rPr>
          <w:rFonts w:ascii="Arial" w:cs="Arial" w:eastAsia="Arial" w:hAnsi="Arial"/>
          <w:sz w:val="17"/>
          <w:szCs w:val="17"/>
          <w:color w:val="auto"/>
        </w:rPr>
      </w:pPr>
    </w:p>
    <w:p>
      <w:pPr>
        <w:jc w:val="both"/>
        <w:ind w:firstLine="1305"/>
        <w:spacing w:after="0" w:line="271" w:lineRule="auto"/>
        <w:tabs>
          <w:tab w:leader="none" w:pos="209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Recapitalizations</w:t>
      </w:r>
      <w:r>
        <w:rPr>
          <w:rFonts w:ascii="Arial" w:cs="Arial" w:eastAsia="Arial" w:hAnsi="Arial"/>
          <w:sz w:val="17"/>
          <w:szCs w:val="17"/>
          <w:color w:val="auto"/>
        </w:rPr>
        <w:t>. If at any time or from time to time there shall be a recapitalization of the Common Stock (other than a subdivision, combination or a reorganization, merger or consolidation transaction provided for elsewhere in this Section 4), provisions shall be made so that the holders of the Series A Preferred Stock shall thereafter be entitled to receive upon conversion of the Series A Preferred Stock the number of shares of stock or other securities or property of the Corporation or otherwise, to which a holder of Common Stock deliverable upon conversion would have been entitled in connection with such recapitalization. In any such case, appropriate adjustment shall be made in the application of the provisions of this Section 4 with respect to the rights of the holders of the Series A Preferred Stock after the recapitalization to the end that the provisions of this Section 4 (including adjustment of the Conversion Prices then in effect and the number of shares issuable upon conversion of the Series A Preferred Stock) shall be applicable after that event as nearly equivalent as may be practicable.</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183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Reorganizations, Mergers or Consolidations</w:t>
      </w:r>
      <w:r>
        <w:rPr>
          <w:rFonts w:ascii="Arial" w:cs="Arial" w:eastAsia="Arial" w:hAnsi="Arial"/>
          <w:sz w:val="18"/>
          <w:szCs w:val="18"/>
          <w:color w:val="auto"/>
        </w:rPr>
        <w:t>. If at any time or from time to time the Common Stock is converted into other securities or property, whether pursuant to a reorganization, merger, consolidation or otherwise (other than a subdivision, combination or recapitalization provided for elsewhere in this Section 4 or a transaction constituting a Liquidation Event pursuant to Section 4(c) above), provision shall be made so that the holders of the Series A Preferred Stock shall thereafter be entitled to receive upon conversion of the Series A Preferred Stock the number of shares of stock or other securities or property of the Corporation or otherwise, to which a holder of Common Stock deliverable upon conversion would have been entitled in connection with such transaction.</w:t>
      </w:r>
    </w:p>
    <w:p>
      <w:pPr>
        <w:spacing w:after="0" w:line="193" w:lineRule="exact"/>
        <w:rPr>
          <w:rFonts w:ascii="Arial" w:cs="Arial" w:eastAsia="Arial" w:hAnsi="Arial"/>
          <w:sz w:val="18"/>
          <w:szCs w:val="18"/>
          <w:color w:val="auto"/>
        </w:rPr>
      </w:pPr>
    </w:p>
    <w:p>
      <w:pPr>
        <w:jc w:val="both"/>
        <w:ind w:firstLine="1305"/>
        <w:spacing w:after="0" w:line="257" w:lineRule="auto"/>
        <w:tabs>
          <w:tab w:leader="none" w:pos="210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The Corporation will not, by amendment of its Certificate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the Series A Preferred Stock against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7" w:name="page58"/>
    <w:bookmarkEnd w:id="57"/>
    <w:p>
      <w:pPr>
        <w:jc w:val="both"/>
        <w:ind w:firstLine="1305"/>
        <w:spacing w:after="0" w:line="259" w:lineRule="auto"/>
        <w:tabs>
          <w:tab w:leader="none" w:pos="1947"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 Fractional Shares and Certificate as to Adjustments</w:t>
      </w:r>
      <w:r>
        <w:rPr>
          <w:rFonts w:ascii="Arial" w:cs="Arial" w:eastAsia="Arial" w:hAnsi="Arial"/>
          <w:sz w:val="18"/>
          <w:szCs w:val="18"/>
          <w:color w:val="auto"/>
        </w:rPr>
        <w:t>. No fractional shares shall be issued upon the conversion of any share or shares of the Series A Preferred Stock, and the number of shares of Common Stock to be issued shall be rounded to the nearest whole share (with 1/2 being rounded upward) and shall be determined on the basis of the total number of shares of Series A Preferred Stock the holder is at the time converting into Common Stock and the number of shares of Common Stock issuable upon such aggregate conversion.</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1907"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Notices of Record Date</w:t>
      </w:r>
      <w:r>
        <w:rPr>
          <w:rFonts w:ascii="Arial" w:cs="Arial" w:eastAsia="Arial" w:hAnsi="Arial"/>
          <w:sz w:val="17"/>
          <w:szCs w:val="17"/>
          <w:color w:val="auto"/>
        </w:rPr>
        <w:t>. In the event of any taking by the Corporation of a record of the holders of any class of securities for the purpose of determining the holders thereof who are entitled to receive any dividend or other distribution, any right to subscribe for, purchase or otherwise acquire any shares of stock of any class or any other securities or property, or to receive any other right, the Corporation shall mail to each holder of Series A Preferred Stock, at least twenty (20) days prior to the date specified therein, a notice specifying the date on which any such record is to be taken for the purpose of such dividend, distribution or right, and the amount and character of such dividend, distribution or right.</w:t>
      </w:r>
    </w:p>
    <w:p>
      <w:pPr>
        <w:spacing w:after="0" w:line="172" w:lineRule="exact"/>
        <w:rPr>
          <w:rFonts w:ascii="Arial" w:cs="Arial" w:eastAsia="Arial" w:hAnsi="Arial"/>
          <w:sz w:val="17"/>
          <w:szCs w:val="17"/>
          <w:color w:val="auto"/>
        </w:rPr>
      </w:pPr>
    </w:p>
    <w:p>
      <w:pPr>
        <w:jc w:val="both"/>
        <w:ind w:firstLine="1305"/>
        <w:spacing w:after="0" w:line="271" w:lineRule="auto"/>
        <w:tabs>
          <w:tab w:leader="none" w:pos="1988"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Following the adoption of the Amendment, the Corporation shall at all times reserve and keep available out of its authorized but unissued shares of Common Stock, solely for the purpose of effecting the conversion of the shares of the Series A Preferred Stock, such number of its shares of Common Stock as shall from time to time be sufficient to effect the conversion of all outstanding shares of Series A Preferred Stock; and if at any time the number of authorized but unissued shares of Common Stock shall not be sufficient to effect the conversion of all then outstanding shares of Series A Preferred Stock, in addition to such other remedies as shall be available to the holder of Series A Preferred Stock, the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866"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by the provisions of this Section 4 to be given to the holders of shares of Series A Preferred Stock shall be deemed given if deposited in the United States mail, postage prepaid, and addressed to each holder of record at his address appearing on the books of the Corporation.</w:t>
      </w:r>
    </w:p>
    <w:p>
      <w:pPr>
        <w:spacing w:after="0" w:line="177" w:lineRule="exact"/>
        <w:rPr>
          <w:rFonts w:ascii="Arial" w:cs="Arial" w:eastAsia="Arial" w:hAnsi="Arial"/>
          <w:sz w:val="18"/>
          <w:szCs w:val="18"/>
          <w:color w:val="auto"/>
        </w:rPr>
      </w:pPr>
    </w:p>
    <w:p>
      <w:pPr>
        <w:jc w:val="both"/>
        <w:ind w:firstLine="656"/>
        <w:spacing w:after="0" w:line="290" w:lineRule="auto"/>
        <w:tabs>
          <w:tab w:leader="none" w:pos="1184"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 Rights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by the General Corporation Law of the State of Delaware or as otherwise expressly provided herein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special class voting arrangements, the holder of each share of Series A Preferred Stock shall have the right to one vote for each share of Common Stock into which such share of Series A Preferred Stock could then be converted (assuming the Amendment had been approved and filed), and with respect to such vote, such holder shall have full voting rights and powers equal to the voting rights and powers of the holders of Common Stock, and shall be entitled, notwithstanding any provision hereof, to notice of any stockholders’ meeting in accordance with the bylaws of the Corporation, and shall be entitled to vote, together with holders of Common Stock, with respect to any question upon which holders of Common Stock have the right to vote. For purposes of clarity, the voting rights of the Series A Preferred Stock shall be effective without regard to whether the Amendment has been approved and filed. Fractional votes shall not, however, be permitted and any fractional voting rights available on an as-converted basis (after aggregating all fractional shares into which shares of Series A Preferred Stock held by each holder could be converted) shall be rounded to the nearest whole number (with one-half being rounded upward).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color w:val="auto"/>
        </w:rPr>
        <w:t>Notwithstanding any provision herein to the contrary. in connection with any acquisition of Series A Preferred Stock (and/or any other voting securities of the Corporation) as to which the Hart-Scott-Rodino Antitrust Improvements Act of 1976, as amended (the “HSR Act”), would, but for this section, be applicable, any person or entity (as defined under the HSR Act) acquiring such Series A Preferred Stock (and/or other voting securities of the Corporation) shall have no right to vote such Series A Preferred Stock or voting securities until such person or entity has complied with the filing and waiting period requirements of the HSR Act.</w:t>
      </w:r>
    </w:p>
    <w:p>
      <w:pPr>
        <w:spacing w:after="0" w:line="184" w:lineRule="exact"/>
        <w:rPr>
          <w:sz w:val="20"/>
          <w:szCs w:val="20"/>
          <w:color w:val="auto"/>
        </w:rPr>
      </w:pPr>
    </w:p>
    <w:p>
      <w:pPr>
        <w:jc w:val="both"/>
        <w:ind w:right="20" w:firstLine="656"/>
        <w:spacing w:after="0" w:line="289" w:lineRule="auto"/>
        <w:tabs>
          <w:tab w:leader="none" w:pos="1211"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Status of Converted or Redeemed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of Series A Preferred Stock shall be redeemed or converted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 the shares so converted or redeemed shall he cancelled and shall not be issuable by the Corporation. The Certificate of Incorporation of the Corporation shall be appropriately amended to effect the corresponding reduction in the Corporation’s authorized capital stock.</w:t>
      </w:r>
    </w:p>
    <w:p>
      <w:pPr>
        <w:spacing w:after="0" w:line="16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Manhattan Pharmaceuticals, Inc. has caused this Certificate of Designation of Series A Preferred Stock to be signed by Michael McGuinness, its Chief Financial and Operating Officer, this 29th day of December, 2011.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TG THERAPEUTICS, INC. (f/k/a MANHATTAN PHARMACEUTICALS,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McGuinness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Michael McGuinness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and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EXHIBIT B</w:t>
      </w:r>
    </w:p>
    <w:p>
      <w:pPr>
        <w:sectPr>
          <w:pgSz w:w="11900" w:h="16838" w:orient="portrait"/>
          <w:cols w:equalWidth="0" w:num="1">
            <w:col w:w="9019"/>
          </w:cols>
          <w:pgMar w:left="1440" w:top="6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AMENDED CERTIFICATE OF DESIGNATIONS,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PREFERENCES AND OTHER 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 General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Law of the State of Delaware</w:t>
      </w:r>
    </w:p>
    <w:p>
      <w:pPr>
        <w:spacing w:after="0" w:line="21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officer of TG Therapeutics, Inc., a Delaware corporation (the “Corporation”), pursuant to the provisions of Section 151 of the General Corporation Law of the State of Delaware, does hereby make this Certificate of Amendment of the Certificate of Designations, Preferences and Other Rights of Series A Preferred Stock, filed with the office of the Secretary of State on December 29, 2011 (the “Series A Certificate of Designations”), and does hereby state and certify that pursuant to the authority expressly vested in the Board of Directors of the Corporation by the Certificate of Incorporation, as amended, originally filed with the office of the Secretary of State of Delaware on May 18, 1993, the Board of Directors duly adopted the following resolutions: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RESOLVED, the Series A Certificate of Designations is hereby amended as follows:</w:t>
      </w:r>
    </w:p>
    <w:p>
      <w:pPr>
        <w:spacing w:after="0" w:line="22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striking Section 3 in its entirety and renumbering subsequent Sections 4, 5 and 6 as Sections 3, 4 and 5, respectively.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striking Section 4(a) in its entirety and substituting the following:</w:t>
      </w:r>
    </w:p>
    <w:p>
      <w:pPr>
        <w:spacing w:after="0" w:line="225" w:lineRule="exact"/>
        <w:rPr>
          <w:rFonts w:ascii="Arial" w:cs="Arial" w:eastAsia="Arial" w:hAnsi="Arial"/>
          <w:sz w:val="18"/>
          <w:szCs w:val="18"/>
          <w:color w:val="auto"/>
        </w:rPr>
      </w:pPr>
    </w:p>
    <w:p>
      <w:pPr>
        <w:ind w:left="1300" w:right="60"/>
        <w:spacing w:after="0" w:line="264" w:lineRule="auto"/>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 On the effective date of the Amendment, each share of Series A Preferred Stock shall automatically be converted into Five Hundred (500) shares of fully paid and non-assessable Common Stock without any further action of the Company or the holder of Series A Preferred Stock.</w:t>
      </w:r>
    </w:p>
    <w:p>
      <w:pPr>
        <w:spacing w:after="0" w:line="181" w:lineRule="exact"/>
        <w:rPr>
          <w:rFonts w:ascii="Arial" w:cs="Arial" w:eastAsia="Arial" w:hAnsi="Arial"/>
          <w:sz w:val="18"/>
          <w:szCs w:val="18"/>
          <w:color w:val="auto"/>
        </w:rPr>
      </w:pPr>
    </w:p>
    <w:p>
      <w:pPr>
        <w:ind w:left="1300" w:right="4100" w:hanging="644"/>
        <w:spacing w:after="0" w:line="501"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by striking the heading of Section 4(b) in its entirety and substituting the following: </w:t>
      </w:r>
      <w:r>
        <w:rPr>
          <w:rFonts w:ascii="Arial" w:cs="Arial" w:eastAsia="Arial" w:hAnsi="Arial"/>
          <w:sz w:val="18"/>
          <w:szCs w:val="18"/>
          <w:u w:val="single" w:color="auto"/>
          <w:color w:val="auto"/>
        </w:rPr>
        <w:t>Automatic Conversion on Business Combination</w:t>
      </w:r>
      <w:r>
        <w:rPr>
          <w:rFonts w:ascii="Arial" w:cs="Arial" w:eastAsia="Arial" w:hAnsi="Arial"/>
          <w:sz w:val="18"/>
          <w:szCs w:val="18"/>
          <w:color w:val="auto"/>
        </w:rPr>
        <w:t>.</w:t>
      </w:r>
    </w:p>
    <w:p>
      <w:pPr>
        <w:ind w:firstLine="1297"/>
        <w:spacing w:after="0" w:line="277" w:lineRule="auto"/>
        <w:rPr>
          <w:sz w:val="20"/>
          <w:szCs w:val="20"/>
          <w:color w:val="auto"/>
        </w:rPr>
      </w:pPr>
      <w:r>
        <w:rPr>
          <w:rFonts w:ascii="Arial" w:cs="Arial" w:eastAsia="Arial" w:hAnsi="Arial"/>
          <w:sz w:val="18"/>
          <w:szCs w:val="18"/>
          <w:color w:val="auto"/>
        </w:rPr>
        <w:t>This Amended Certificate of Designations of the Corporation has been duly adopted in accordance with Section 151 of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1" w:name="page62"/>
    <w:bookmarkEnd w:id="61"/>
    <w:p>
      <w:pPr>
        <w:ind w:left="100"/>
        <w:spacing w:after="0"/>
        <w:rPr>
          <w:sz w:val="20"/>
          <w:szCs w:val="20"/>
          <w:color w:val="auto"/>
        </w:rPr>
      </w:pPr>
      <w:r>
        <w:rPr>
          <w:rFonts w:ascii="Arial" w:cs="Arial" w:eastAsia="Arial" w:hAnsi="Arial"/>
          <w:sz w:val="16"/>
          <w:szCs w:val="16"/>
          <w:color w:val="auto"/>
        </w:rPr>
        <w:t>The undersigned is signing this Amended Certificate of Designations on behalf of the Corporation on this day of 13</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2012.</w:t>
      </w:r>
    </w:p>
    <w:p>
      <w:pPr>
        <w:sectPr>
          <w:pgSz w:w="11900" w:h="16838" w:orient="portrait"/>
          <w:cols w:equalWidth="0" w:num="1">
            <w:col w:w="9640"/>
          </w:cols>
          <w:pgMar w:left="1440" w:top="912" w:right="819" w:bottom="1440" w:gutter="0" w:footer="0" w:header="0"/>
        </w:sect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Sean Power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Sean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5387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6"/>
          <w:szCs w:val="16"/>
          <w:color w:val="auto"/>
        </w:rPr>
        <w:t>Title:</w:t>
        <w:tab/>
        <w:t>Chief Financial Officer, Treasurer and</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40"/>
          </w:cols>
          <w:pgMar w:left="1440" w:top="912" w:right="81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00" w:right="520" w:hanging="471"/>
        <w:spacing w:after="0" w:line="264" w:lineRule="auto"/>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right="200" w:hanging="477"/>
        <w:spacing w:after="0" w:line="264" w:lineRule="auto"/>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40" w:hanging="471"/>
        <w:spacing w:after="0" w:line="308" w:lineRule="auto"/>
        <w:tabs>
          <w:tab w:leader="none" w:pos="7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80" w:hanging="477"/>
        <w:spacing w:after="0" w:line="264" w:lineRule="auto"/>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420" w:hanging="471"/>
        <w:spacing w:after="0" w:line="277" w:lineRule="auto"/>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hanging="477"/>
        <w:spacing w:after="0" w:line="277" w:lineRule="auto"/>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Date: August 9, 2012</w:t>
            </w: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60" w:type="dxa"/>
            <w:vAlign w:val="bottom"/>
          </w:tcPr>
          <w:p>
            <w:pPr>
              <w:spacing w:after="0"/>
              <w:rPr>
                <w:sz w:val="16"/>
                <w:szCs w:val="16"/>
                <w:color w:val="auto"/>
              </w:rPr>
            </w:pPr>
          </w:p>
        </w:tc>
        <w:tc>
          <w:tcPr>
            <w:tcW w:w="69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w:t>
            </w:r>
          </w:p>
        </w:tc>
      </w:tr>
      <w:tr>
        <w:trPr>
          <w:trHeight w:val="216"/>
        </w:trPr>
        <w:tc>
          <w:tcPr>
            <w:tcW w:w="44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446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4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00" w:right="520" w:hanging="471"/>
        <w:spacing w:after="0" w:line="264"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right="200" w:hanging="477"/>
        <w:spacing w:after="0" w:line="264"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40" w:hanging="471"/>
        <w:spacing w:after="0" w:line="308" w:lineRule="auto"/>
        <w:tabs>
          <w:tab w:leader="none" w:pos="7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80" w:hanging="477"/>
        <w:spacing w:after="0" w:line="264"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420" w:hanging="471"/>
        <w:spacing w:after="0" w:line="277"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hanging="477"/>
        <w:spacing w:after="0" w:line="277"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Date: August 9, 2012</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58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5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58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5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2012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August 9, 2012</w:t>
            </w: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000" w:type="dxa"/>
            <w:vAlign w:val="bottom"/>
          </w:tcPr>
          <w:p>
            <w:pPr>
              <w:spacing w:after="0"/>
              <w:rPr>
                <w:sz w:val="16"/>
                <w:szCs w:val="16"/>
                <w:color w:val="auto"/>
              </w:rPr>
            </w:pPr>
          </w:p>
        </w:tc>
        <w:tc>
          <w:tcPr>
            <w:tcW w:w="74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0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w:t>
            </w:r>
          </w:p>
        </w:tc>
      </w:tr>
      <w:tr>
        <w:trPr>
          <w:trHeight w:val="216"/>
        </w:trPr>
        <w:tc>
          <w:tcPr>
            <w:tcW w:w="40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400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0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firstLine="360"/>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2012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Date: August 9, 2012</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58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5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58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5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S"/>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2"/>
    </w:lvl>
    <w:lvl w:ilvl="1">
      <w:lvlJc w:val="left"/>
      <w:lvlText w:val="(%2)"/>
      <w:numFmt w:val="lowerLetter"/>
      <w:start w:val="1"/>
    </w:lvl>
  </w:abstractNum>
  <w:abstractNum w:abstractNumId="30">
    <w:nsid w:val="7724C67E"/>
    <w:multiLevelType w:val="hybridMultilevel"/>
    <w:lvl w:ilvl="0">
      <w:lvlJc w:val="left"/>
      <w:lvlText w:val="%1."/>
      <w:numFmt w:val="decimal"/>
      <w:start w:val="3"/>
    </w:lvl>
    <w:lvl w:ilvl="1">
      <w:lvlJc w:val="left"/>
      <w:lvlText w:val="(%2)"/>
      <w:numFmt w:val="lowerLetter"/>
      <w:start w:val="1"/>
    </w:lvl>
  </w:abstractNum>
  <w:abstractNum w:abstractNumId="31">
    <w:nsid w:val="5C482A97"/>
    <w:multiLevelType w:val="hybridMultilevel"/>
    <w:lvl w:ilvl="0">
      <w:lvlJc w:val="left"/>
      <w:lvlText w:val="(%1)"/>
      <w:numFmt w:val="lowerLetter"/>
      <w:start w:val="2"/>
    </w:lvl>
  </w:abstractNum>
  <w:abstractNum w:abstractNumId="32">
    <w:nsid w:val="2463B9E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33">
    <w:nsid w:val="5E884AD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34">
    <w:nsid w:val="51EAD36B"/>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decimal"/>
      <w:start w:val="1"/>
    </w:lvl>
    <w:lvl w:ilvl="1">
      <w:lvlJc w:val="left"/>
      <w:lvlText w:val="(%2)"/>
      <w:numFmt w:val="lowerLetter"/>
      <w:start w:val="8"/>
    </w:lvl>
  </w:abstractNum>
  <w:abstractNum w:abstractNumId="37">
    <w:nsid w:val="153EA438"/>
    <w:multiLevelType w:val="hybridMultilevel"/>
    <w:lvl w:ilvl="0">
      <w:lvlJc w:val="left"/>
      <w:lvlText w:val="%1."/>
      <w:numFmt w:val="decimal"/>
      <w:start w:val="5"/>
    </w:lvl>
    <w:lvl w:ilvl="1">
      <w:lvlJc w:val="left"/>
      <w:lvlText w:val="%2"/>
      <w:numFmt w:val="lowerLetter"/>
      <w:start w:val="1"/>
    </w:lvl>
  </w:abstractNum>
  <w:abstractNum w:abstractNumId="38">
    <w:nsid w:val="3855585C"/>
    <w:multiLevelType w:val="hybridMultilevel"/>
    <w:lvl w:ilvl="0">
      <w:lvlJc w:val="left"/>
      <w:lvlText w:val="%1."/>
      <w:numFmt w:val="decimal"/>
      <w:start w:val="6"/>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2019-12-09T11:12:34Z</dcterms:created>
  <dcterms:modified xsi:type="dcterms:W3CDTF">2019-12-09T11:12:34Z</dcterms:modified>
</cp:coreProperties>
</file>