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gtx20251231_10k.htm"/>
      <w:bookmarkStart w:id="1" w:name="kstgtx20251231_10k"/>
      <w:bookmarkEnd w:id="0"/>
      <w:bookmarkEnd w:id="1"/>
      <w:r>
        <w:rPr/>
        <w:t xml:space="preserve">  </w:t>
      </w:r>
    </w:p>
    <w:p>
      <w:pPr>
        <w:pStyle w:val="TextBody"/>
        <w:bidi w:val="0"/>
        <w:spacing w:before="0" w:after="0"/>
        <w:ind w:left="0" w:right="0" w:hanging="0"/>
        <w:jc w:val="both"/>
        <w:rPr/>
      </w:pPr>
      <w:hyperlink w:anchor="toc">
        <w:r>
          <w:rPr>
            <w:rStyle w:val="InternetLink"/>
            <w:rFonts w:ascii="Times New Roman;Times;serif" w:hAnsi="Times New Roman;Time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UNITED STATES</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SECURITIES AND EXCHANGE COMMISSION</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FORM</w:t>
      </w:r>
      <w:r>
        <w:rPr>
          <w:rFonts w:ascii="Times New Roman" w:hAnsi="Times New Roman"/>
          <w:caps w:val="false"/>
          <w:smallCaps w:val="false"/>
          <w:sz w:val="16"/>
        </w:rPr>
        <w:t> </w:t>
      </w:r>
      <w:r>
        <w:rPr>
          <w:rFonts w:ascii="Times New Roman" w:hAnsi="Times New Roman"/>
          <w:b/>
          <w:caps w:val="false"/>
          <w:smallCaps w:val="false"/>
          <w:sz w:val="16"/>
        </w:rPr>
        <w:t>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6"/>
        </w:rPr>
        <w:t>ANNUAL REPORT PURSUANT TO SECTION</w:t>
      </w:r>
      <w:r>
        <w:rPr>
          <w:rFonts w:ascii="Times New Roman" w:hAnsi="Times New Roman"/>
          <w:caps w:val="false"/>
          <w:smallCaps w:val="false"/>
          <w:sz w:val="16"/>
        </w:rPr>
        <w:t> </w:t>
      </w:r>
      <w:r>
        <w:rPr>
          <w:rFonts w:ascii="Times New Roman" w:hAnsi="Times New Roman"/>
          <w:b/>
          <w:caps w:val="false"/>
          <w:smallCaps w:val="false"/>
          <w:sz w:val="16"/>
        </w:rPr>
        <w:t>13 OR 15(d)</w:t>
      </w:r>
      <w:r>
        <w:rPr>
          <w:rFonts w:ascii="Times New Roman" w:hAnsi="Times New Roman"/>
          <w:caps w:val="false"/>
          <w:smallCaps w:val="false"/>
          <w:sz w:val="16"/>
        </w:rPr>
        <w:t> </w:t>
      </w:r>
      <w:r>
        <w:rPr>
          <w:rFonts w:ascii="Times New Roman" w:hAnsi="Times New Roman"/>
          <w:b/>
          <w:caps w:val="false"/>
          <w:smallCaps w:val="false"/>
          <w:sz w:val="16"/>
        </w:rPr>
        <w:t>OF THE SECURITIES EXCHANGE ACT OF 1934</w:t>
      </w:r>
    </w:p>
    <w:p>
      <w:pPr>
        <w:pStyle w:val="TextBody"/>
        <w:bidi w:val="0"/>
        <w:spacing w:before="0" w:after="0"/>
        <w:ind w:left="0" w:right="0" w:firstLine="360"/>
        <w:jc w:val="center"/>
        <w:rPr>
          <w:rFonts w:ascii="Times New Roman" w:hAnsi="Times New Roman"/>
          <w:caps w:val="false"/>
          <w:smallCaps w:val="false"/>
          <w:sz w:val="16"/>
        </w:rPr>
      </w:pPr>
      <w:r>
        <w:rPr>
          <w:rFonts w:ascii="Times New Roman" w:hAnsi="Times New Roman"/>
          <w:b/>
          <w:caps w:val="false"/>
          <w:smallCaps w:val="false"/>
          <w:sz w:val="16"/>
        </w:rPr>
        <w:t>For the fiscal</w:t>
      </w:r>
      <w:r>
        <w:rPr>
          <w:rFonts w:ascii="Times New Roman" w:hAnsi="Times New Roman"/>
          <w:caps w:val="false"/>
          <w:smallCaps w:val="false"/>
          <w:sz w:val="16"/>
        </w:rPr>
        <w:t> </w:t>
      </w:r>
      <w:r>
        <w:rPr>
          <w:rFonts w:ascii="Times New Roman" w:hAnsi="Times New Roman"/>
          <w:b/>
          <w:caps w:val="false"/>
          <w:smallCaps w:val="false"/>
          <w:sz w:val="16"/>
        </w:rPr>
        <w:t>year ended December 31, 2025.</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6"/>
        </w:rPr>
        <w:t>TRANSITION REPORT PURSUANT TO SECTION</w:t>
      </w:r>
      <w:r>
        <w:rPr>
          <w:rFonts w:ascii="Times New Roman" w:hAnsi="Times New Roman"/>
          <w:caps w:val="false"/>
          <w:smallCaps w:val="false"/>
          <w:sz w:val="16"/>
        </w:rPr>
        <w:t> </w:t>
      </w:r>
      <w:r>
        <w:rPr>
          <w:rFonts w:ascii="Times New Roman" w:hAnsi="Times New Roman"/>
          <w:b/>
          <w:caps w:val="false"/>
          <w:smallCaps w:val="false"/>
          <w:sz w:val="16"/>
        </w:rPr>
        <w:t>13 OR 15(d)</w:t>
      </w:r>
      <w:r>
        <w:rPr>
          <w:rFonts w:ascii="Times New Roman" w:hAnsi="Times New Roman"/>
          <w:caps w:val="false"/>
          <w:smallCaps w:val="false"/>
          <w:sz w:val="16"/>
        </w:rPr>
        <w:t> </w:t>
      </w:r>
      <w:r>
        <w:rPr>
          <w:rFonts w:ascii="Times New Roman" w:hAnsi="Times New Roman"/>
          <w:b/>
          <w:caps w:val="false"/>
          <w:smallCaps w:val="false"/>
          <w:sz w:val="16"/>
        </w:rPr>
        <w:t>OF THE SECURITIES EXCHANGE ACT OF 1934</w:t>
      </w:r>
    </w:p>
    <w:p>
      <w:pPr>
        <w:pStyle w:val="TextBody"/>
        <w:bidi w:val="0"/>
        <w:spacing w:before="0" w:after="0"/>
        <w:ind w:left="0" w:right="0" w:firstLine="360"/>
        <w:jc w:val="center"/>
        <w:rPr>
          <w:rFonts w:ascii="Times New Roman" w:hAnsi="Times New Roman"/>
          <w:b/>
          <w:caps w:val="false"/>
          <w:smallCaps w:val="false"/>
          <w:sz w:val="16"/>
        </w:rPr>
      </w:pPr>
      <w:r>
        <w:rPr>
          <w:rFonts w:ascii="Times New Roman" w:hAnsi="Times New Roman"/>
          <w:b/>
          <w:caps w:val="false"/>
          <w:smallCaps w:val="false"/>
          <w:sz w:val="16"/>
        </w:rPr>
        <w:t>For the transition period from ________ to ________.</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 File Number 1-32639</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TG THERAPEUTICS,</w:t>
      </w:r>
      <w:r>
        <w:rPr>
          <w:rFonts w:ascii="Times New Roman" w:hAnsi="Times New Roman"/>
          <w:caps w:val="false"/>
          <w:smallCaps w:val="false"/>
          <w:sz w:val="16"/>
        </w:rPr>
        <w:t> </w:t>
      </w:r>
      <w:r>
        <w:rPr>
          <w:rFonts w:ascii="Times New Roman" w:hAnsi="Times New Roman"/>
          <w:b/>
          <w:caps w:val="false"/>
          <w:smallCaps w:val="false"/>
          <w:sz w:val="16"/>
        </w:rPr>
        <w:t>INC.</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190"/>
        <w:gridCol w:w="2540"/>
      </w:tblGrid>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Delaware</w:t>
            </w:r>
          </w:p>
        </w:tc>
        <w:tc>
          <w:tcPr>
            <w:tcW w:w="254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36-3898269</w:t>
            </w:r>
          </w:p>
        </w:tc>
      </w:tr>
      <w:tr>
        <w:trPr/>
        <w:tc>
          <w:tcPr>
            <w:tcW w:w="419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 of incorporation or organization)</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 Identification No.)</w:t>
            </w:r>
          </w:p>
        </w:tc>
      </w:tr>
      <w:tr>
        <w:trPr/>
        <w:tc>
          <w:tcPr>
            <w:tcW w:w="419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3020 Carrington Mill Blvd, Suite 475</w:t>
            </w:r>
          </w:p>
        </w:tc>
        <w:tc>
          <w:tcPr>
            <w:tcW w:w="25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Morrisville, North Carolina</w:t>
            </w:r>
          </w:p>
        </w:tc>
        <w:tc>
          <w:tcPr>
            <w:tcW w:w="254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27560</w:t>
            </w:r>
          </w:p>
        </w:tc>
      </w:tr>
      <w:tr>
        <w:trPr/>
        <w:tc>
          <w:tcPr>
            <w:tcW w:w="419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 (212) 554-4484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Securities registered pursuant to Section</w:t>
      </w:r>
      <w:r>
        <w:rPr>
          <w:rFonts w:ascii="Times New Roman" w:hAnsi="Times New Roman"/>
          <w:caps w:val="false"/>
          <w:smallCaps w:val="false"/>
          <w:sz w:val="16"/>
        </w:rPr>
        <w:t> </w:t>
      </w:r>
      <w:r>
        <w:rPr>
          <w:rFonts w:ascii="Times New Roman" w:hAnsi="Times New Roman"/>
          <w:b/>
          <w:caps w:val="false"/>
          <w:smallCaps w:val="false"/>
          <w:sz w:val="16"/>
        </w:rPr>
        <w:t>12(b)</w:t>
      </w:r>
      <w:r>
        <w:rPr>
          <w:rFonts w:ascii="Times New Roman" w:hAnsi="Times New Roman"/>
          <w:caps w:val="false"/>
          <w:smallCaps w:val="false"/>
          <w:sz w:val="16"/>
        </w:rPr>
        <w:t> </w:t>
      </w:r>
      <w:r>
        <w:rPr>
          <w:rFonts w:ascii="Times New Roman" w:hAnsi="Times New Roman"/>
          <w:b/>
          <w:caps w:val="false"/>
          <w:smallCaps w:val="false"/>
          <w:sz w:val="16"/>
        </w:rPr>
        <w:t>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28" w:type="dxa"/>
          <w:left w:w="28" w:type="dxa"/>
          <w:bottom w:w="28" w:type="dxa"/>
          <w:right w:w="0" w:type="dxa"/>
        </w:tblCellMar>
      </w:tblPr>
      <w:tblGrid>
        <w:gridCol w:w="2555"/>
        <w:gridCol w:w="1595"/>
        <w:gridCol w:w="1775"/>
      </w:tblGrid>
      <w:tr>
        <w:trPr/>
        <w:tc>
          <w:tcPr>
            <w:tcW w:w="25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Title of Class</w:t>
            </w:r>
          </w:p>
        </w:tc>
        <w:tc>
          <w:tcPr>
            <w:tcW w:w="15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 xml:space="preserve">Trading Symbol(s) </w:t>
            </w:r>
          </w:p>
        </w:tc>
        <w:tc>
          <w:tcPr>
            <w:tcW w:w="17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 xml:space="preserve">Exchange Name </w:t>
            </w:r>
          </w:p>
        </w:tc>
      </w:tr>
      <w:tr>
        <w:trPr/>
        <w:tc>
          <w:tcPr>
            <w:tcW w:w="2555"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Common Stock, par value $0.001</w:t>
            </w:r>
          </w:p>
        </w:tc>
        <w:tc>
          <w:tcPr>
            <w:tcW w:w="1595"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TGTX</w:t>
            </w:r>
          </w:p>
        </w:tc>
        <w:tc>
          <w:tcPr>
            <w:tcW w:w="17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Securities registered pursuant to Section</w:t>
      </w:r>
      <w:r>
        <w:rPr>
          <w:rFonts w:ascii="Times New Roman" w:hAnsi="Times New Roman"/>
          <w:caps w:val="false"/>
          <w:smallCaps w:val="false"/>
          <w:sz w:val="16"/>
        </w:rPr>
        <w:t> </w:t>
      </w:r>
      <w:r>
        <w:rPr>
          <w:rFonts w:ascii="Times New Roman" w:hAnsi="Times New Roman"/>
          <w:b/>
          <w:caps w:val="false"/>
          <w:smallCaps w:val="false"/>
          <w:sz w:val="16"/>
        </w:rPr>
        <w:t>12(g)</w:t>
      </w:r>
      <w:r>
        <w:rPr>
          <w:rFonts w:ascii="Times New Roman" w:hAnsi="Times New Roman"/>
          <w:caps w:val="false"/>
          <w:smallCaps w:val="false"/>
          <w:sz w:val="16"/>
        </w:rPr>
        <w:t> </w:t>
      </w:r>
      <w:r>
        <w:rPr>
          <w:rFonts w:ascii="Times New Roman" w:hAnsi="Times New Roman"/>
          <w:b/>
          <w:caps w:val="false"/>
          <w:smallCaps w:val="false"/>
          <w:sz w:val="16"/>
        </w:rPr>
        <w:t>of the Act:</w:t>
      </w:r>
      <w:r>
        <w:rPr>
          <w:rFonts w:ascii="Times New Roman" w:hAnsi="Times New Roman"/>
          <w:caps w:val="false"/>
          <w:smallCaps w:val="false"/>
          <w:sz w:val="16"/>
        </w:rPr>
        <w: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60"/>
        <w:gridCol w:w="2135"/>
      </w:tblGrid>
      <w:tr>
        <w:trPr/>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Large accelerated filer ☒</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Accelerated filer ☐</w:t>
            </w:r>
          </w:p>
        </w:tc>
      </w:tr>
      <w:tr>
        <w:trPr/>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Non-accelerated filer ☐</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Smaller reporting company ☐</w:t>
            </w:r>
          </w:p>
        </w:tc>
      </w:tr>
      <w:tr>
        <w:trPr/>
        <w:tc>
          <w:tcPr>
            <w:tcW w:w="17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The aggregate market value of voting common stock held by non-affiliates of the registrant (assuming, for purposes of this calculation, without conceding, that all executive officers and directors are “affiliates”) was approximately $2.5 billion as of June 30, 2024, based on the closing sale price of such stock as reported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There were 159,688,256 shares of the registrant’s common stock, $0.001 par value, outstanding as of February 25, 2026.</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16"/>
        </w:rPr>
      </w:pPr>
      <w:r>
        <w:rPr>
          <w:rFonts w:ascii="Times New Roman" w:hAnsi="Times New Roman"/>
          <w:caps w:val="false"/>
          <w:smallCaps w:val="false"/>
          <w:sz w:val="16"/>
        </w:rPr>
        <w:t>Portions of the registrant’s Proxy Statement for the 2025 Annual Meeting of Stockholders are incorporated by reference in Part III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16"/>
        </w:rPr>
      </w:pPr>
      <w:r>
        <w:rPr>
          <w:rFonts w:ascii="Times New Roman" w:hAnsi="Times New Roman"/>
          <w:caps w:val="false"/>
          <w:smallCaps w:val="false"/>
          <w:sz w:val="16"/>
        </w:rPr>
        <w:t>Auditor Name: KPMG LLP   Auditor Location: New York, NY    Auditor Firm ID: 185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ANNUAL REPORT ON FORM</w:t>
      </w:r>
      <w:r>
        <w:rPr>
          <w:rFonts w:ascii="Times New Roman" w:hAnsi="Times New Roman"/>
          <w:caps w:val="false"/>
          <w:smallCaps w:val="false"/>
          <w:sz w:val="20"/>
        </w:rPr>
        <w:t> </w:t>
      </w:r>
      <w:r>
        <w:rPr>
          <w:rFonts w:ascii="Times New Roman" w:hAnsi="Times New Roman"/>
          <w:b/>
          <w:caps w:val="false"/>
          <w:smallCaps w:val="false"/>
          <w:sz w:val="20"/>
        </w:rPr>
        <w:t>10-K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FISCAL</w:t>
      </w:r>
      <w:r>
        <w:rPr>
          <w:rFonts w:ascii="Times New Roman" w:hAnsi="Times New Roman"/>
          <w:caps w:val="false"/>
          <w:smallCaps w:val="false"/>
          <w:sz w:val="20"/>
        </w:rPr>
        <w:t> </w:t>
      </w:r>
      <w:r>
        <w:rPr>
          <w:rFonts w:ascii="Times New Roman" w:hAnsi="Times New Roman"/>
          <w:b/>
          <w:caps w:val="false"/>
          <w:smallCaps w:val="false"/>
          <w:sz w:val="20"/>
        </w:rPr>
        <w:t xml:space="preserve">YEAR ENDED </w:t>
      </w:r>
      <w:r>
        <w:rPr>
          <w:rFonts w:ascii="Times New Roman" w:hAnsi="Times New Roman"/>
          <w:b/>
          <w:caps/>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41"/>
        <w:gridCol w:w="8823"/>
        <w:gridCol w:w="441"/>
      </w:tblGrid>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4" w:type="dxa"/>
            <w:gridSpan w:val="2"/>
            <w:tcBorders/>
            <w:vAlign w:val="center"/>
          </w:tcPr>
          <w:p>
            <w:pPr>
              <w:pStyle w:val="TableContents"/>
              <w:bidi w:val="0"/>
              <w:spacing w:before="0" w:after="0"/>
              <w:ind w:left="0" w:right="0" w:hanging="0"/>
              <w:jc w:val="both"/>
              <w:rPr/>
            </w:pPr>
            <w:hyperlink w:anchor="special">
              <w:r>
                <w:rPr>
                  <w:rStyle w:val="InternetLink"/>
                  <w:rFonts w:ascii="Times New Roman" w:hAnsi="Times New Roman"/>
                  <w:caps w:val="false"/>
                  <w:smallCaps w:val="false"/>
                  <w:sz w:val="20"/>
                </w:rPr>
                <w:t>SPECIAL CAUTIONARY NOTICE REGARDING FORWARD-LOOKING STATEMENTS</w:t>
              </w:r>
            </w:hyperlink>
          </w:p>
        </w:tc>
        <w:tc>
          <w:tcPr>
            <w:tcW w:w="441" w:type="dxa"/>
            <w:tcBorders/>
            <w:vAlign w:val="center"/>
          </w:tcPr>
          <w:p>
            <w:pPr>
              <w:pStyle w:val="TableContents"/>
              <w:bidi w:val="0"/>
              <w:spacing w:before="0" w:after="0"/>
              <w:ind w:left="0" w:right="0" w:hanging="0"/>
              <w:jc w:val="center"/>
              <w:rPr/>
            </w:pPr>
            <w:hyperlink w:anchor="special">
              <w:r>
                <w:rPr>
                  <w:rStyle w:val="InternetLink"/>
                  <w:rFonts w:ascii="Times New Roman" w:hAnsi="Times New Roman"/>
                  <w:caps w:val="false"/>
                  <w:smallCaps w:val="false"/>
                  <w:sz w:val="20"/>
                </w:rPr>
                <w:t>2</w:t>
              </w:r>
            </w:hyperlink>
          </w:p>
        </w:tc>
      </w:tr>
      <w:tr>
        <w:trPr/>
        <w:tc>
          <w:tcPr>
            <w:tcW w:w="9764" w:type="dxa"/>
            <w:gridSpan w:val="2"/>
            <w:tcBorders/>
            <w:vAlign w:val="center"/>
          </w:tcPr>
          <w:p>
            <w:pPr>
              <w:pStyle w:val="TableContents"/>
              <w:bidi w:val="0"/>
              <w:spacing w:before="0" w:after="0"/>
              <w:ind w:left="0" w:right="0" w:hanging="0"/>
              <w:jc w:val="both"/>
              <w:rPr/>
            </w:pPr>
            <w:hyperlink w:anchor="summary">
              <w:r>
                <w:rPr>
                  <w:rStyle w:val="InternetLink"/>
                  <w:rFonts w:ascii="Times New Roman" w:hAnsi="Times New Roman"/>
                  <w:caps w:val="false"/>
                  <w:smallCaps w:val="false"/>
                  <w:sz w:val="20"/>
                </w:rPr>
                <w:t>SUMMARY RISK FACTORS</w:t>
              </w:r>
            </w:hyperlink>
          </w:p>
        </w:tc>
        <w:tc>
          <w:tcPr>
            <w:tcW w:w="441" w:type="dxa"/>
            <w:tcBorders/>
            <w:vAlign w:val="center"/>
          </w:tcPr>
          <w:p>
            <w:pPr>
              <w:pStyle w:val="TableContents"/>
              <w:bidi w:val="0"/>
              <w:spacing w:before="0" w:after="0"/>
              <w:ind w:left="0" w:right="0" w:hanging="0"/>
              <w:jc w:val="center"/>
              <w:rPr/>
            </w:pPr>
            <w:hyperlink w:anchor="summary">
              <w:r>
                <w:rPr>
                  <w:rStyle w:val="InternetLink"/>
                  <w:rFonts w:ascii="Times New Roman" w:hAnsi="Times New Roman"/>
                  <w:caps w:val="false"/>
                  <w:smallCaps w:val="false"/>
                  <w:sz w:val="20"/>
                </w:rPr>
                <w:t>3</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part1">
              <w:r>
                <w:rPr>
                  <w:rStyle w:val="InternetLink"/>
                  <w:rFonts w:ascii="Times New Roman" w:hAnsi="Times New Roman"/>
                  <w:b/>
                  <w:caps w:val="false"/>
                  <w:smallCaps w:val="false"/>
                  <w:sz w:val="20"/>
                </w:rPr>
                <w:t>PART</w:t>
              </w:r>
            </w:hyperlink>
            <w:hyperlink w:anchor="part1">
              <w:r>
                <w:rPr>
                  <w:rStyle w:val="InternetLink"/>
                  <w:rFonts w:ascii="Times New Roman" w:hAnsi="Times New Roman"/>
                  <w:caps w:val="false"/>
                  <w:smallCaps w:val="false"/>
                  <w:sz w:val="20"/>
                </w:rPr>
                <w:t> </w:t>
              </w:r>
            </w:hyperlink>
            <w:hyperlink w:anchor="part1">
              <w:r>
                <w:rPr>
                  <w:rStyle w:val="InternetLink"/>
                  <w:rFonts w:ascii="Times New Roman" w:hAnsi="Times New Roman"/>
                  <w:b/>
                  <w:caps w:val="false"/>
                  <w:smallCaps w:val="false"/>
                  <w:sz w:val="20"/>
                </w:rPr>
                <w:t>I</w:t>
              </w:r>
            </w:hyperlink>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rPr>
                <w:t>5</w:t>
              </w:r>
            </w:hyperlink>
          </w:p>
        </w:tc>
      </w:tr>
      <w:tr>
        <w:trPr/>
        <w:tc>
          <w:tcPr>
            <w:tcW w:w="941" w:type="dxa"/>
            <w:tcBorders/>
            <w:vAlign w:val="center"/>
          </w:tcPr>
          <w:p>
            <w:pPr>
              <w:pStyle w:val="TableContents"/>
              <w:bidi w:val="0"/>
              <w:spacing w:before="0" w:after="283"/>
              <w:jc w:val="left"/>
              <w:rPr/>
            </w:pPr>
            <w:r>
              <w:rPr/>
              <w:t> </w:t>
            </w:r>
          </w:p>
        </w:tc>
        <w:tc>
          <w:tcPr>
            <w:tcW w:w="8823"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41" w:type="dxa"/>
            <w:tcBorders/>
            <w:vAlign w:val="center"/>
          </w:tcPr>
          <w:p>
            <w:pPr>
              <w:pStyle w:val="TableContents"/>
              <w:bidi w:val="0"/>
              <w:spacing w:before="0" w:after="0"/>
              <w:ind w:left="0" w:right="0" w:hanging="0"/>
              <w:jc w:val="both"/>
              <w:rPr/>
            </w:pPr>
            <w:hyperlink w:anchor="item1">
              <w:r>
                <w:rPr>
                  <w:rStyle w:val="InternetLink"/>
                  <w:rFonts w:ascii="Times New Roman" w:hAnsi="Times New Roman"/>
                  <w:caps w:val="false"/>
                  <w:smallCaps w:val="false"/>
                  <w:sz w:val="20"/>
                </w:rPr>
                <w:t>ITEM 1</w:t>
              </w:r>
            </w:hyperlink>
          </w:p>
        </w:tc>
        <w:tc>
          <w:tcPr>
            <w:tcW w:w="8823" w:type="dxa"/>
            <w:tcBorders/>
            <w:vAlign w:val="center"/>
          </w:tcPr>
          <w:p>
            <w:pPr>
              <w:pStyle w:val="TableContents"/>
              <w:bidi w:val="0"/>
              <w:spacing w:before="0" w:after="0"/>
              <w:ind w:left="0" w:right="0" w:hanging="0"/>
              <w:jc w:val="both"/>
              <w:rPr/>
            </w:pPr>
            <w:hyperlink w:anchor="item1">
              <w:r>
                <w:rPr>
                  <w:rStyle w:val="InternetLink"/>
                  <w:rFonts w:ascii="Times New Roman" w:hAnsi="Times New Roman"/>
                  <w:caps w:val="false"/>
                  <w:smallCaps w:val="false"/>
                  <w:sz w:val="20"/>
                </w:rPr>
                <w:t>Business</w:t>
              </w:r>
            </w:hyperlink>
          </w:p>
        </w:tc>
        <w:tc>
          <w:tcPr>
            <w:tcW w:w="441" w:type="dxa"/>
            <w:tcBorders/>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rPr>
                <w:t>5</w:t>
              </w:r>
            </w:hyperlink>
          </w:p>
        </w:tc>
      </w:tr>
      <w:tr>
        <w:trPr/>
        <w:tc>
          <w:tcPr>
            <w:tcW w:w="941" w:type="dxa"/>
            <w:tcBorders/>
            <w:vAlign w:val="center"/>
          </w:tcPr>
          <w:p>
            <w:pPr>
              <w:pStyle w:val="TableContents"/>
              <w:bidi w:val="0"/>
              <w:spacing w:before="0" w:after="0"/>
              <w:ind w:left="0" w:right="0" w:hanging="0"/>
              <w:jc w:val="both"/>
              <w:rPr/>
            </w:pPr>
            <w:hyperlink w:anchor="item1a">
              <w:r>
                <w:rPr>
                  <w:rStyle w:val="InternetLink"/>
                  <w:rFonts w:ascii="Times New Roman" w:hAnsi="Times New Roman"/>
                  <w:caps w:val="false"/>
                  <w:smallCaps w:val="false"/>
                  <w:sz w:val="20"/>
                </w:rPr>
                <w:t>ITEM 1A</w:t>
              </w:r>
            </w:hyperlink>
          </w:p>
        </w:tc>
        <w:tc>
          <w:tcPr>
            <w:tcW w:w="8823" w:type="dxa"/>
            <w:tcBorders/>
            <w:vAlign w:val="center"/>
          </w:tcPr>
          <w:p>
            <w:pPr>
              <w:pStyle w:val="TableContents"/>
              <w:bidi w:val="0"/>
              <w:spacing w:before="0" w:after="0"/>
              <w:ind w:left="0" w:right="0" w:hanging="0"/>
              <w:jc w:val="both"/>
              <w:rPr/>
            </w:pPr>
            <w:hyperlink w:anchor="item1a">
              <w:r>
                <w:rPr>
                  <w:rStyle w:val="InternetLink"/>
                  <w:rFonts w:ascii="Times New Roman" w:hAnsi="Times New Roman"/>
                  <w:caps w:val="false"/>
                  <w:smallCaps w:val="false"/>
                  <w:sz w:val="20"/>
                </w:rPr>
                <w:t>Risk Factors</w:t>
              </w:r>
            </w:hyperlink>
          </w:p>
        </w:tc>
        <w:tc>
          <w:tcPr>
            <w:tcW w:w="441" w:type="dxa"/>
            <w:tcBorders/>
            <w:vAlign w:val="center"/>
          </w:tcPr>
          <w:p>
            <w:pPr>
              <w:pStyle w:val="TableContents"/>
              <w:bidi w:val="0"/>
              <w:spacing w:before="0" w:after="0"/>
              <w:ind w:left="0" w:right="0" w:hanging="0"/>
              <w:jc w:val="center"/>
              <w:rPr/>
            </w:pPr>
            <w:hyperlink w:anchor="item1a">
              <w:r>
                <w:rPr>
                  <w:rStyle w:val="InternetLink"/>
                  <w:rFonts w:ascii="Times New Roman" w:hAnsi="Times New Roman"/>
                  <w:caps w:val="false"/>
                  <w:smallCaps w:val="false"/>
                  <w:sz w:val="20"/>
                </w:rPr>
                <w:t>17</w:t>
              </w:r>
            </w:hyperlink>
          </w:p>
        </w:tc>
      </w:tr>
      <w:tr>
        <w:trPr/>
        <w:tc>
          <w:tcPr>
            <w:tcW w:w="941" w:type="dxa"/>
            <w:tcBorders/>
            <w:vAlign w:val="center"/>
          </w:tcPr>
          <w:p>
            <w:pPr>
              <w:pStyle w:val="TableContents"/>
              <w:bidi w:val="0"/>
              <w:spacing w:before="0" w:after="0"/>
              <w:ind w:left="0" w:right="0" w:hanging="0"/>
              <w:jc w:val="both"/>
              <w:rPr/>
            </w:pPr>
            <w:hyperlink w:anchor="item1b">
              <w:r>
                <w:rPr>
                  <w:rStyle w:val="InternetLink"/>
                  <w:rFonts w:ascii="Times New Roman" w:hAnsi="Times New Roman"/>
                  <w:caps w:val="false"/>
                  <w:smallCaps w:val="false"/>
                  <w:sz w:val="20"/>
                </w:rPr>
                <w:t>ITEM 1B</w:t>
              </w:r>
            </w:hyperlink>
          </w:p>
        </w:tc>
        <w:tc>
          <w:tcPr>
            <w:tcW w:w="8823" w:type="dxa"/>
            <w:tcBorders/>
            <w:vAlign w:val="center"/>
          </w:tcPr>
          <w:p>
            <w:pPr>
              <w:pStyle w:val="TableContents"/>
              <w:bidi w:val="0"/>
              <w:spacing w:before="0" w:after="0"/>
              <w:ind w:left="0" w:right="0" w:hanging="0"/>
              <w:jc w:val="both"/>
              <w:rPr/>
            </w:pPr>
            <w:hyperlink w:anchor="item1b">
              <w:r>
                <w:rPr>
                  <w:rStyle w:val="InternetLink"/>
                  <w:rFonts w:ascii="Times New Roman" w:hAnsi="Times New Roman"/>
                  <w:caps w:val="false"/>
                  <w:smallCaps w:val="false"/>
                  <w:sz w:val="20"/>
                </w:rPr>
                <w:t>Unresolved Staff Comments</w:t>
              </w:r>
            </w:hyperlink>
          </w:p>
        </w:tc>
        <w:tc>
          <w:tcPr>
            <w:tcW w:w="441" w:type="dxa"/>
            <w:tcBorders/>
            <w:vAlign w:val="center"/>
          </w:tcPr>
          <w:p>
            <w:pPr>
              <w:pStyle w:val="TableContents"/>
              <w:bidi w:val="0"/>
              <w:spacing w:before="0" w:after="0"/>
              <w:ind w:left="0" w:right="0" w:hanging="0"/>
              <w:jc w:val="center"/>
              <w:rPr/>
            </w:pPr>
            <w:hyperlink w:anchor="item1b">
              <w:r>
                <w:rPr>
                  <w:rStyle w:val="InternetLink"/>
                  <w:rFonts w:ascii="Times New Roman" w:hAnsi="Times New Roman"/>
                  <w:caps w:val="false"/>
                  <w:smallCaps w:val="false"/>
                  <w:sz w:val="20"/>
                </w:rPr>
                <w:t>54</w:t>
              </w:r>
            </w:hyperlink>
          </w:p>
        </w:tc>
      </w:tr>
      <w:tr>
        <w:trPr/>
        <w:tc>
          <w:tcPr>
            <w:tcW w:w="941" w:type="dxa"/>
            <w:tcBorders/>
            <w:vAlign w:val="center"/>
          </w:tcPr>
          <w:p>
            <w:pPr>
              <w:pStyle w:val="TableContents"/>
              <w:bidi w:val="0"/>
              <w:spacing w:before="0" w:after="283"/>
              <w:jc w:val="left"/>
              <w:rPr/>
            </w:pPr>
            <w:hyperlink w:anchor="item1c">
              <w:r>
                <w:rPr>
                  <w:rStyle w:val="InternetLink"/>
                </w:rPr>
                <w:t>ITEM 1C</w:t>
              </w:r>
            </w:hyperlink>
          </w:p>
        </w:tc>
        <w:tc>
          <w:tcPr>
            <w:tcW w:w="8823" w:type="dxa"/>
            <w:tcBorders/>
            <w:vAlign w:val="center"/>
          </w:tcPr>
          <w:p>
            <w:pPr>
              <w:pStyle w:val="TableContents"/>
              <w:bidi w:val="0"/>
              <w:spacing w:before="0" w:after="283"/>
              <w:jc w:val="left"/>
              <w:rPr/>
            </w:pPr>
            <w:hyperlink w:anchor="item1c">
              <w:r>
                <w:rPr>
                  <w:rStyle w:val="InternetLink"/>
                  <w:u w:val="single"/>
                </w:rPr>
                <w:t>Cybersecurity</w:t>
              </w:r>
            </w:hyperlink>
          </w:p>
        </w:tc>
        <w:tc>
          <w:tcPr>
            <w:tcW w:w="441" w:type="dxa"/>
            <w:tcBorders/>
            <w:vAlign w:val="center"/>
          </w:tcPr>
          <w:p>
            <w:pPr>
              <w:pStyle w:val="TableContents"/>
              <w:bidi w:val="0"/>
              <w:spacing w:before="0" w:after="283"/>
              <w:jc w:val="center"/>
              <w:rPr/>
            </w:pPr>
            <w:hyperlink w:anchor="item1c">
              <w:r>
                <w:rPr>
                  <w:rStyle w:val="InternetLink"/>
                </w:rPr>
                <w:t>54</w:t>
              </w:r>
            </w:hyperlink>
          </w:p>
        </w:tc>
      </w:tr>
      <w:tr>
        <w:trPr/>
        <w:tc>
          <w:tcPr>
            <w:tcW w:w="941" w:type="dxa"/>
            <w:tcBorders/>
            <w:vAlign w:val="center"/>
          </w:tcPr>
          <w:p>
            <w:pPr>
              <w:pStyle w:val="TableContents"/>
              <w:bidi w:val="0"/>
              <w:spacing w:before="0" w:after="0"/>
              <w:ind w:left="0" w:right="0" w:hanging="0"/>
              <w:jc w:val="both"/>
              <w:rPr/>
            </w:pPr>
            <w:hyperlink w:anchor="item2">
              <w:r>
                <w:rPr>
                  <w:rStyle w:val="InternetLink"/>
                  <w:rFonts w:ascii="Times New Roman" w:hAnsi="Times New Roman"/>
                  <w:caps w:val="false"/>
                  <w:smallCaps w:val="false"/>
                  <w:sz w:val="20"/>
                </w:rPr>
                <w:t>ITEM 2</w:t>
              </w:r>
            </w:hyperlink>
          </w:p>
        </w:tc>
        <w:tc>
          <w:tcPr>
            <w:tcW w:w="8823" w:type="dxa"/>
            <w:tcBorders/>
            <w:vAlign w:val="center"/>
          </w:tcPr>
          <w:p>
            <w:pPr>
              <w:pStyle w:val="TableContents"/>
              <w:bidi w:val="0"/>
              <w:spacing w:before="0" w:after="0"/>
              <w:ind w:left="0" w:right="0" w:hanging="0"/>
              <w:jc w:val="both"/>
              <w:rPr/>
            </w:pPr>
            <w:hyperlink w:anchor="item2">
              <w:r>
                <w:rPr>
                  <w:rStyle w:val="InternetLink"/>
                  <w:rFonts w:ascii="Times New Roman" w:hAnsi="Times New Roman"/>
                  <w:caps w:val="false"/>
                  <w:smallCaps w:val="false"/>
                  <w:sz w:val="20"/>
                </w:rPr>
                <w:t>Properties</w:t>
              </w:r>
            </w:hyperlink>
          </w:p>
        </w:tc>
        <w:tc>
          <w:tcPr>
            <w:tcW w:w="441"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caps w:val="false"/>
                  <w:smallCaps w:val="false"/>
                  <w:sz w:val="20"/>
                </w:rPr>
                <w:t>54</w:t>
              </w:r>
            </w:hyperlink>
          </w:p>
        </w:tc>
      </w:tr>
      <w:tr>
        <w:trPr/>
        <w:tc>
          <w:tcPr>
            <w:tcW w:w="941" w:type="dxa"/>
            <w:tcBorders/>
            <w:vAlign w:val="center"/>
          </w:tcPr>
          <w:p>
            <w:pPr>
              <w:pStyle w:val="TableContents"/>
              <w:bidi w:val="0"/>
              <w:spacing w:before="0" w:after="0"/>
              <w:ind w:left="0" w:right="0" w:hanging="0"/>
              <w:jc w:val="both"/>
              <w:rPr/>
            </w:pPr>
            <w:hyperlink w:anchor="item3">
              <w:r>
                <w:rPr>
                  <w:rStyle w:val="InternetLink"/>
                  <w:rFonts w:ascii="Times New Roman" w:hAnsi="Times New Roman"/>
                  <w:caps w:val="false"/>
                  <w:smallCaps w:val="false"/>
                  <w:sz w:val="20"/>
                </w:rPr>
                <w:t>ITEM 3</w:t>
              </w:r>
            </w:hyperlink>
          </w:p>
        </w:tc>
        <w:tc>
          <w:tcPr>
            <w:tcW w:w="8823" w:type="dxa"/>
            <w:tcBorders/>
            <w:vAlign w:val="center"/>
          </w:tcPr>
          <w:p>
            <w:pPr>
              <w:pStyle w:val="TableContents"/>
              <w:bidi w:val="0"/>
              <w:spacing w:before="0" w:after="0"/>
              <w:ind w:left="0" w:right="0" w:hanging="0"/>
              <w:jc w:val="both"/>
              <w:rPr/>
            </w:pPr>
            <w:hyperlink w:anchor="item3">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0"/>
              <w:ind w:left="0" w:right="0" w:hanging="0"/>
              <w:jc w:val="center"/>
              <w:rPr/>
            </w:pPr>
            <w:hyperlink w:anchor="item3">
              <w:r>
                <w:rPr>
                  <w:rStyle w:val="InternetLink"/>
                  <w:rFonts w:ascii="Times New Roman" w:hAnsi="Times New Roman"/>
                  <w:caps w:val="false"/>
                  <w:smallCaps w:val="false"/>
                  <w:sz w:val="20"/>
                </w:rPr>
                <w:t>54</w:t>
              </w:r>
            </w:hyperlink>
          </w:p>
        </w:tc>
      </w:tr>
      <w:tr>
        <w:trPr/>
        <w:tc>
          <w:tcPr>
            <w:tcW w:w="941" w:type="dxa"/>
            <w:tcBorders/>
            <w:vAlign w:val="center"/>
          </w:tcPr>
          <w:p>
            <w:pPr>
              <w:pStyle w:val="TableContents"/>
              <w:bidi w:val="0"/>
              <w:spacing w:before="0" w:after="0"/>
              <w:ind w:left="0" w:right="0" w:hanging="0"/>
              <w:jc w:val="both"/>
              <w:rPr/>
            </w:pPr>
            <w:hyperlink w:anchor="item4">
              <w:r>
                <w:rPr>
                  <w:rStyle w:val="InternetLink"/>
                  <w:rFonts w:ascii="Times New Roman" w:hAnsi="Times New Roman"/>
                  <w:caps w:val="false"/>
                  <w:smallCaps w:val="false"/>
                  <w:sz w:val="20"/>
                </w:rPr>
                <w:t>ITEM 4</w:t>
              </w:r>
            </w:hyperlink>
          </w:p>
        </w:tc>
        <w:tc>
          <w:tcPr>
            <w:tcW w:w="8823" w:type="dxa"/>
            <w:tcBorders/>
            <w:vAlign w:val="center"/>
          </w:tcPr>
          <w:p>
            <w:pPr>
              <w:pStyle w:val="TableContents"/>
              <w:bidi w:val="0"/>
              <w:spacing w:before="0" w:after="0"/>
              <w:ind w:left="0" w:right="0" w:hanging="0"/>
              <w:jc w:val="both"/>
              <w:rPr/>
            </w:pPr>
            <w:hyperlink w:anchor="item4">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0"/>
              <w:ind w:left="0" w:right="0" w:hanging="0"/>
              <w:jc w:val="center"/>
              <w:rPr/>
            </w:pPr>
            <w:hyperlink w:anchor="item4">
              <w:r>
                <w:rPr>
                  <w:rStyle w:val="InternetLink"/>
                  <w:rFonts w:ascii="Times New Roman" w:hAnsi="Times New Roman"/>
                  <w:caps w:val="false"/>
                  <w:smallCaps w:val="false"/>
                  <w:sz w:val="20"/>
                </w:rPr>
                <w:t>54</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part2">
              <w:r>
                <w:rPr>
                  <w:rStyle w:val="InternetLink"/>
                  <w:rFonts w:ascii="Times New Roman" w:hAnsi="Times New Roman"/>
                  <w:b/>
                  <w:caps w:val="false"/>
                  <w:smallCaps w:val="false"/>
                  <w:sz w:val="20"/>
                </w:rPr>
                <w:t>PART II</w:t>
              </w:r>
            </w:hyperlink>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rPr>
                <w:t>55</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item5">
              <w:r>
                <w:rPr>
                  <w:rStyle w:val="InternetLink"/>
                  <w:rFonts w:ascii="Times New Roman" w:hAnsi="Times New Roman"/>
                  <w:caps w:val="false"/>
                  <w:smallCaps w:val="false"/>
                  <w:sz w:val="20"/>
                </w:rPr>
                <w:t>ITEM 5</w:t>
              </w:r>
            </w:hyperlink>
          </w:p>
        </w:tc>
        <w:tc>
          <w:tcPr>
            <w:tcW w:w="8823" w:type="dxa"/>
            <w:tcBorders/>
            <w:vAlign w:val="center"/>
          </w:tcPr>
          <w:p>
            <w:pPr>
              <w:pStyle w:val="TableContents"/>
              <w:bidi w:val="0"/>
              <w:spacing w:before="0" w:after="0"/>
              <w:ind w:left="0" w:right="0" w:hanging="0"/>
              <w:jc w:val="both"/>
              <w:rPr/>
            </w:pPr>
            <w:hyperlink w:anchor="item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center"/>
              <w:rPr/>
            </w:pPr>
            <w:hyperlink w:anchor="item5">
              <w:r>
                <w:rPr>
                  <w:rStyle w:val="InternetLink"/>
                  <w:rFonts w:ascii="Times New Roman" w:hAnsi="Times New Roman"/>
                  <w:caps w:val="false"/>
                  <w:smallCaps w:val="false"/>
                  <w:sz w:val="20"/>
                </w:rPr>
                <w:t>55</w:t>
              </w:r>
            </w:hyperlink>
          </w:p>
        </w:tc>
      </w:tr>
      <w:tr>
        <w:trPr/>
        <w:tc>
          <w:tcPr>
            <w:tcW w:w="941" w:type="dxa"/>
            <w:tcBorders/>
            <w:vAlign w:val="center"/>
          </w:tcPr>
          <w:p>
            <w:pPr>
              <w:pStyle w:val="TableContents"/>
              <w:bidi w:val="0"/>
              <w:spacing w:before="0" w:after="0"/>
              <w:ind w:left="0" w:right="0" w:hanging="0"/>
              <w:jc w:val="both"/>
              <w:rPr/>
            </w:pPr>
            <w:hyperlink w:anchor="item6">
              <w:r>
                <w:rPr>
                  <w:rStyle w:val="InternetLink"/>
                  <w:rFonts w:ascii="Times New Roman" w:hAnsi="Times New Roman"/>
                  <w:caps w:val="false"/>
                  <w:smallCaps w:val="false"/>
                  <w:sz w:val="20"/>
                </w:rPr>
                <w:t>ITEM 6</w:t>
              </w:r>
            </w:hyperlink>
          </w:p>
        </w:tc>
        <w:tc>
          <w:tcPr>
            <w:tcW w:w="8823" w:type="dxa"/>
            <w:tcBorders/>
            <w:vAlign w:val="center"/>
          </w:tcPr>
          <w:p>
            <w:pPr>
              <w:pStyle w:val="TableContents"/>
              <w:bidi w:val="0"/>
              <w:spacing w:before="0" w:after="0"/>
              <w:ind w:left="0" w:right="0" w:hanging="0"/>
              <w:jc w:val="both"/>
              <w:rPr/>
            </w:pPr>
            <w:hyperlink w:anchor="item6">
              <w:r>
                <w:rPr>
                  <w:rStyle w:val="InternetLink"/>
                  <w:rFonts w:ascii="Times New Roman" w:hAnsi="Times New Roman"/>
                  <w:caps w:val="false"/>
                  <w:smallCaps w:val="false"/>
                  <w:sz w:val="20"/>
                </w:rPr>
                <w:t>Removed and Reserved</w:t>
              </w:r>
            </w:hyperlink>
          </w:p>
        </w:tc>
        <w:tc>
          <w:tcPr>
            <w:tcW w:w="441" w:type="dxa"/>
            <w:tcBorders/>
            <w:vAlign w:val="center"/>
          </w:tcPr>
          <w:p>
            <w:pPr>
              <w:pStyle w:val="TableContents"/>
              <w:bidi w:val="0"/>
              <w:spacing w:before="0" w:after="0"/>
              <w:ind w:left="0" w:right="0" w:hanging="0"/>
              <w:jc w:val="center"/>
              <w:rPr/>
            </w:pPr>
            <w:hyperlink w:anchor="item6">
              <w:r>
                <w:rPr>
                  <w:rStyle w:val="InternetLink"/>
                  <w:rFonts w:ascii="Times New Roman" w:hAnsi="Times New Roman"/>
                  <w:caps w:val="false"/>
                  <w:smallCaps w:val="false"/>
                  <w:sz w:val="20"/>
                </w:rPr>
                <w:t>56</w:t>
              </w:r>
            </w:hyperlink>
          </w:p>
        </w:tc>
      </w:tr>
      <w:tr>
        <w:trPr/>
        <w:tc>
          <w:tcPr>
            <w:tcW w:w="941" w:type="dxa"/>
            <w:tcBorders/>
            <w:vAlign w:val="center"/>
          </w:tcPr>
          <w:p>
            <w:pPr>
              <w:pStyle w:val="TableContents"/>
              <w:bidi w:val="0"/>
              <w:spacing w:before="0" w:after="0"/>
              <w:ind w:left="0" w:right="0" w:hanging="0"/>
              <w:jc w:val="both"/>
              <w:rPr/>
            </w:pPr>
            <w:hyperlink w:anchor="item7">
              <w:r>
                <w:rPr>
                  <w:rStyle w:val="InternetLink"/>
                  <w:rFonts w:ascii="Times New Roman" w:hAnsi="Times New Roman"/>
                  <w:caps w:val="false"/>
                  <w:smallCaps w:val="false"/>
                  <w:sz w:val="20"/>
                </w:rPr>
                <w:t>ITEM 7</w:t>
              </w:r>
            </w:hyperlink>
          </w:p>
        </w:tc>
        <w:tc>
          <w:tcPr>
            <w:tcW w:w="8823" w:type="dxa"/>
            <w:tcBorders/>
            <w:vAlign w:val="center"/>
          </w:tcPr>
          <w:p>
            <w:pPr>
              <w:pStyle w:val="TableContents"/>
              <w:bidi w:val="0"/>
              <w:spacing w:before="0" w:after="0"/>
              <w:ind w:left="0" w:right="0" w:hanging="0"/>
              <w:jc w:val="both"/>
              <w:rPr/>
            </w:pPr>
            <w:hyperlink w:anchor="item7">
              <w:r>
                <w:rPr>
                  <w:rStyle w:val="InternetLink"/>
                  <w:rFonts w:ascii="Times New Roman" w:hAnsi="Times New Roman"/>
                  <w:caps w:val="false"/>
                  <w:smallCaps w:val="false"/>
                  <w:sz w:val="20"/>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center"/>
              <w:rPr/>
            </w:pPr>
            <w:hyperlink w:anchor="item7">
              <w:r>
                <w:rPr>
                  <w:rStyle w:val="InternetLink"/>
                  <w:rFonts w:ascii="Times New Roman" w:hAnsi="Times New Roman"/>
                  <w:caps w:val="false"/>
                  <w:smallCaps w:val="false"/>
                  <w:sz w:val="20"/>
                </w:rPr>
                <w:t>56</w:t>
              </w:r>
            </w:hyperlink>
          </w:p>
        </w:tc>
      </w:tr>
      <w:tr>
        <w:trPr/>
        <w:tc>
          <w:tcPr>
            <w:tcW w:w="941" w:type="dxa"/>
            <w:tcBorders/>
            <w:vAlign w:val="center"/>
          </w:tcPr>
          <w:p>
            <w:pPr>
              <w:pStyle w:val="TableContents"/>
              <w:bidi w:val="0"/>
              <w:spacing w:before="0" w:after="0"/>
              <w:ind w:left="0" w:right="0" w:hanging="0"/>
              <w:jc w:val="both"/>
              <w:rPr/>
            </w:pPr>
            <w:hyperlink w:anchor="item7a">
              <w:r>
                <w:rPr>
                  <w:rStyle w:val="InternetLink"/>
                  <w:rFonts w:ascii="Times New Roman" w:hAnsi="Times New Roman"/>
                  <w:caps w:val="false"/>
                  <w:smallCaps w:val="false"/>
                  <w:sz w:val="20"/>
                </w:rPr>
                <w:t>ITEM 7A</w:t>
              </w:r>
            </w:hyperlink>
          </w:p>
        </w:tc>
        <w:tc>
          <w:tcPr>
            <w:tcW w:w="8823" w:type="dxa"/>
            <w:tcBorders/>
            <w:vAlign w:val="center"/>
          </w:tcPr>
          <w:p>
            <w:pPr>
              <w:pStyle w:val="TableContents"/>
              <w:bidi w:val="0"/>
              <w:spacing w:before="0" w:after="0"/>
              <w:ind w:left="0" w:right="0" w:hanging="0"/>
              <w:jc w:val="both"/>
              <w:rPr/>
            </w:pPr>
            <w:hyperlink w:anchor="item7a">
              <w:r>
                <w:rPr>
                  <w:rStyle w:val="InternetLink"/>
                  <w:rFonts w:ascii="Times New Roman" w:hAnsi="Times New Roman"/>
                  <w:caps w:val="false"/>
                  <w:smallCaps w:val="false"/>
                  <w:sz w:val="20"/>
                </w:rPr>
                <w:t>Quantitative and Qualitative Disclosure About Market Risk</w:t>
              </w:r>
            </w:hyperlink>
          </w:p>
        </w:tc>
        <w:tc>
          <w:tcPr>
            <w:tcW w:w="441" w:type="dxa"/>
            <w:tcBorders/>
            <w:vAlign w:val="center"/>
          </w:tcPr>
          <w:p>
            <w:pPr>
              <w:pStyle w:val="TableContents"/>
              <w:bidi w:val="0"/>
              <w:spacing w:before="0" w:after="0"/>
              <w:ind w:left="0" w:right="0" w:hanging="0"/>
              <w:jc w:val="center"/>
              <w:rPr/>
            </w:pPr>
            <w:hyperlink w:anchor="item7a">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em8">
              <w:r>
                <w:rPr>
                  <w:rStyle w:val="InternetLink"/>
                  <w:rFonts w:ascii="Times New Roman" w:hAnsi="Times New Roman"/>
                  <w:caps w:val="false"/>
                  <w:smallCaps w:val="false"/>
                  <w:sz w:val="20"/>
                </w:rPr>
                <w:t>ITEM 8</w:t>
              </w:r>
            </w:hyperlink>
          </w:p>
        </w:tc>
        <w:tc>
          <w:tcPr>
            <w:tcW w:w="8823" w:type="dxa"/>
            <w:tcBorders/>
            <w:vAlign w:val="center"/>
          </w:tcPr>
          <w:p>
            <w:pPr>
              <w:pStyle w:val="TableContents"/>
              <w:bidi w:val="0"/>
              <w:spacing w:before="0" w:after="0"/>
              <w:ind w:left="0" w:right="0" w:hanging="0"/>
              <w:jc w:val="both"/>
              <w:rPr/>
            </w:pPr>
            <w:hyperlink w:anchor="item8">
              <w:r>
                <w:rPr>
                  <w:rStyle w:val="InternetLink"/>
                  <w:rFonts w:ascii="Times New Roman" w:hAnsi="Times New Roman"/>
                  <w:caps w:val="false"/>
                  <w:smallCaps w:val="false"/>
                  <w:sz w:val="20"/>
                </w:rPr>
                <w:t>Financial Statements and Supplementary Data</w:t>
              </w:r>
            </w:hyperlink>
          </w:p>
        </w:tc>
        <w:tc>
          <w:tcPr>
            <w:tcW w:w="441" w:type="dxa"/>
            <w:tcBorders/>
            <w:vAlign w:val="center"/>
          </w:tcPr>
          <w:p>
            <w:pPr>
              <w:pStyle w:val="TableContents"/>
              <w:bidi w:val="0"/>
              <w:spacing w:before="0" w:after="0"/>
              <w:ind w:left="0" w:right="0" w:hanging="0"/>
              <w:jc w:val="center"/>
              <w:rPr/>
            </w:pPr>
            <w:hyperlink w:anchor="item8">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em9">
              <w:r>
                <w:rPr>
                  <w:rStyle w:val="InternetLink"/>
                  <w:rFonts w:ascii="Times New Roman" w:hAnsi="Times New Roman"/>
                  <w:caps w:val="false"/>
                  <w:smallCaps w:val="false"/>
                  <w:sz w:val="20"/>
                </w:rPr>
                <w:t>ITEM 9</w:t>
              </w:r>
            </w:hyperlink>
          </w:p>
        </w:tc>
        <w:tc>
          <w:tcPr>
            <w:tcW w:w="8823" w:type="dxa"/>
            <w:tcBorders/>
            <w:vAlign w:val="center"/>
          </w:tcPr>
          <w:p>
            <w:pPr>
              <w:pStyle w:val="TableContents"/>
              <w:bidi w:val="0"/>
              <w:spacing w:before="0" w:after="0"/>
              <w:ind w:left="0" w:right="0" w:hanging="0"/>
              <w:jc w:val="both"/>
              <w:rPr/>
            </w:pPr>
            <w:hyperlink w:anchor="item9">
              <w:r>
                <w:rPr>
                  <w:rStyle w:val="InternetLink"/>
                  <w:rFonts w:ascii="Times New Roman" w:hAnsi="Times New Roman"/>
                  <w:caps w:val="false"/>
                  <w:smallCaps w:val="false"/>
                  <w:sz w:val="20"/>
                </w:rPr>
                <w:t>Changes in and Disagreements With Accountants on Accounting and Financial Disclosures</w:t>
              </w:r>
            </w:hyperlink>
          </w:p>
        </w:tc>
        <w:tc>
          <w:tcPr>
            <w:tcW w:w="441" w:type="dxa"/>
            <w:tcBorders/>
            <w:vAlign w:val="center"/>
          </w:tcPr>
          <w:p>
            <w:pPr>
              <w:pStyle w:val="TableContents"/>
              <w:bidi w:val="0"/>
              <w:spacing w:before="0" w:after="0"/>
              <w:ind w:left="0" w:right="0" w:hanging="0"/>
              <w:jc w:val="center"/>
              <w:rPr/>
            </w:pPr>
            <w:hyperlink w:anchor="item9">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em9a">
              <w:r>
                <w:rPr>
                  <w:rStyle w:val="InternetLink"/>
                  <w:rFonts w:ascii="Times New Roman" w:hAnsi="Times New Roman"/>
                  <w:caps w:val="false"/>
                  <w:smallCaps w:val="false"/>
                  <w:sz w:val="20"/>
                </w:rPr>
                <w:t>ITEM 9A</w:t>
              </w:r>
            </w:hyperlink>
          </w:p>
        </w:tc>
        <w:tc>
          <w:tcPr>
            <w:tcW w:w="8823" w:type="dxa"/>
            <w:tcBorders/>
            <w:vAlign w:val="center"/>
          </w:tcPr>
          <w:p>
            <w:pPr>
              <w:pStyle w:val="TableContents"/>
              <w:bidi w:val="0"/>
              <w:spacing w:before="0" w:after="0"/>
              <w:ind w:left="0" w:right="0" w:hanging="0"/>
              <w:jc w:val="both"/>
              <w:rPr/>
            </w:pPr>
            <w:hyperlink w:anchor="item9a">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0"/>
              <w:ind w:left="0" w:right="0" w:hanging="0"/>
              <w:jc w:val="center"/>
              <w:rPr/>
            </w:pPr>
            <w:hyperlink w:anchor="item9a">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me9b">
              <w:r>
                <w:rPr>
                  <w:rStyle w:val="InternetLink"/>
                  <w:rFonts w:ascii="Times New Roman" w:hAnsi="Times New Roman"/>
                  <w:caps w:val="false"/>
                  <w:smallCaps w:val="false"/>
                  <w:sz w:val="20"/>
                </w:rPr>
                <w:t>ITEM 9B</w:t>
              </w:r>
            </w:hyperlink>
          </w:p>
        </w:tc>
        <w:tc>
          <w:tcPr>
            <w:tcW w:w="8823" w:type="dxa"/>
            <w:tcBorders/>
            <w:vAlign w:val="center"/>
          </w:tcPr>
          <w:p>
            <w:pPr>
              <w:pStyle w:val="TableContents"/>
              <w:bidi w:val="0"/>
              <w:spacing w:before="0" w:after="0"/>
              <w:ind w:left="0" w:right="0" w:hanging="0"/>
              <w:jc w:val="both"/>
              <w:rPr/>
            </w:pPr>
            <w:hyperlink w:anchor="itme9b">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0"/>
              <w:ind w:left="0" w:right="0" w:hanging="0"/>
              <w:jc w:val="center"/>
              <w:rPr/>
            </w:pPr>
            <w:hyperlink w:anchor="itme9b">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part3">
              <w:r>
                <w:rPr>
                  <w:rStyle w:val="InternetLink"/>
                  <w:rFonts w:ascii="Times New Roman" w:hAnsi="Times New Roman"/>
                  <w:b/>
                  <w:caps w:val="false"/>
                  <w:smallCaps w:val="false"/>
                  <w:sz w:val="20"/>
                </w:rPr>
                <w:t>PART III</w:t>
              </w:r>
            </w:hyperlink>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3">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item10">
              <w:r>
                <w:rPr>
                  <w:rStyle w:val="InternetLink"/>
                  <w:rFonts w:ascii="Times New Roman" w:hAnsi="Times New Roman"/>
                  <w:caps w:val="false"/>
                  <w:smallCaps w:val="false"/>
                  <w:sz w:val="20"/>
                </w:rPr>
                <w:t>ITEM 10</w:t>
              </w:r>
            </w:hyperlink>
          </w:p>
        </w:tc>
        <w:tc>
          <w:tcPr>
            <w:tcW w:w="8823" w:type="dxa"/>
            <w:tcBorders/>
            <w:vAlign w:val="center"/>
          </w:tcPr>
          <w:p>
            <w:pPr>
              <w:pStyle w:val="TableContents"/>
              <w:bidi w:val="0"/>
              <w:spacing w:before="0" w:after="0"/>
              <w:ind w:left="0" w:right="0" w:hanging="0"/>
              <w:jc w:val="both"/>
              <w:rPr/>
            </w:pPr>
            <w:hyperlink w:anchor="item10">
              <w:r>
                <w:rPr>
                  <w:rStyle w:val="InternetLink"/>
                  <w:rFonts w:ascii="Times New Roman" w:hAnsi="Times New Roman"/>
                  <w:caps w:val="false"/>
                  <w:smallCaps w:val="false"/>
                  <w:sz w:val="20"/>
                </w:rPr>
                <w:t>Directors, Executive Officers and Corporate Governance</w:t>
              </w:r>
            </w:hyperlink>
          </w:p>
        </w:tc>
        <w:tc>
          <w:tcPr>
            <w:tcW w:w="441" w:type="dxa"/>
            <w:tcBorders/>
            <w:vAlign w:val="center"/>
          </w:tcPr>
          <w:p>
            <w:pPr>
              <w:pStyle w:val="TableContents"/>
              <w:bidi w:val="0"/>
              <w:spacing w:before="0" w:after="0"/>
              <w:ind w:left="0" w:right="0" w:hanging="0"/>
              <w:jc w:val="center"/>
              <w:rPr/>
            </w:pPr>
            <w:hyperlink w:anchor="item10">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em11">
              <w:r>
                <w:rPr>
                  <w:rStyle w:val="InternetLink"/>
                  <w:rFonts w:ascii="Times New Roman" w:hAnsi="Times New Roman"/>
                  <w:caps w:val="false"/>
                  <w:smallCaps w:val="false"/>
                  <w:sz w:val="20"/>
                </w:rPr>
                <w:t>ITEM 11</w:t>
              </w:r>
            </w:hyperlink>
          </w:p>
        </w:tc>
        <w:tc>
          <w:tcPr>
            <w:tcW w:w="8823" w:type="dxa"/>
            <w:tcBorders/>
            <w:vAlign w:val="center"/>
          </w:tcPr>
          <w:p>
            <w:pPr>
              <w:pStyle w:val="TableContents"/>
              <w:bidi w:val="0"/>
              <w:spacing w:before="0" w:after="0"/>
              <w:ind w:left="0" w:right="0" w:hanging="0"/>
              <w:jc w:val="both"/>
              <w:rPr/>
            </w:pPr>
            <w:hyperlink w:anchor="item11">
              <w:r>
                <w:rPr>
                  <w:rStyle w:val="InternetLink"/>
                  <w:rFonts w:ascii="Times New Roman" w:hAnsi="Times New Roman"/>
                  <w:caps w:val="false"/>
                  <w:smallCaps w:val="false"/>
                  <w:sz w:val="20"/>
                </w:rPr>
                <w:t>Executive Compensation</w:t>
              </w:r>
            </w:hyperlink>
          </w:p>
        </w:tc>
        <w:tc>
          <w:tcPr>
            <w:tcW w:w="441" w:type="dxa"/>
            <w:tcBorders/>
            <w:vAlign w:val="center"/>
          </w:tcPr>
          <w:p>
            <w:pPr>
              <w:pStyle w:val="TableContents"/>
              <w:bidi w:val="0"/>
              <w:spacing w:before="0" w:after="0"/>
              <w:ind w:left="0" w:right="0" w:hanging="0"/>
              <w:jc w:val="center"/>
              <w:rPr/>
            </w:pPr>
            <w:hyperlink w:anchor="item11">
              <w:r>
                <w:rPr>
                  <w:rStyle w:val="InternetLink"/>
                  <w:rFonts w:ascii="Times New Roman" w:hAnsi="Times New Roman"/>
                  <w:caps w:val="false"/>
                  <w:smallCaps w:val="false"/>
                  <w:sz w:val="20"/>
                </w:rPr>
                <w:t>65</w:t>
              </w:r>
            </w:hyperlink>
          </w:p>
        </w:tc>
      </w:tr>
      <w:tr>
        <w:trPr/>
        <w:tc>
          <w:tcPr>
            <w:tcW w:w="941" w:type="dxa"/>
            <w:tcBorders/>
            <w:vAlign w:val="center"/>
          </w:tcPr>
          <w:p>
            <w:pPr>
              <w:pStyle w:val="TableContents"/>
              <w:bidi w:val="0"/>
              <w:spacing w:before="0" w:after="0"/>
              <w:ind w:left="0" w:right="0" w:hanging="0"/>
              <w:jc w:val="both"/>
              <w:rPr/>
            </w:pPr>
            <w:hyperlink w:anchor="item12">
              <w:r>
                <w:rPr>
                  <w:rStyle w:val="InternetLink"/>
                  <w:rFonts w:ascii="Times New Roman" w:hAnsi="Times New Roman"/>
                  <w:caps w:val="false"/>
                  <w:smallCaps w:val="false"/>
                  <w:sz w:val="20"/>
                </w:rPr>
                <w:t>ITEM 12</w:t>
              </w:r>
            </w:hyperlink>
          </w:p>
        </w:tc>
        <w:tc>
          <w:tcPr>
            <w:tcW w:w="8823" w:type="dxa"/>
            <w:tcBorders/>
            <w:vAlign w:val="center"/>
          </w:tcPr>
          <w:p>
            <w:pPr>
              <w:pStyle w:val="TableContents"/>
              <w:bidi w:val="0"/>
              <w:spacing w:before="0" w:after="0"/>
              <w:ind w:left="0" w:right="0" w:hanging="0"/>
              <w:jc w:val="both"/>
              <w:rPr/>
            </w:pPr>
            <w:hyperlink w:anchor="item12">
              <w:r>
                <w:rPr>
                  <w:rStyle w:val="InternetLink"/>
                  <w:rFonts w:ascii="Times New Roman" w:hAnsi="Times New Roman"/>
                  <w:caps w:val="false"/>
                  <w:smallCaps w:val="false"/>
                  <w:sz w:val="20"/>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center"/>
              <w:rPr/>
            </w:pPr>
            <w:hyperlink w:anchor="item12">
              <w:r>
                <w:rPr>
                  <w:rStyle w:val="InternetLink"/>
                  <w:rFonts w:ascii="Times New Roman" w:hAnsi="Times New Roman"/>
                  <w:caps w:val="false"/>
                  <w:smallCaps w:val="false"/>
                  <w:sz w:val="20"/>
                </w:rPr>
                <w:t>66</w:t>
              </w:r>
            </w:hyperlink>
          </w:p>
        </w:tc>
      </w:tr>
      <w:tr>
        <w:trPr/>
        <w:tc>
          <w:tcPr>
            <w:tcW w:w="941" w:type="dxa"/>
            <w:tcBorders/>
            <w:vAlign w:val="center"/>
          </w:tcPr>
          <w:p>
            <w:pPr>
              <w:pStyle w:val="TableContents"/>
              <w:bidi w:val="0"/>
              <w:spacing w:before="0" w:after="0"/>
              <w:ind w:left="0" w:right="0" w:hanging="0"/>
              <w:jc w:val="both"/>
              <w:rPr/>
            </w:pPr>
            <w:hyperlink w:anchor="item13">
              <w:r>
                <w:rPr>
                  <w:rStyle w:val="InternetLink"/>
                  <w:rFonts w:ascii="Times New Roman" w:hAnsi="Times New Roman"/>
                  <w:caps w:val="false"/>
                  <w:smallCaps w:val="false"/>
                  <w:sz w:val="20"/>
                </w:rPr>
                <w:t>ITEM 13</w:t>
              </w:r>
            </w:hyperlink>
          </w:p>
        </w:tc>
        <w:tc>
          <w:tcPr>
            <w:tcW w:w="8823" w:type="dxa"/>
            <w:tcBorders/>
            <w:vAlign w:val="center"/>
          </w:tcPr>
          <w:p>
            <w:pPr>
              <w:pStyle w:val="TableContents"/>
              <w:bidi w:val="0"/>
              <w:spacing w:before="0" w:after="0"/>
              <w:ind w:left="0" w:right="0" w:hanging="0"/>
              <w:jc w:val="both"/>
              <w:rPr/>
            </w:pPr>
            <w:hyperlink w:anchor="item13">
              <w:r>
                <w:rPr>
                  <w:rStyle w:val="InternetLink"/>
                  <w:rFonts w:ascii="Times New Roman" w:hAnsi="Times New Roman"/>
                  <w:caps w:val="false"/>
                  <w:smallCaps w:val="false"/>
                  <w:sz w:val="20"/>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center"/>
              <w:rPr/>
            </w:pPr>
            <w:hyperlink w:anchor="item13">
              <w:r>
                <w:rPr>
                  <w:rStyle w:val="InternetLink"/>
                  <w:rFonts w:ascii="Times New Roman" w:hAnsi="Times New Roman"/>
                  <w:caps w:val="false"/>
                  <w:smallCaps w:val="false"/>
                  <w:sz w:val="20"/>
                </w:rPr>
                <w:t>66</w:t>
              </w:r>
            </w:hyperlink>
          </w:p>
        </w:tc>
      </w:tr>
      <w:tr>
        <w:trPr/>
        <w:tc>
          <w:tcPr>
            <w:tcW w:w="941" w:type="dxa"/>
            <w:tcBorders/>
            <w:vAlign w:val="center"/>
          </w:tcPr>
          <w:p>
            <w:pPr>
              <w:pStyle w:val="TableContents"/>
              <w:bidi w:val="0"/>
              <w:spacing w:before="0" w:after="0"/>
              <w:ind w:left="0" w:right="0" w:hanging="0"/>
              <w:jc w:val="both"/>
              <w:rPr/>
            </w:pPr>
            <w:hyperlink w:anchor="item14">
              <w:r>
                <w:rPr>
                  <w:rStyle w:val="InternetLink"/>
                  <w:rFonts w:ascii="Times New Roman" w:hAnsi="Times New Roman"/>
                  <w:caps w:val="false"/>
                  <w:smallCaps w:val="false"/>
                  <w:sz w:val="20"/>
                </w:rPr>
                <w:t>ITEM 14</w:t>
              </w:r>
            </w:hyperlink>
          </w:p>
        </w:tc>
        <w:tc>
          <w:tcPr>
            <w:tcW w:w="8823" w:type="dxa"/>
            <w:tcBorders/>
            <w:vAlign w:val="center"/>
          </w:tcPr>
          <w:p>
            <w:pPr>
              <w:pStyle w:val="TableContents"/>
              <w:bidi w:val="0"/>
              <w:spacing w:before="0" w:after="0"/>
              <w:ind w:left="0" w:right="0" w:hanging="0"/>
              <w:jc w:val="both"/>
              <w:rPr/>
            </w:pPr>
            <w:hyperlink w:anchor="item14">
              <w:r>
                <w:rPr>
                  <w:rStyle w:val="InternetLink"/>
                  <w:rFonts w:ascii="Times New Roman" w:hAnsi="Times New Roman"/>
                  <w:caps w:val="false"/>
                  <w:smallCaps w:val="false"/>
                  <w:sz w:val="20"/>
                </w:rPr>
                <w:t>Principal Accounting Fees and Services</w:t>
              </w:r>
            </w:hyperlink>
          </w:p>
        </w:tc>
        <w:tc>
          <w:tcPr>
            <w:tcW w:w="441" w:type="dxa"/>
            <w:tcBorders/>
            <w:vAlign w:val="center"/>
          </w:tcPr>
          <w:p>
            <w:pPr>
              <w:pStyle w:val="TableContents"/>
              <w:bidi w:val="0"/>
              <w:spacing w:before="0" w:after="0"/>
              <w:ind w:left="0" w:right="0" w:hanging="0"/>
              <w:jc w:val="center"/>
              <w:rPr/>
            </w:pPr>
            <w:hyperlink w:anchor="item14">
              <w:r>
                <w:rPr>
                  <w:rStyle w:val="InternetLink"/>
                  <w:rFonts w:ascii="Times New Roman" w:hAnsi="Times New Roman"/>
                  <w:caps w:val="false"/>
                  <w:smallCaps w:val="false"/>
                  <w:sz w:val="20"/>
                </w:rPr>
                <w:t>66</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part4">
              <w:r>
                <w:rPr>
                  <w:rStyle w:val="InternetLink"/>
                  <w:rFonts w:ascii="Times New Roman" w:hAnsi="Times New Roman"/>
                  <w:b/>
                  <w:caps w:val="false"/>
                  <w:smallCaps w:val="false"/>
                  <w:sz w:val="20"/>
                </w:rPr>
                <w:t>PART IV</w:t>
              </w:r>
            </w:hyperlink>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4">
              <w:r>
                <w:rPr>
                  <w:rStyle w:val="InternetLink"/>
                  <w:rFonts w:ascii="Times New Roman" w:hAnsi="Times New Roman"/>
                  <w:caps w:val="false"/>
                  <w:smallCaps w:val="false"/>
                  <w:sz w:val="20"/>
                </w:rPr>
                <w:t>66</w:t>
              </w:r>
            </w:hyperlink>
          </w:p>
        </w:tc>
      </w:tr>
      <w:tr>
        <w:trPr/>
        <w:tc>
          <w:tcPr>
            <w:tcW w:w="9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both"/>
              <w:rPr/>
            </w:pPr>
            <w:hyperlink w:anchor="item15">
              <w:r>
                <w:rPr>
                  <w:rStyle w:val="InternetLink"/>
                  <w:rFonts w:ascii="Times New Roman" w:hAnsi="Times New Roman"/>
                  <w:caps w:val="false"/>
                  <w:smallCaps w:val="false"/>
                  <w:sz w:val="20"/>
                </w:rPr>
                <w:t>ITEM 15</w:t>
              </w:r>
            </w:hyperlink>
          </w:p>
        </w:tc>
        <w:tc>
          <w:tcPr>
            <w:tcW w:w="8823" w:type="dxa"/>
            <w:tcBorders/>
            <w:vAlign w:val="center"/>
          </w:tcPr>
          <w:p>
            <w:pPr>
              <w:pStyle w:val="TableContents"/>
              <w:bidi w:val="0"/>
              <w:spacing w:before="0" w:after="0"/>
              <w:ind w:left="0" w:right="0" w:hanging="0"/>
              <w:jc w:val="both"/>
              <w:rPr/>
            </w:pPr>
            <w:hyperlink w:anchor="item15">
              <w:r>
                <w:rPr>
                  <w:rStyle w:val="InternetLink"/>
                  <w:rFonts w:ascii="Times New Roman" w:hAnsi="Times New Roman"/>
                  <w:caps w:val="false"/>
                  <w:smallCaps w:val="false"/>
                  <w:sz w:val="20"/>
                </w:rPr>
                <w:t>Exhibits and Financial Statement Schedules</w:t>
              </w:r>
            </w:hyperlink>
          </w:p>
        </w:tc>
        <w:tc>
          <w:tcPr>
            <w:tcW w:w="441" w:type="dxa"/>
            <w:tcBorders/>
            <w:vAlign w:val="center"/>
          </w:tcPr>
          <w:p>
            <w:pPr>
              <w:pStyle w:val="TableContents"/>
              <w:bidi w:val="0"/>
              <w:spacing w:before="0" w:after="0"/>
              <w:ind w:left="0" w:right="0" w:hanging="0"/>
              <w:jc w:val="center"/>
              <w:rPr/>
            </w:pPr>
            <w:hyperlink w:anchor="item15">
              <w:r>
                <w:rPr>
                  <w:rStyle w:val="InternetLink"/>
                  <w:rFonts w:ascii="Times New Roman" w:hAnsi="Times New Roman"/>
                  <w:caps w:val="false"/>
                  <w:smallCaps w:val="false"/>
                  <w:sz w:val="20"/>
                </w:rPr>
                <w:t>66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special"/>
      <w:bookmarkEnd w:id="3"/>
      <w:r>
        <w:rPr>
          <w:rFonts w:ascii="Times New Roman" w:hAnsi="Times New Roman"/>
          <w:b/>
          <w:caps w:val="false"/>
          <w:smallCaps w:val="false"/>
          <w:sz w:val="20"/>
        </w:rPr>
        <w:t>SPECIAL CAUTIONARY NOTICE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Certain matters discussed in this Annual Report on Form 10-K contain forward-looking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All written or oral forward-looking statements attributable to us are expressly qualified in their entirety by these cautionary statements. Such forward-looking statements include, but are not limited to, statements about: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obtain regulatory approvals for our product candidates and our ability to maintain regulatory approval of BRIUMVI® (ublituximab-xiiy) 150 mg/6 mL Injection for intravenous therapy for the treatment of relapsing forms of multiple sclerosis (RMS) or any other future indication in the United States (U.S.) or any other jurisdiction outside of the U.S.;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adapt and expand our commercial infrastructure to successfully, or in the timeframe projected, market and sell BRIUMVI and our other product candidates; </w:t>
            </w:r>
          </w:p>
        </w:tc>
      </w:tr>
    </w:tbl>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 reliable supply of our products that meets market demand;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timing and success of the ongoing commercialization and availability of BRIUMVI or any future products or combinations of products, including the anticipated rate and degree of market acceptance and pricing and reimbursement; </w:t>
            </w:r>
          </w:p>
        </w:tc>
      </w:tr>
    </w:tbl>
    <w:tbl>
      <w:tblPr>
        <w:tblW w:w="6220" w:type="dxa"/>
        <w:jc w:val="left"/>
        <w:tblInd w:w="0" w:type="dxa"/>
        <w:tblLayout w:type="fixed"/>
        <w:tblCellMar>
          <w:top w:w="0" w:type="dxa"/>
          <w:left w:w="0" w:type="dxa"/>
          <w:bottom w:w="0" w:type="dxa"/>
          <w:right w:w="0" w:type="dxa"/>
        </w:tblCellMar>
      </w:tblPr>
      <w:tblGrid>
        <w:gridCol w:w="170"/>
        <w:gridCol w:w="605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initiation, timing, progress and results of our preclinical studies and clinical trials; </w:t>
            </w:r>
          </w:p>
        </w:tc>
      </w:tr>
    </w:tbl>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advance drug candidates into, and successfully complete, clinical trials;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develop, formulate, manufacture and commercialize our product candidates;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 </w:t>
            </w:r>
          </w:p>
        </w:tc>
      </w:tr>
    </w:tbl>
    <w:tbl>
      <w:tblPr>
        <w:tblW w:w="7240" w:type="dxa"/>
        <w:jc w:val="left"/>
        <w:tblInd w:w="0" w:type="dxa"/>
        <w:tblLayout w:type="fixed"/>
        <w:tblCellMar>
          <w:top w:w="0" w:type="dxa"/>
          <w:left w:w="0" w:type="dxa"/>
          <w:bottom w:w="0" w:type="dxa"/>
          <w:right w:w="0" w:type="dxa"/>
        </w:tblCellMar>
      </w:tblPr>
      <w:tblGrid>
        <w:gridCol w:w="170"/>
        <w:gridCol w:w="70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implementation of our business model and strategic plans for our business and drug candidates; </w:t>
            </w:r>
          </w:p>
        </w:tc>
      </w:tr>
    </w:tbl>
    <w:tbl>
      <w:tblPr>
        <w:tblW w:w="9850" w:type="dxa"/>
        <w:jc w:val="left"/>
        <w:tblInd w:w="0" w:type="dxa"/>
        <w:tblLayout w:type="fixed"/>
        <w:tblCellMar>
          <w:top w:w="0" w:type="dxa"/>
          <w:left w:w="0" w:type="dxa"/>
          <w:bottom w:w="0" w:type="dxa"/>
          <w:right w:w="0" w:type="dxa"/>
        </w:tblCellMar>
      </w:tblPr>
      <w:tblGrid>
        <w:gridCol w:w="170"/>
        <w:gridCol w:w="968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scope of protection we are able to establish and maintain for intellectual property rights covering our product and product candidates; </w:t>
            </w:r>
          </w:p>
        </w:tc>
      </w:tr>
    </w:tbl>
    <w:tbl>
      <w:tblPr>
        <w:tblW w:w="7510" w:type="dxa"/>
        <w:jc w:val="left"/>
        <w:tblInd w:w="0" w:type="dxa"/>
        <w:tblLayout w:type="fixed"/>
        <w:tblCellMar>
          <w:top w:w="0" w:type="dxa"/>
          <w:left w:w="0" w:type="dxa"/>
          <w:bottom w:w="0" w:type="dxa"/>
          <w:right w:w="0" w:type="dxa"/>
        </w:tblCellMar>
      </w:tblPr>
      <w:tblGrid>
        <w:gridCol w:w="170"/>
        <w:gridCol w:w="734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estimates of our expenses, future revenues, capital requirements and our needs for additional financing; </w:t>
            </w:r>
          </w:p>
        </w:tc>
      </w:tr>
    </w:tbl>
    <w:tbl>
      <w:tblPr>
        <w:tblW w:w="7195" w:type="dxa"/>
        <w:jc w:val="left"/>
        <w:tblInd w:w="0" w:type="dxa"/>
        <w:tblLayout w:type="fixed"/>
        <w:tblCellMar>
          <w:top w:w="0" w:type="dxa"/>
          <w:left w:w="0" w:type="dxa"/>
          <w:bottom w:w="0" w:type="dxa"/>
          <w:right w:w="0" w:type="dxa"/>
        </w:tblCellMar>
      </w:tblPr>
      <w:tblGrid>
        <w:gridCol w:w="170"/>
        <w:gridCol w:w="702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and establish collaborations and enter into strategic arrangements, if desired;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meet any of our financial projections or guidance, including without limitation short and long-term revenue and operating expense projections or guidance and changes to the assumptions underlying those projections or guidance; </w:t>
            </w:r>
          </w:p>
        </w:tc>
      </w:tr>
    </w:tbl>
    <w:tbl>
      <w:tblPr>
        <w:tblW w:w="5080" w:type="dxa"/>
        <w:jc w:val="left"/>
        <w:tblInd w:w="0" w:type="dxa"/>
        <w:tblLayout w:type="fixed"/>
        <w:tblCellMar>
          <w:top w:w="0" w:type="dxa"/>
          <w:left w:w="0" w:type="dxa"/>
          <w:bottom w:w="0" w:type="dxa"/>
          <w:right w:w="0" w:type="dxa"/>
        </w:tblCellMar>
      </w:tblPr>
      <w:tblGrid>
        <w:gridCol w:w="170"/>
        <w:gridCol w:w="4910"/>
      </w:tblGrid>
      <w:tr>
        <w:trPr/>
        <w:tc>
          <w:tcPr>
            <w:tcW w:w="170" w:type="dxa"/>
            <w:tcBorders/>
            <w:vAlign w:val="center"/>
          </w:tcPr>
          <w:p>
            <w:pPr>
              <w:pStyle w:val="TableContents"/>
              <w:bidi w:val="0"/>
              <w:spacing w:before="0" w:after="0"/>
              <w:ind w:left="0" w:right="0" w:hanging="0"/>
              <w:jc w:val="both"/>
              <w:rPr/>
            </w:pPr>
            <w:r>
              <w:rPr/>
              <w:t>●</w:t>
            </w:r>
          </w:p>
        </w:tc>
        <w:tc>
          <w:tcPr>
            <w:tcW w:w="4910" w:type="dxa"/>
            <w:tcBorders/>
            <w:vAlign w:val="center"/>
          </w:tcPr>
          <w:p>
            <w:pPr>
              <w:pStyle w:val="TableContents"/>
              <w:bidi w:val="0"/>
              <w:spacing w:before="0" w:after="0"/>
              <w:ind w:left="0" w:right="0" w:hanging="0"/>
              <w:jc w:val="both"/>
              <w:rPr>
                <w:rFonts w:ascii="Times New Roman" w:hAnsi="Times New Roman"/>
                <w:b w:val="false"/>
                <w:sz w:val="18"/>
              </w:rPr>
            </w:pPr>
            <w:r>
              <w:rPr>
                <w:rFonts w:ascii="Times New Roman" w:hAnsi="Times New Roman"/>
                <w:b w:val="false"/>
                <w:sz w:val="18"/>
              </w:rPr>
              <w:t>our ability to obtain sufficient capital to fund our planned operations; </w:t>
            </w:r>
          </w:p>
        </w:tc>
      </w:tr>
    </w:tbl>
    <w:tbl>
      <w:tblPr>
        <w:tblW w:w="6370" w:type="dxa"/>
        <w:jc w:val="left"/>
        <w:tblInd w:w="0" w:type="dxa"/>
        <w:tblLayout w:type="fixed"/>
        <w:tblCellMar>
          <w:top w:w="0" w:type="dxa"/>
          <w:left w:w="0" w:type="dxa"/>
          <w:bottom w:w="0" w:type="dxa"/>
          <w:right w:w="0" w:type="dxa"/>
        </w:tblCellMar>
      </w:tblPr>
      <w:tblGrid>
        <w:gridCol w:w="170"/>
        <w:gridCol w:w="62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financial performance and cash burn management;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maintain or obtain adequate product liability and other insurance coverage;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developments relating to our competitors and our industry;</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the effects on our company of future regulatory developments or legislative actions, including changes in healthcare, environmental and other laws and regulations to which we are subject, including tariffs that may apply to products that we purchase or sell;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prevailing economic, market and business conditions;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retain, attract and hire key personnel;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competitive position;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fluctuations in the trading price of our common stock;</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use of cash and other resources; and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our ability to successfully implement our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Forward-looking statements are not guarantees of performance. They involve risks, uncertainties and assumptions. You should refer to the “Risk Factors” section in this Annual Report on Form 10-K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These forward-looking statements speak only as of the date of this Annual Report on Form 10-K.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4" w:name="summary"/>
      <w:bookmarkEnd w:id="4"/>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this Annual Report on Form 10-K for the fiscal year ended December 31, 2025, and any other risks described in the other reports and documents that we have filed with the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Commercialization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BRIUMVI, and any of our product candidates for which we in the future obtain marketing approval, may, after approval, be found to cause undesirable side effects that could result in significant negative consequences following commercialization.</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face substantial competition, which may result in others commercializing drugs before or more successfully than we do, resulting in the reduction or elimination of our commercial opportunity.</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sz w:val="18"/>
              </w:rPr>
            </w:pPr>
            <w:r>
              <w:rPr>
                <w:sz w:val="18"/>
              </w:rPr>
              <w:t>BRIUMVI, as well as any products that we are able to commercialize in the future, may become subject to unfavorable pricing regulations or third-party payor coverage and reimbursement policies, which would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Product liability lawsuits against us could cause us to incur substantial liabilities and could limit commercialization of any drug candidates that we may develop.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Financial Position and Need for Additional Capital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have incurred substantial operating losses since our inception, and we may incur losses in the future.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While we do not expect to need to raise additional capital, we may need to do so. If we are unable to raise capital, if needed, we may be required to delay, limit, reduce or eliminate some of our drug development programs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level of indebtedness and debt service obligations could adversely affect our financial condition and may make it more difficult for us to fund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Drug Development and Regulatory Approval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maintain or obtain regulatory approval for our product or product candidates and ultimately cannot successfully commercialize our product or product candidates, or experience significant delays in doing so, our business will be materially harmed.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18"/>
              </w:rPr>
            </w:pPr>
            <w:r>
              <w:rPr>
                <w:sz w:val="18"/>
              </w:rPr>
              <w:t>Biologics carry unique risks and uncertainties, which could have a negative impact on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product or product candidates may cause undesirable side effects that could delay or prevent their regulatory approval or impact their availability and commercial potential after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products or product candidates we may advance through clinical development are subject to extensive regulation, which can be costly and time consuming, cause unanticipated delays or prevent the receipt of the required approvals.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Risks Related to Governmental Regulation of the Pharmaceutical Industry and Legal Compliance Matters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subject to new legislation, regulatory proposals and third-party payor initiatives that may increase our costs of compliance and adversely affect our ability to market our products, obtain collaborators and raise capital.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adequately understand and comply with the local laws and customs as we expand into new international markets, these operations may incur losses or otherwise adversely affect our business and results of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Risks Related to our Dependence on Third Parties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Because we have in-licensed BRIUMVI and our product candidates from third parties, any dispute with or non-performance by our licensors will adversely affect our ability to develop and commercialize the applicable product or product candidate.</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Intellectual Property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not be able to enforce our intellectual property rights throughout the world.</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or our partners are sued for infringing intellectual property rights of third parties, it will be costly and time consuming, and an unfavorable outcome in that litigation would have a material adverse effect on our business.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may need to license certain intellectual property from third parties, and such licenses may not be available or may not be available on commercially reasonable terms.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are unable to protect the confidentiality of our trade secrets, our business and competitive position may be harmed.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Risks Related to Our Business Organization and Governance, Strategy, Employees and Growth Management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we fail to attract and keep key management, commercial, and clinical development personnel, we may be unable to successfully develop or commercialize our product and product candidates.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will need to develop and expand our business, and we may encounter difficulties in managing this development and expansion, which could disrupt our operations.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Certain of our executive officers, directors, principal stockholders and their affiliates maintain the ability to exercise significant influence over our company and all matters submitted to stockholders for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Unfavorable global economic conditions and changes in government regulations could adversely affect our business, financial condition or results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18"/>
        </w:rPr>
      </w:pPr>
      <w:r>
        <w:rPr>
          <w:rFonts w:ascii="Times New Roman" w:hAnsi="Times New Roman"/>
          <w:b/>
          <w:caps w:val="false"/>
          <w:smallCaps w:val="false"/>
          <w:sz w:val="18"/>
        </w:rPr>
        <w:t xml:space="preserve">Risks Related to Our Common Stock and Being a Publicly Traded Company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Our stock price is, and we expect it to remain, volatile, which could limit investors’ ability to sell our stock at a profit.</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We incur significant increased costs as a result of operating as a public company, and our management is required to devote substantial time to compliance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18"/>
        </w:rPr>
      </w:pPr>
      <w:r>
        <w:rPr>
          <w:rFonts w:ascii="Times New Roman" w:hAnsi="Times New Roman"/>
          <w:caps w:val="false"/>
          <w:smallCaps w:val="false"/>
          <w:sz w:val="18"/>
        </w:rPr>
        <w:t>The foregoing is only a summary of some of our risks. These and other risks are discussed more fully in the section entitled “Risk Factors” in Part I, Item 1A and elsewhere in this Annual Report on Form 10-K (our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5" w:name="part1"/>
      <w:bookmarkEnd w:id="5"/>
      <w:r>
        <w:rPr>
          <w:rFonts w:ascii="Times New Roman" w:hAnsi="Times New Roman"/>
          <w:b/>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TG,</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 Inc. and our subsidiaries. Our name, logo and BRIUMVI are trademarks or tradenames of TG Therapeutics, Inc. All other trademarks, service marks or other tradenames appearing in this Annual Report on Form 10-K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6" w:name="item1"/>
      <w:bookmarkEnd w:id="6"/>
      <w:r>
        <w:rPr>
          <w:rFonts w:ascii="Times New Roman" w:hAnsi="Times New Roman"/>
          <w:b/>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We also actively evaluate complementary products, technologies and companies for in-licensing, partnership, acquisition and/or investment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Next In MS</w:t>
      </w:r>
      <w:r>
        <w:rPr>
          <w:rFonts w:ascii="Times New Roman" w:hAnsi="Times New Roman"/>
          <w:caps w:val="false"/>
          <w:smallCaps w:val="false"/>
          <w:sz w:val="20"/>
        </w:rPr>
        <w:t xml:space="preserve">™ </w:t>
      </w:r>
      <w:r>
        <w:rPr>
          <w:rFonts w:ascii="Times New Roman" w:hAnsi="Times New Roman"/>
          <w:b/>
          <w:i/>
          <w:caps w:val="false"/>
          <w:smallCaps w:val="false"/>
          <w:sz w:val="20"/>
        </w:rPr>
        <w:t>Platform Launch in Collaboration with Christina Applegate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 collaboration with Christina Applegate to raise awareness of multiple sclerosis (MS) via a Super Bowl LX commercial</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sz w:val="20"/>
              </w:rPr>
            </w:pPr>
            <w:r>
              <w:rPr>
                <w:sz w:val="20"/>
              </w:rPr>
              <w:t>Launched, Next In MS™, a platform designed to foster honest, real-world conversations about life with MS—featuring unfiltered dialogue, including discussions with Christina Applegate—and to support people living with MS in continuing those conversations with family, friends, and healthcare professionals on their own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Commercialization of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an anti-CD20 monoclonal antibody that can be administered to adults with RMS in a one-hour infusion every 24 weeks, following the starting dose. BRIUMVI received approval by the FDA in December 2022 for the treatment of adults with RMS, including clinically isolated syndrome, relapsing-remitting disease, and active secondary progressive disease, based on data from the ULTIMATE I &amp; II Phase 3 trials, which demonstrated superiority over teriflunomide in significantly reducing the annualized relapse rate (ARR, the primary endpoint), the number of T1 Gd-enhancing lesions and the number of new or enlarging T2 lesions. Results from the ULTIMATE I &amp; II trials were published in August 2022 in </w:t>
      </w:r>
      <w:r>
        <w:rPr>
          <w:rFonts w:ascii="Times New Roman" w:hAnsi="Times New Roman"/>
          <w:i/>
          <w:caps w:val="false"/>
          <w:smallCaps w:val="false"/>
          <w:sz w:val="20"/>
        </w:rPr>
        <w:t xml:space="preserve">The New England Journal of Medicine. </w:t>
      </w:r>
      <w:r>
        <w:rPr>
          <w:rFonts w:ascii="Times New Roman" w:hAnsi="Times New Roman"/>
          <w:caps w:val="false"/>
          <w:smallCaps w:val="false"/>
          <w:sz w:val="20"/>
        </w:rPr>
        <w:t>We commercially launched BRIUMVI in the U.S. in January 2023, making it available to physicians and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entered into a commercialization agreement (the Commercialization Agreement) with Neuraxpharm Pharmaceuticals, S.L. (Neuraxpharm), a leading European specialty pharmaceutical company focused on the treatment of central nervous system (CNS) disorders, for the ex-U.S. commercialization of BRIUMVI. In February 2024, BRIUMVI was first made available in the European market by Neuraxpharm in Germany and is now commercially available in several other countries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Pipeline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2025, we announced the first patients with myasthenia gravis (MG) have been enrolled in a clinical trial evaluating ublituximab.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2025, we announced the first patient with progressive multiple sclerosis has been dosed with azer-cel in a Phase 1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enrollment commenced in the Phase 3 pivotal program evaluating subcutaneous ublituximab. The Phase 3 pivotal program is a randomized, open label, parallel-group, multicenter study designed to evaluate the pharmacokinetics, pharmacodynamics, safety, radiological and clinical effects of subcutaneous ublituximab compared to IV BRIUMVI in adult participants with RMS. Participants will be randomized into one of three arms: 8-week regimen of subcutaneous ublituximab, 12-week regimen of subcutaneous ublituximab or the currently approved IV BRIUMVI dosing schedule. The primary endpoint of the trial is non inferior exposure of subcutaneous ublituximab compared to IV BRIUMVI with respect to area under the curve (AUC) at week 24. In February 2026, we announced that the Phase 3 trial was more than approximately 75% enrolled.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2025, we announced completion of enrollment in the randomized cohort of the Phase 3 ENHANCE trial evaluating a consolidated day 1 and day 15 dosing schedule for IV BRIUMVI® in people with RMS. The primary endpoint of this trial is non inferior exposure with respect to area under the curve (AUC) at week 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the completion of our previously authorized $100 million share repurchase program, which was initially announced in August 2024 (the Prior Share Repurchase Program). Under the Prior Share Repurchase Program, we repurchased a total of 3,502,334 shares of our common stock at an average price of $28.55 per share. In September 2025, the Board authorized and approved a new share repurchase program (the 2025 Share Repurchase Program) for up to $100 million of the currently outstanding shares of our common stock. There were no repurchases under the 2025 Share Repurchase Program during the three and twelve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incorporated in Delaware in 1993. Our executive offices are located at 3020 Carrington Mill Blvd, Suite 475, Morrisville, North Carolina, 27560. Our telephone number is 1-877-575-TGTX(8489), and our e-mail address is info@tgtxinc.com.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a corporate website with the address www.tgtherapeutics.com, a website with the address www.NextinMS, and various social media accounts, including but not limited to X (formerly Twitter) and LinkedIn. We also maintain websites related to BRIUMVI, including but not limited to www.BRIUMVI.com, and www.BRIUMVIPATIENTSUPPORT.com.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w:t>
      </w:r>
      <w:r>
        <w:rPr>
          <w:rFonts w:ascii="Times New Roman" w:hAnsi="Times New Roman"/>
          <w:caps w:val="false"/>
          <w:smallCaps w:val="false"/>
          <w:sz w:val="20"/>
          <w:u w:val="single"/>
        </w:rPr>
        <w:t xml:space="preserve"> http://www.sec.gov</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also review the information we post on the social media channels listed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fully-integrated, commercial stage biotechnology company focused on the acquisition, development and commercialization of novel treatments for B cell mediated diseases, our key corporate objectives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commercializing BRIUMVI in the U.S. for RMS and submitting for FDA approval a simplified dosing schedule for IV BRIUMVI in the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upon the BRIUMVI approval to evaluate other uses for BRIUMVI in additional MS indications and/or other autoimmune diseases;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Developing and seeking FDA approval of subcutaneous form of BRIUMVI (ublituximab);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Identifying additional areas to expand the use of BRIUMVI beyond MS;</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to expand our pipeline with mechanisms of importance to B-cell mediated diseases;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Evaluating the potential of azer-cel to treat patients with B-cell mediated diseases, including progressive forms of multiple sclerosis; and</w:t>
            </w:r>
          </w:p>
        </w:tc>
      </w:tr>
    </w:tbl>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our “patient first” culture as we grow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Approach and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approach to drug development is centered on developing therapies for B-cell mediated diseases. Our process begins by identifying validated targets against B-cell mediated diseases, and then searching for and, ideally, acquiring what we believe to be “best-in-class” compounds with complementary mechanisms against these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preference is to identify targets for which there is human clinical proof of concept that the mechanism is active in B-cell mediated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globally. This approach enables us to minimize target risk while looking for the best available drug candidates around the world. By focusing on B-cell mediated diseases and targets with a known activity profile, we believe that we can quickly identify the patients most likely to respond, resulting in a more efficient development path with the potential for a greater likelihood of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approach is enabled by our clinical development platform which includes an internal team with a deep understanding of B-cell mediated diseases and significant experience successfully obtaining FDA approval for innovative treatments for these complex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AUTOIMMUNE DISEASE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autoimmune disease occurs when the body’s immune system attacks and destroys healthy body tissue by mistake. There are currently more than 80 types of autoimmune disorders that have been identified. Some of these diseases may result from inappropriate production of antibodies from the B-cells. These antibodies cannot discriminate “self” from “non-self,” and inadvertently mount a disabling immune response against normal organs. Some of these diseases may not be antibody mediated but may still result from aberrant activity of B-cells. Examples of common and very debilitating autoimmune disorders for which abnormally functioning B-cells have been implicated include multiple sclerosis (MS) and rheumatoid arthritis (RA).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The Company’s primary focus is on MS.</w:t>
      </w:r>
    </w:p>
    <w:p>
      <w:pPr>
        <w:pStyle w:val="TextBody"/>
        <w:bidi w:val="0"/>
        <w:spacing w:before="0" w:after="0"/>
        <w:ind w:left="54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Multiple Sclerosis Overview</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RMS is a chronic demyelinating disease of the central nervous system (CNS) and includes people with relapsing-remitting multiple sclerosis (RRMS) and people with secondary progressive multiple sclerosis (SPMS) who continue to experience relapses. RRMS is the most common form of MS and is characterized by episodes of new or worsening signs or symptoms (relapses) followed by periods of recovery. MS is the most prevalent chronic inflammatory disease of the CNS. It is estimated that nearly 1 million people are living with MS in the United States and over 2.3 million people world-wide are living with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license worldwide development and commercial rights, subject to certain limited geographical restrictions, for all of our products under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current status for our lead drug candidates as of February 2026.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133"/>
        <w:gridCol w:w="60"/>
        <w:gridCol w:w="3153"/>
        <w:gridCol w:w="60"/>
        <w:gridCol w:w="2799"/>
      </w:tblGrid>
      <w:tr>
        <w:trPr/>
        <w:tc>
          <w:tcPr>
            <w:tcW w:w="413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Clinical Drug Candidate: (molecular target)</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31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Target Disease</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279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Stage of Development</w:t>
            </w:r>
          </w:p>
        </w:tc>
      </w:tr>
      <w:tr>
        <w:trPr/>
        <w:tc>
          <w:tcPr>
            <w:tcW w:w="413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Ublituximab IV (anti-CD20 mAb)</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31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RMS</w:t>
            </w:r>
          </w:p>
        </w:tc>
        <w:tc>
          <w:tcPr>
            <w:tcW w:w="60" w:type="dxa"/>
            <w:tcBorders/>
            <w:tcMar>
              <w:top w:w="0" w:type="dxa"/>
              <w:left w:w="0" w:type="dxa"/>
              <w:bottom w:w="0" w:type="dxa"/>
              <w:right w:w="0" w:type="dxa"/>
            </w:tcMar>
            <w:vAlign w:val="center"/>
          </w:tcPr>
          <w:p>
            <w:pPr>
              <w:pStyle w:val="TableContents"/>
              <w:bidi w:val="0"/>
              <w:spacing w:before="0" w:after="283"/>
              <w:jc w:val="left"/>
              <w:rPr/>
            </w:pPr>
            <w:r>
              <w:rPr/>
              <w:t> </w:t>
            </w:r>
          </w:p>
        </w:tc>
        <w:tc>
          <w:tcPr>
            <w:tcW w:w="2799"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APPROVED</w:t>
            </w:r>
          </w:p>
        </w:tc>
      </w:tr>
      <w:tr>
        <w:trPr/>
        <w:tc>
          <w:tcPr>
            <w:tcW w:w="4133" w:type="dxa"/>
            <w:tcBorders>
              <w:left w:val="single" w:sz="2" w:space="0" w:color="000000"/>
              <w:right w:val="single" w:sz="2" w:space="0" w:color="000000"/>
            </w:tcBorders>
            <w:tcMar>
              <w:top w:w="0" w:type="dxa"/>
              <w:bottom w:w="0" w:type="dxa"/>
            </w:tcMar>
            <w:vAlign w:val="center"/>
          </w:tcPr>
          <w:p>
            <w:pPr>
              <w:pStyle w:val="TableContents"/>
              <w:bidi w:val="0"/>
              <w:spacing w:before="0" w:after="0"/>
              <w:jc w:val="left"/>
              <w:rPr/>
            </w:pPr>
            <w:r>
              <w:rPr/>
              <w:t>Ublituximab IV Simplified Dosing Schedule</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3153" w:type="dxa"/>
            <w:tcBorders>
              <w:left w:val="single" w:sz="2" w:space="0" w:color="000000"/>
              <w:right w:val="single" w:sz="2" w:space="0" w:color="000000"/>
            </w:tcBorders>
            <w:tcMar>
              <w:top w:w="0" w:type="dxa"/>
              <w:bottom w:w="0" w:type="dxa"/>
            </w:tcMar>
            <w:vAlign w:val="center"/>
          </w:tcPr>
          <w:p>
            <w:pPr>
              <w:pStyle w:val="TableContents"/>
              <w:bidi w:val="0"/>
              <w:spacing w:before="0" w:after="0"/>
              <w:jc w:val="left"/>
              <w:rPr/>
            </w:pPr>
            <w:r>
              <w:rPr/>
              <w:t>RMS</w:t>
            </w:r>
          </w:p>
        </w:tc>
        <w:tc>
          <w:tcPr>
            <w:tcW w:w="60" w:type="dxa"/>
            <w:tcBorders/>
            <w:tcMar>
              <w:top w:w="0" w:type="dxa"/>
              <w:left w:w="0" w:type="dxa"/>
              <w:bottom w:w="0" w:type="dxa"/>
              <w:right w:w="0" w:type="dxa"/>
            </w:tcMar>
            <w:vAlign w:val="center"/>
          </w:tcPr>
          <w:p>
            <w:pPr>
              <w:pStyle w:val="TableContents"/>
              <w:bidi w:val="0"/>
              <w:spacing w:before="0" w:after="283"/>
              <w:ind w:left="0" w:right="0" w:hanging="0"/>
              <w:jc w:val="left"/>
              <w:rPr/>
            </w:pPr>
            <w:r>
              <w:rPr/>
              <w:t> </w:t>
            </w:r>
          </w:p>
        </w:tc>
        <w:tc>
          <w:tcPr>
            <w:tcW w:w="2799" w:type="dxa"/>
            <w:tcBorders>
              <w:left w:val="single" w:sz="2" w:space="0" w:color="000000"/>
              <w:right w:val="single" w:sz="2" w:space="0" w:color="000000"/>
            </w:tcBorders>
            <w:tcMar>
              <w:top w:w="0" w:type="dxa"/>
              <w:bottom w:w="0" w:type="dxa"/>
            </w:tcMar>
            <w:vAlign w:val="center"/>
          </w:tcPr>
          <w:p>
            <w:pPr>
              <w:pStyle w:val="TableContents"/>
              <w:bidi w:val="0"/>
              <w:spacing w:before="0" w:after="0"/>
              <w:jc w:val="left"/>
              <w:rPr/>
            </w:pPr>
            <w:r>
              <w:rPr/>
              <w:t>Phase 3 completed enrollment</w:t>
            </w:r>
          </w:p>
        </w:tc>
      </w:tr>
      <w:tr>
        <w:trPr/>
        <w:tc>
          <w:tcPr>
            <w:tcW w:w="413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Ublituximab Subcutaneous (anti-CD20 mAb)</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31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RMS</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279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Phase 3 enrolling</w:t>
            </w:r>
          </w:p>
        </w:tc>
      </w:tr>
      <w:tr>
        <w:trPr/>
        <w:tc>
          <w:tcPr>
            <w:tcW w:w="413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Azer-cel</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15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Progressive Forms of Multiple Sclerosis</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799"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Phase 1 enrolling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BRIUMVI (ublituximab-xiiy)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is an anti-CD20 monoclonal antibody that can be administered to adults with RMS in a one-hour infusion every 24 weeks, following the starting dose. BRIUMVI received approval by the FDA in December 2022 for the treatment of adults with RMS, including clinically isolated syndrome, relapsing-remitting disease, and active secondary progressive disease based on results from the ULTIMATE I &amp; II Phase 3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Late-Stage Clinical Development of Ublituximab-xiiy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ULTIMATE I &amp; II Trials Evaluating Single Agent Ublituximab in RMS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sz w:val="20"/>
        </w:rPr>
      </w:pPr>
      <w:r>
        <w:rPr>
          <w:sz w:val="20"/>
        </w:rPr>
        <w:t xml:space="preserve">ULTIMATE I and ULTIMATE II were two independent Phase 3 trials. Each trial was a global, randomized, multi-center, double-blinded, double-dummy, active-controlled study that evaluated the efficacy and safety/tolerability of ublituximab-xiiy (450mg dose administered by one hour intravenous infusion every six months, following a day 1 infusion of 150mg over four hours, and a day 15 infusion of 450mg over one hour) to teriflunomide (14mg oral tablets taken once daily) in subjects with RMS. The primary endpoint for each study was ARR following 96 weeks of treatment.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2020, we announced positive topline results from the ULTIMATE I &amp; II trials. Both studies met their primary endpoint of significantly reducing ARR over a 96-week period (p&lt;0.005 in each study) with ublituximab-xiiy demonstrating an ARR of &lt;0.10 in each of the studies. Relative reductions of approximately 60% and 50% in ARR over teriflunomide were observed in ULTIMATE I &amp; II, respectively. Key secondary magnetic resonance imaging (MRI) endpoints were also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In August 2022, the full results from the ULTIMATE I &amp; II trials were published in the New England Journal of Medicine.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we announced the issuance of three additional patents by the United States Patent and Trademark Office (USPTO) for BRIUMVI, which extended patent protection through 2042.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2024 we presented new five-year data from the ULTIMATE I &amp; II Phase 3 trials evaluating BRIUMVI® (ublituximab-xiiy) in patients with RMS, at the 2024 European Committee for Treatment and Research in Multiple Sclerosis (ECTRIMS) annual meeting. These data demonstrate that 92% of patients with RMS were free from disability progression after five years of BRIUMVI treatment, the annualized relapse rate during year five of treatment was 0.02 (equivalent to one relapse occurring every fifty years of patient treatment), and the overall safety profile remained consistent over five years of continuous treatment, with no new safety signals emerging with prolonged treatment. These data were published in JAMA Neurology in February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presented new six-year data from the ULTIMATE I &amp; II Phase 3 trials in patients with RMS at the 2025 ECTRIMS annual meeting. These data demonstrate that 89.9% of patients with RMS were free from 24-week confirmed disability progression after six years of continuous BRIUMVI treatment, the annualized relapse rate in the sixth year of BRIUMVI treatment was 0.012 (equivalent to one relapse occurring every 83 years of patients’ treatment), and the overall safety  profile remained consistent over six years of continuous treatment, with no new safety signals emerging with prolonged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ENHANCE Phase 3b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ENHANCE Phase 3b trial is an ongoing, multi-center, open-label study designed to evaluate alternative dosing regimens for BRIUMVI in patients with RMS. The first data from the non-randomized portion of the ENHANCE trial were presented at the 2023 ECTRIMS annual meeting. These data have been updated at various medical meetings, including most recently at the 2025 ECTRIMS annual meeting, and demonstrated that consolidating day 1 (150 mg) and day 15 (450 mg) BRIUMVI infusions into a single 600 mg dose on day 1 was well-tolerated across a range of infusion durations, from 1 hour to 4 hours, and the 4 hour 600 mg BRIUMVI day 1 infusion was associated with the lowest infusion related reaction (IRR) rate and is currently being evaluated in a double-blinded, randomized, label-enabling trial design compared to standard dosing.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Commercialization of BRIUMVI (ublituximab-xiiy)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2022, BRIUMVI received approval by the FDA for the treatment of adults with RMS, including clinically isolated syndrome, relapsing-remitting disease, and active secondary progressive disease based on results from the ULTIMATE I &amp; II Phase 3 trials. In January 2023, we announced the U.S. commercial launch of BRIUMVI, making it available to physicians and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Ex-U.S. Commercialization of BRIUMVI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entered into a Commercialization Agreement with Neuraxpharm, a leading European specialty pharmaceutical company focused on the treatment of CNS disorders, for the ex-U.S. commercialization of BRIUMVI. Under the terms of the commercialization agreement, we received an upfront payment of $140 million and $12.5 million upon launch in the first EU country. We are eligible to receive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we announced the commercial launch of BRIUMVI in the European Union (EU). BRIUMVI was first made available in the European market by Neuraxpharm in Germany and is now commercially available in several other countries outside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 xml:space="preserve">Subcutaneous Ublituximab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2024, we announced the initiation of a Phase 1 clinical trial evaluating subcutaneous ublituximab in patients with RMS. In September 2025, we announced enrollment had commenced in the Phase 3 pivotal program evaluating subcutaneous ublituximab. The Phase 3 pivotal program is a randomized, open label, parallel-group, multicenter study designed to evaluate the pharmacokinetics, pharmacodynamics, safety, radiological and clinical effects of subcutaneous ublituximab compared to IV BRIUMVI in adult participants with RMS. Participants will be randomized into one of three arms: 8-week regimen of subcutaneous ublituximab, 12-week regimen of subcutaneous ublituximab or the currently approved IV BRIUMVI dosing schedule. The primary endpoint of the trial is non inferior exposure of subcutaneous ublituximab compared to IV BRIUMVI with respect to AUC at week 24. In February 2026, we announced the trial is more than approximately 75% enrolled.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Azercabtagene Zapreleucel (azer-cel)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Azer-cel is an allogeneic (off-the-shelf) CD19-directed CAR T cell therapy under development by the Company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avoid graft-versus-host disease (GvHD), a significant complication associated with other donor-derived, cell-based therapies. In August 2024, we announced FDA clearance of the IND for azer-cel for the treatment of progressive forms of MS. In August 2025, we announced the first patient with progressive multiple sclerosis had been dosed with azer-cel in a Phase 1 trial.</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 AND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issued patents and pending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issued patents and pending patent applications or that we were the first to file patent applications covering such inventions. The patent positions of biotechnology and pharmaceutical companies are highly uncertain and involve complex legal and factual questions. To date, there has been no consistent policy regarding the breadth of claims allowed in biotechnology patents. Therefore, we cannot predict the breadth of claims that may be ultimately allowed from our pending patent applications, cannot predict whether the claims in our issued patents will be invalidated or modified through the district courts, Patent Trial and Appeal Board (PTAB) proceedings, or reexamination proceedings at the United States Patent and Trademark Office (USPTO), and thus cannot predict the enforceability of the claims in our issued patents or the claims that may ultimately issue from our pending patent applications. Third parties or competitors may challenge or circumvent our patents or patent applications, if issued. If our competitors prepare and file patent applications in the U.S. that claim technology also claimed by us in a pending patent application or issued patent, we may have to participate in interference proceedings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Patent Term Restoration and Marketing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upon the timing, duration and specifics of any FDA approval of our drug candidates, some of our U.S. patents may be eligible for limited patent term extension under the Drug Price Competition and Patent Term Restoration Act of 1984, commonly referred to as the Hatch-Waxman Act. The Hatch-Waxman Act permits restoration of the term of certain types of patents for up to five years as compensation for patent term lost during the FDA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application and the submission date of a New Drug Application (NDA) or BLA plus the time between the submission date of an NDA or BLA and the approval of that application. The calculation is subject to several subtractions for any portion of the regulatory review process that occurred before the date the patent was issued and any portion during which the FDA determined a lack of due diligence. Only one patent applicable to an approved drug is eligible for the extension and the application for the extension must be submitted prior to the expiration of the patent, and within 60 days of a product’s approval. The USPTO, in consultation with the FDA, reviews and approves the application for any patent term extension. Moreover, a patent can only be extended once, and thus, if a single patent is applicable to multiple products, it can only be extended based on one product. Following the approval of BRIUMVI in the U.S., we have applied for patent term extensions for certain of our issued U.S. patents covering our product and/or their methods of use. Similar provisions are available in Europe and certain other foreign jurisdictions to extend the term of a patent that covers an approved drug and have been filed for and granted in certain European Patent (EP) countries.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Also, under the Hatch-Waxman Act, drugs that are new chemical entities (NCEs) are eligible for a five-year period of marketing exclusivity in the United States.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Act also provides three years of marketing exclusivity for a drug product that contains an active moiety that has been previously approved,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Biologics Price Competition and Innovation Act of 2009 (BPCIA) created an abbreviated pathway for companies to bring biologic drugs to market that are biosimilar to previously approved branded reference products by relying on clinical studies that were performed by the reference product sponsor. The BPCIA also created a 12-year period of data exclusivity for innovator biologics, whereby the FDA cannot approve a biological license application (BLA) for a biosimilar product relying on data for a specific reference product until 12 years after the reference product is first licensed. BLA supplements are not eligible for any additional exclusivity. The objectives of the BPCIA are conceptually similar to those of the Hatch-Waxman Act. The implementation of an abbreviated approval pathway for biosimilar products is under the direction of the FDA. Since the enactment of the BPCIA, the FDA has issued guidance on biosimilars, addressing scientific, quality and procedural issues relevant to an abbreviated application for a biosimilar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A summary of our intellectual property portfolios for our most advanced drug candidates is included below. Each of these portfolios contains one or more pending patent applications covering our products and product candidates and uses and combinations thereof. For those patents, prosecution is in progress. Prosecution is a lengthy process, during which the scope of the claims initially submitted for examination by the USPTO is often significantly narrowed by the time they issue, if they issue at all. This may be the case with respect to our pending patent applications referred to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BRIUMVI (ublituximab-xiiy)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earliest in time patent family relates to compositions of matter for ublituximab, which have issued in the U.S., Europe and other jurisdictions, including Australia, Brazil, Canada, China, Israel, Japan, Korea and India. The expected expiration for the composition of matter patent in the U.S. is 2029, exclusive of patent term extension, which could result in later expiration date, and in Europe and other non-U.S. jurisdictions, exclusive of patent term extensions which could result in later expiration dates, is 2025. To date, patent term extension has been applied for in the U.S., and granted in Australia, Austria, Belgium, Switzerland, Germany, Denmark, Italy, France, United Kingdom, Netherlands, Poland, Spain, and Sweden, extending expiry into 2030 in these countries.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 recently filed patent family relates to compositions of matter comprising ublituximab, methods of manufacturing those compositions and methods for treating multiple sclerosis using those compositions. This family includes four issued U.S. patents and two pending U.S. applications, which extends patent protection on the composition of matter for ublituximab until 2042, not accounting for any patent term adjustment or extensions or terminal disclaimers. We also have patent applications pending in this family in the U.S., Argentina, the EU, Taiwan, United Arab Emirates, Australia, Brazil, Canada, China, Hong Kong, Israel, India, Japan, Korea, Kuwait, Mexico, and Saudi Arabia.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A further family of patents, presently in the PCT phase, relates to formulations for subcutaneous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the Biologics Price Competition and Innovation Act provides that BRIUMVI is eligible for 12 years of market exclusivity from the date of BRIUMVI’s U.S. approval, which was granted in December 2022. During this 12-year period, which extends until December 2034, a biosimilar product that references our BRIUMVI product cannot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Azer-Cel (allogeneic CD19 CAR 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license agreement with Precision, we have an exclusive license to develop and commercialize Precision’s azer-cel for the treatment of autoimmune and other non-oncology diseases and conditions as well as a non-exclusive license to manufacture azer-cel. The license agreement includes non-exclusive rights to a series of patents and patent applications in the U.S. and in multiple countries around the world, as well as non-exclusive rights to additional background patent rights. These patents and patent applications include composition of matter patents relating to azer-cel, as well as method of use patents which cover use of azer-cel.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Patent Rights and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Times New Roman" w:hAnsi="Times New Roman"/>
          <w:i/>
          <w:caps w:val="false"/>
          <w:smallCaps w:val="false"/>
          <w:sz w:val="20"/>
        </w:rPr>
        <w:t xml:space="preserve">Item 1A </w:t>
      </w:r>
      <w:r>
        <w:rPr>
          <w:rFonts w:ascii="Times New Roman" w:hAnsi="Times New Roman"/>
          <w:caps w:val="false"/>
          <w:smallCaps w:val="false"/>
          <w:sz w:val="20"/>
        </w:rPr>
        <w:t xml:space="preserve">– </w:t>
      </w:r>
      <w:r>
        <w:rPr>
          <w:rFonts w:ascii="Times New Roman" w:hAnsi="Times New Roman"/>
          <w:i/>
          <w:caps w:val="false"/>
          <w:smallCaps w:val="false"/>
          <w:sz w:val="20"/>
        </w:rPr>
        <w:t>Risk Factors - Risks Related to the Company</w:t>
      </w:r>
      <w:r>
        <w:rPr>
          <w:rFonts w:ascii="Times New Roman" w:hAnsi="Times New Roman"/>
          <w:caps w:val="false"/>
          <w:smallCaps w:val="false"/>
          <w:sz w:val="20"/>
        </w:rPr>
        <w:t>’</w:t>
      </w:r>
      <w:r>
        <w:rPr>
          <w:rFonts w:ascii="Times New Roman" w:hAnsi="Times New Roman"/>
          <w:i/>
          <w:caps w:val="false"/>
          <w:smallCaps w:val="false"/>
          <w:sz w:val="20"/>
        </w:rPr>
        <w:t>s Intellectual Property.</w:t>
      </w:r>
      <w:r>
        <w:rPr>
          <w:rFonts w:ascii="Times New Roman" w:hAnsi="Times New Roman"/>
          <w:caps w:val="false"/>
          <w:smallCaps w:val="false"/>
          <w:sz w:val="20"/>
        </w:rPr>
        <w:t>” In addition, the limited patent protection may adversely affect the value of our products or product candidates and may inhibit our ability to obtain a corporate partner at terms acceptable to us,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LICENSING AGREEMENTS AND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formed strategic alliances with a number of companies for the manufacture and commercialization of our products. Our current key strategic alliances are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BRIUMVI (ublituximab-xiiy)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LFB Biotechnologies S.A.S, GTC Biotherapeutics, LFB/GTC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From the inception of the LFB License Agreement, we incurred expenses of approximately $31.0 million related to the achievement of certain milestones under the LFB License Agreement. LFB Group is eligible to receive royalty payments on net sales of ublituximab at a royalty rate in the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Neuraxpharm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entered into a Commercialization Agreement with Neuraxpharm, for the ex-U.S. commercialization of BRIUMVI. Under the terms of the Commercialization Agreement, we received an upfront payment of $140 million and an additional $12.5 million upon launch in the first EU country. We are eligible to receive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w:t>
      </w:r>
    </w:p>
    <w:p>
      <w:pPr>
        <w:pStyle w:val="TextBody"/>
        <w:bidi w:val="0"/>
        <w:spacing w:before="0" w:after="0"/>
        <w:ind w:left="0" w:right="0" w:hanging="0"/>
        <w:jc w:val="left"/>
        <w:rPr/>
      </w:pPr>
      <w:r>
        <w:rPr/>
        <w:t> </w:t>
      </w:r>
    </w:p>
    <w:p>
      <w:pPr>
        <w:pStyle w:val="TextBody"/>
        <w:bidi w:val="0"/>
        <w:spacing w:before="0" w:after="0"/>
        <w:ind w:left="140" w:right="0" w:hanging="180"/>
        <w:jc w:val="both"/>
        <w:rPr>
          <w:rFonts w:ascii="Times New Roman" w:hAnsi="Times New Roman"/>
          <w:caps w:val="false"/>
          <w:smallCaps w:val="false"/>
          <w:sz w:val="20"/>
        </w:rPr>
      </w:pPr>
      <w:r>
        <w:rPr>
          <w:rFonts w:ascii="Times New Roman" w:hAnsi="Times New Roman"/>
          <w:b/>
          <w:caps w:val="false"/>
          <w:smallCaps w:val="false"/>
          <w:sz w:val="20"/>
        </w:rPr>
        <w:t>Azer-Cel</w:t>
      </w:r>
      <w:r>
        <w:rPr>
          <w:rFonts w:ascii="Times New Roman" w:hAnsi="Times New Roman"/>
          <w:caps w:val="false"/>
          <w:smallCaps w:val="false"/>
          <w:sz w:val="20"/>
        </w:rPr>
        <w:t xml:space="preserve"> </w:t>
      </w:r>
      <w:r>
        <w:rPr>
          <w:rFonts w:ascii="Times New Roman" w:hAnsi="Times New Roman"/>
          <w:b/>
          <w:caps w:val="false"/>
          <w:smallCaps w:val="false"/>
          <w:sz w:val="20"/>
        </w:rPr>
        <w:t>(allogeneic CD19 CAR T)</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January 2024, we, through our wholly-owned subsidiary, TG Cell Therapy, Inc., entered into a global exclusive license agreement with Precision to develop and commercialize azer-cel for autoimmune diseases and all other non-oncology indications. Pursuant to such license Agreement, the Company made an upfront payment to Precision of $7.5 million, consisting of (i) $5.25 million in cash and (ii) $2.25 million as an equity investment. The Company made an additional payment of $2.5 million as an equity investment to Precision in January 2025. Upon the achievement of certain near-term clinical or time-based milestones, the Company will make a further $7.5 million payment to Precision, a portion of which will also be an equity investment in Precision’s common stock at a pre-specified premium.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or a period of ten years following the first commercial sale of the licensed product in such country. The Company has also agreed to make certain payments to Precision’s licensors during the term of our license agreement with Precision.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BRIUMVI, there are a number of established therapies with which we compete: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t>Currently, BRIUMVI directly competes with ocrelizumab, the only other approved intravenously administered anti-CD20 monoclonal antibody (Roche Holdings AG). BRIUMVI also competes with a subcutaneous version of ocrelizumab administered by healthcare providers. In addition, BRIUMVI competes with ofatumumab (Novartis AG), a patient/self-administered subcutaneous anti-CD20 monoclonal antibody approved for MS. Ofatumumab would represent direct competition for any future self-administered subcutaneous formulation of ublituximab currently under development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There is the potential for a new class of therapies, Bruton’s tyrosine kinase (BTK) inhibitors, to be approved for the treatment of RMS. If approved, therapies in this class may compete with existing oral therapies and could alter treatment paradigms, including treatment sequencing, which may impact the utilization of anti-CD20 therapies such as BRIUMVI.</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pPr>
            <w:r>
              <w:rPr/>
              <w:t>In addition, novel mechanisms of action, including therapies targeting CD40 ligand (CD40L), are in clinical development for MS and other autoimmune diseases. While these programs are at varying and, in many cases, early stages of development, if successful they could introduce alternative treatment approaches that may compete with or reduce the utilization of existing therapies, including anti-CD20 monoclonal antibodies.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Azer-cel, if approved, would face competition from approved therapies and product candidates in development within the same therapeutic class. Many of these competitors may have greater resources, more extensive clinical or commercial experience, or product candidates that are further advanced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information can be found under Item “1A - Risk Factors – Other Risks Related to Our Business” within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SUPPLY AND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do not have any manufacturing capabilities of our own and we rely on third-party contract manufacturers for the clinical and commercial supply of our products. We have established a contract manufacturing relationship with Samsung Biologics for our primary clinical and commercial supply of BRIUMVI, and a secondary contract manufacturing relationship with FUJIFILM Diosynth Biotechnologies. As with any supply program, obtaining materials of sufficient quality and quantity to meet the requirements of the market demand for BRIUMVI and our development programs cannot be guaranteed and we cannot ensure that we will be successful in these endeavors.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manufacturing and testing services for our commercial products. However, due to the long lead times and costs associated with establishing and qualifying additional commercial manufacturing sites, we expect to rely on a limited number of contract manufacturers to produce our commercial products under current Good Manufacturing Practice, or cGMP, regulations for the foreseeable future. Our third-party manufacturing partners operate a limited number of facilities in which our product can be produced and will have limited experience in manufacturing our product candidates in quantities sufficient for commercialization. Additionally, our third-party manufacturers will have other clients and may have other priorities that could affect their ability to perform the work satisfactorily and/or on a timely basis. All of these occurrences would be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need to change or add manufacturers after commercialization, the FDA and corresponding foreign regulatory agencies will need to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AND INDUSTRY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Numerous governmental authorities, principally the FDA and corresponding state and foreign regulatory agencies, impose substantial regulations upon the clinical development, manufacture and marketing of our product candidates, as well as our ongoing research and development activities. We, along with our third-party contractors, will be required to navigate the various pre- and post-approval requirements of the governing regulatory agencies of the jurisdictions in which we wish to conduct clinical studies or market our product candidates. None of our product candidates, except BRIUMVI, are approved for sale in any market in which we have marketing rights. Before marketing in the U.S., any drug that we develop must undergo rigorous pre-clinical testing and clinical trials and an extensive regulatory review and approval process implemented by the FDA under the Federal Food, Drug, and Cosmetic Act (FDCA) and, in the case of biologics, the Public Health Service Act. The FDA regulates, among other things, the pre-clinical and clinical testing, safety, efficacy, approval, manufacturing, quality control and assurance, record keeping, pharmacovigilance and adverse event reporting, packaging, labeling, storage, advertising, promotion, import and export, sale and distribution of biopharmaceutical products. The process of obtaining regulatory approvals and the subsequent compliance with applicable federal, state, local and foreign statutes and regulations require the expenditure of substantial time and financial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Product Development and Applications for Marketing Authorization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clinical development and to pursue NDA or BLA approval, clinical trials are typically conducted in the following sequential phases: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Phase 1:</w:t>
            </w:r>
            <w:r>
              <w:rPr>
                <w:rFonts w:ascii="Times New Roman" w:hAnsi="Times New Roman"/>
                <w:caps w:val="false"/>
                <w:smallCaps w:val="false"/>
                <w:sz w:val="20"/>
              </w:rPr>
              <w:t> The drug is administered to a small group of humans, either healthy volunteers or patients, to test for safety, dosage tolerance, absorption, metabolism, excretion, and clinical pharmacology.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Phase 2: Studies are conducted on more patients to assess the product's efficacy, to ascertain dose tolerance and the optimal dose range, and to gather additional data relating to safety and potential adverse events.</w:t>
            </w:r>
          </w:p>
        </w:tc>
      </w:tr>
    </w:tbl>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Phase 3:</w:t>
            </w:r>
            <w:r>
              <w:rPr>
                <w:rFonts w:ascii="Times New Roman" w:hAnsi="Times New Roman"/>
                <w:caps w:val="false"/>
                <w:smallCaps w:val="false"/>
                <w:sz w:val="20"/>
              </w:rPr>
              <w:t> Studies establish safety and efficacy in an expanded patient population.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Phase 4:</w:t>
            </w:r>
            <w:r>
              <w:rPr>
                <w:rFonts w:ascii="Times New Roman" w:hAnsi="Times New Roman"/>
                <w:caps w:val="false"/>
                <w:smallCaps w:val="false"/>
                <w:sz w:val="20"/>
              </w:rPr>
              <w:t> The FDA may require Phase 4 post-marketing studies to find out more about the drug’s long-term risks, benefits, and optimal use, or to test the drug in different populations.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slow patient enrollment due to the nature of the clinical trial plan, the proximity of patients to clinical sites, the eligibility criteria for participation in the study or other factors;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inadequately trained or insufficient personnel at the study site to assist in overseeing and monitoring clinical trials or delays in approvals from a study site’s review board;</w:t>
            </w:r>
          </w:p>
        </w:tc>
      </w:tr>
    </w:tbl>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longer treatment time required to demonstrate efficacy or determine the appropriate product dose;</w:t>
            </w:r>
          </w:p>
        </w:tc>
      </w:tr>
    </w:tbl>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insufficient supply of the drug candidates;</w:t>
            </w:r>
          </w:p>
        </w:tc>
      </w:tr>
    </w:tbl>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medical events or side effects in treated patients; and</w:t>
            </w:r>
          </w:p>
        </w:tc>
      </w:tr>
    </w:tbl>
    <w:tbl>
      <w:tblPr>
        <w:tblW w:w="3355" w:type="dxa"/>
        <w:jc w:val="left"/>
        <w:tblInd w:w="0" w:type="dxa"/>
        <w:tblLayout w:type="fixed"/>
        <w:tblCellMar>
          <w:top w:w="0" w:type="dxa"/>
          <w:left w:w="0" w:type="dxa"/>
          <w:bottom w:w="0" w:type="dxa"/>
          <w:right w:w="0" w:type="dxa"/>
        </w:tblCellMar>
      </w:tblPr>
      <w:tblGrid>
        <w:gridCol w:w="60"/>
        <w:gridCol w:w="170"/>
        <w:gridCol w:w="3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ineffectiveness of the drug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clinical trials that are intended to form the basis of a new drug or biologics license application for approval, sponsors of drugs may apply for a Special Protocol Assessment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pStyle w:val="TextBody"/>
        <w:bidi w:val="0"/>
        <w:spacing w:before="0" w:after="0"/>
        <w:ind w:left="0" w:right="0" w:firstLine="72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the drug is intended to treat a serious or life-threatening condition; and</w:t>
            </w:r>
          </w:p>
        </w:tc>
      </w:tr>
    </w:tbl>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nonclinical or clinical data demonstrate the potential to address an unmet medical need.</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are also permitted to submit portions of an NDA or BLA to the FDA on a rolling basis where the FDA may consider reviewing portions of a marketing application before the sponsor submits the complete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 Completing the required post-approval clinical studies as designed can be difficult, especially as the treatment landscape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also becoming more common for the FDA to request a Risk Evaluation and Mitigation Strategy, or REMS, as part of an NDA/BLA. The REMS plan contains post-market obligations of the sponsor to train prescribing physicians, monitor off-label drug use, and conduct Phase 4 follow-up studies and registries to ensure the continued safe use of the drug.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Post-Approval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promotion and advertising requirements applicable to marketed products include, among other things, standards for direct-to-consumer advertising, restrictions against promoting products for uses or in patient populations that are not either described in the product’s approved indications and uses or otherwise consistent with the FDA-approved product labeling, limitations on industry-sponsored scientific and educational activities, rules regarding communication of health care economic information regarding biopharmaceutical products to payors and formularies, and requirements for promotional activities involving the internet. Drugs whose review was accelerated may carry additional requirements on marketing activities, including the requirement that all promotional materials are pre-submitted to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product approval, quality control and manufacturing procedures must continue to conform to applicable manufacturing requirements. FDA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and list their products with the FDA and certain state agencies. Manufacturers and their third-party contractors may be subject to periodic unannounced inspections by the FDA and certain state agencies for assessment of compliance with cGMPs and other applicable laws. Accordingly, manufacturers must continue to expend time, money, and effort in the areas of production and quality control to maintain quality control and manufacturing compliance. Discovery of problems with a product after approval may result in restrictions on a product,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per the DSCSA implementation timeline established by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for example, an accelerated approval filing with the FDA,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Coverage and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the Patient Protection and Affordable Care Act, as amended by the Health Care and Education Reconciliation Act of 2010, collectively the Affordable Care Act,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the enactment of the Affordable Care Act, certain provisions of the Affordable Care Act have been subject to judicial challenges as well as efforts to repeal or replace them or to alter their interpretation or implementation. For example, the Tax Cuts and Jobs Act of 2017 eliminated the shared responsibility payment for individuals who fail to maintain minimum essential coverage under section 5000A of the Internal Revenue Code of 1986, commonly referred to as the individual mandate. Litigation and legislation over the Affordable Care Act are likely to continue, with unpredictable and uncertain results, and the new U.S. administration and recent congressional seat turnover may result in increased regulatory and economic uncertainty with respect to the Affordable Care Act.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Inflation Reduction Act of 2022 (the IRA) includes, among other provisions, several measures intended to lower the cost of prescription drugs and related healthcare reforms, such as requiring manufacturers of certain drugs to engage in price negotiations with Medicare beginning in 2026, imposing rebates under Medicare Part B and Medicare Part D to penalize price increases that outpace inflation, and replacing the Part D coverage gap discount program with a new discounting program beginning in 2025. We cannot be sure whether additional or related legislation or rulemaking will be issued or enacted, or what impact, if any, such changes will have on the profitability of any of our drug candidates, if approved for commercial use,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in some foreign countries, the proposed pricing for a prescription drug must be approved before the drug may be lawfully marketed. The requirements governing drug pricing vary widely from country to country. For example, the United Kingdom and many European Union member states have robust health technology assessment processes to determine pricing and reimbursement for pharmaceuticals through their national health insurance system. Many European Union members states also include either direct or indirect price referencing, or other price control mechanisms, in determining the price of a pharmaceutical in their market. There can be no assurance that any country that has price controls or reimbursement limitations for pharmaceutical drugs will allow favorable reimbursement and pricing arrangements for any of our products. Historically, drugs launched in the European Union do not follow price structures of the U.S. and generally tend to be significantly lower.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U.S. Healthcare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laws; laws governing interactions with healthcare professionals and related transparency requirements (such as the federal Sunshine Act and a range of state biopharmaceutical marketing and transparency laws); and requirements for manufacturers to report certain calculated product prices to the government or provide certain discounts or rebates to government authorities or private entities, often as a condition of reimbursement under government healthcare programs. The compliance and enforcement landscape is informed by government enforcement precedent and settlement history, Advisory Opinions, and Special Fraud Alerts. The risks we face and our approach to compliance may evolve over time in light of these types of developments. The potential safe harbors available for, example, relative to the Anti-Kickback Statute, are subject to change through legislative and regulatory action, and we may decide to adjust our business practices or be subject to heightened scrutiny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research, consulting and other financial arrangements with physicians that the government alleged were not based on the provision of bona fide services and were intended as an inducement or reward.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also been a recent trend of increased federal and state regulation of payments made to physicians and other healthcare providers.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payments, transfers of value or ownership or investment interests that are not timely, accurately and completely reported in an annual submission. Drug manufacturers are required to submit annual reports to the Centers for Medicare &amp; Medicaid Services (CMS), which publicly posts the data on its website. These reporting obligations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be subject to data privacy and security regulation by both the federal government and the states in which we conduct our business. HIPAA, as amended by the Health Information Technology and Clinical Health Act, (HITECH), and their respective implementing regulations,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according to the U.S.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 For example, the California Consumer Protection Act, (CCPA) established a privacy framework for covered businesses by creating an expanded definition of personal information, data privacy rights for consumers in California, and a potentially severe statutory damages framework for violations of the CCPA and for businesses that fail to implement reasonable security procedures and practices to prevent data breaches. The CCPA was recently amended by the California Privacy Rights Act (CPRA), expanding certain consumer rights such as the right to know. It remains unclear what, if any, additional modifications will be made to these laws by the California legislature or how these laws will be interpreted and enforced. The potential effects of the CCPA and CPRA are significant and may cause us to incur substantial costs and expenses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Rest of the World Healthcare Regulation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February 20, 2026, we had 399 employees. None of our employees are represented by a collective bargaining agreement, and we have never experienced a work stoppage.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future success largely depends upon our continued ability to attract and retain a diverse workforce of highly skilled and dedicated employees. We pride ourselves on being an equal opportunity employer and strictly prohibit unlawful discrimination based on color, religion, gender, sexual orientation, gender identity/expression, national origin/ancestry, age, disability, marital and veteran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continue to grow our organization to support the commercialization of BRIUMVI and to enhance our overall development capabilities for current or future products under development. As part of that process, we will continue to evaluate the business needs and market opportunities, balancing in-house expertise and core competencies with outsourced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item1a"/>
      <w:bookmarkEnd w:id="7"/>
      <w:r>
        <w:rPr>
          <w:rFonts w:ascii="Times New Roman;Times;serif" w:hAnsi="Times New Roman;Times;serif"/>
          <w:b/>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You should carefully consider the following risk factors and the other information contained elsewhere in this Annual Report on Form 10-K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r>
        <w:rPr>
          <w:rFonts w:ascii="Times New Roman" w:hAnsi="Times New Roman"/>
          <w:caps w:val="false"/>
          <w:smallCaps w:val="false"/>
          <w:sz w:val="20"/>
        </w:rPr>
        <w:t> </w:t>
      </w:r>
      <w:r>
        <w:rPr>
          <w:rFonts w:ascii="Times New Roman" w:hAnsi="Times New Roman"/>
          <w:i/>
          <w:caps w:val="false"/>
          <w:smallCaps w:val="false"/>
          <w:sz w:val="20"/>
        </w:rPr>
        <w:t>Investors should also refer to the other information contained or incorporated by reference in this Annual Report on Form 10-K, including our financial statements and related notes, and our other filings from time to time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have one marketed product, BRIUMVI, which received approval from the FDA in December 2022, for the treatment of relapsing forms of multiple sclerosis (RMS), to include clinically isolated syndrome, relapsing-remitting disease, and active secondary progressive disease, in adults, as well as approval by several regulatory authorities outside of the U.S. for BRIUMVI to treat adult patients with RMS who have active disease defined by clinical or imaging features.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as a commercial company, and our ability to successfully overcome the risks associated with commercializing drugs in the biopharmaceutical industry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our receipt of marketing approvals, the terms of such approvals, and the countries in which such approvals are obtained;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efficacy, safety and tolerability as demonstrated in clinical trials and as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market introduction of BRIUMVI and any of our product candidates, as well as competitive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indications for which our products are approved, and other aspects of the approved labeling for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by physicians, advanced practitioners, major operators of neurology clinics, and patients of our products as safe, tolerable and effective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and perceived advantages or disadvantages of our products compared to alternative treatments;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offer our products for sale at competitive prices;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adequate reimbursement by third-party payors and government authorities;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of patient cost-sharing obligations, including copays and deductibles;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regulatory requirements by government authorities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relative convenience and ease of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prevalence and severity of side effects and adverse events;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willingness of the target patient population to try new therapies and of physicians to prescribe these therapies;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effectiveness of our sales and marketing efforts, as well as those of any current or future partners;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protecting our rights in our intellectual property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a reliable supply of our products that meets market demand;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favorable or unfavorable publicity relating to our products or relating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There are currently ongoing clinical studies evaluating BRIUMVI in patients with RMS, but the ultimate outcome of these and other studies remains uncertain.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with respect to BRIUMVI and any product candidate that the FDA or a comparable regulatory authority outside the U.S.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and any of our product candidates for which we in the future obtain marketing approval, may, after approval, be found to cause undesirable side effects that could result in significant negative consequences following commercialization.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or adverse events caused by BRIUMVI or other products or product candidates within the RMS space following introduction into the market, a number of potentially significant negative consequences could result,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approval or limit the approved indications for use of such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such drug candidates are distributed or administered, or to conduct additional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subject to regulatory investigations and government enforcement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decide to remove such drug candidates from the marketplace;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not be able to enter into collaboration agreements on acceptable terms and execute on our business model;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injury caused to individuals exposed to or taking our products;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may suffer.</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which may result in others commercializing drugs before or more successfully than we do, resulting in the reduction or elimination of our commercial opportunity.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 areas that we are, including within the neurological and immunological fields, some in direct competition with us. We may also compete with these organizations to recruit commercial and other key personnel, as well as study subjects for clinical trials. Smaller or early-stage companies may also prove to be significant competitors, particularly through collaborative arrangements with large and established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direct-to-consumer advertising and non-promotional communications (certain educational and scientific exchange), and with regard to potential competitor actions under federal law (such as the Lanham Act) and congruous state law, which protect businesses against the unfair competition of misleading advertising or labeling.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resources, including personnel and technology;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pharmaceutical development, clinical trial and pharmaceutical commercialization experience;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and expertise in exploitation of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capital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also face competition from these third parties in recruiting and retaining qualified personnel, establishing clinical trial sites, patient registration for clinical trials, and in identifying and in-licensing new products and product candidates.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as well as any products that we are able to commercialize in the future, may become subject to unfavorable pricing regulations or third-party payor coverage and reimbursement policies, which would harm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 See “Risk Factors – Risks Related to Governmental Regulation of the Pharmaceutical Industry and Legal Compliance Matters – We are subject to new legislation, regulatory proposals and third-party payor initiatives that may increase our costs of compliance and adversely affect our ability to market our products, obtain collaborators and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recent legislative and regulatory proposals in the United States have included “most favored nation” (“MFN”) or international reference pricing models that would tie reimbursement or net prices for certain drugs to the lowest price available in other countries. Adoption or expansion of MFN or similar reference pricing policies could result in downward pressure on U.S. pricing if BRIUMVI or any of our future products are sold at lower net prices in ex-U.S. markets. Because we have partnered the rights to commercialize BRIUMVI in territories outside of the U.S. and do not control pricing, reimbursement negotiations or commercial strategy in those territories, we may have limited ability to influence ex-U.S. pricing decisions that could be used as reference points under MFN or similar frameworks. As a result, pricing determinations made by our collaboration partner in Europe, including in response to local market access dynamics or governmental requirements, could adversely affect the reimbursement or net price realized for BRIUMVI in the U.S. or other markets, which could have a material adverse effect on our revenues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expand our commercialization operations, we may not be successful in commercializing BRIUMVI or any product candidate, if and when such product candidates are approved, and we may not be able to generate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Commercialization of pharmaceutical products is an extremely complex and highly capital and resource-intensive process. Even for established companies with existing infrastructure and significantly greater resources than we have, challenges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made and continue to make significant investments in our commercial organization and infrastructure. We have developed and expanded our processes and systems to support the ongoing commercialization of BRIUMVI following its commercial launch in the U.S. in January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factors that may inhibit our efforts to support the ongoing commercialization of BRIUMVI and our other product candidates on our own, or through partnership, and generate product revenues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time associated with the initial and ongoing training of commercialization personnel on the applicable disease states, products, competitors, and legal and regulatory compliance matters;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of commercialization personnel to obtain access to physicians or to effectively promote or provide education about BRIUMVI and any future approved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lack of complementary drugs to be offered by the Company, which may put us at a competitive disadvantage relative to companies with more extensive product lines;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third-party payors to deny reimbursement of, require rebates or discounts, or delay coverage decisions regarding BRIUMVI or following approval of any product candidates;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maintain a healthcare compliance program including effective mechanisms for compliance monitoring;</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establish and maintain commercial partnerships outside the 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or the inability of a third party with whom we have partnered, to maintain the necessary regulatory approvals required to operate in markets outside of the U.S.;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of product availability for commercial sale following approval and continued product supply;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unforeseen costs and expenses associated with creating a commercialization 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have entered into a Commercialization Agreement for the sale of BRIUMVI in certain territories outside the U.S., Canada and Mexico, the commercialization rights for which had been previously retained by the Company, which excludes certain countries in Asia subject to previously existing partnerships. We may enter into additional agreements in the future to facilitate commercialization of BRIUMVI and/or future products that receive approval in markets outside the U.S. through partnerships. In February 2024, BRIUMVI was first made available in the European market by Neuraxpharm in Germany and is now commercially available in several other jurisdictions outside of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decide to build and maintain a commercial infrastructure on our own in markets outside of the U.S., we expect to incur significant expenses, which could have a negative impact on our cash resources.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drug candidates that we may develop.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 risk of product liability exposure related to the testing of our product candidates in human clinical trials and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any products that we may commercialize;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clinical trial participants;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including the risk that any individuals who may face such related litigation may in turn seek to recover from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trial participants or patients;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products or product candidates that we may develop.</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Any contracts that we enter into with government entities may involve future funding and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the current U.S. political environment, there is significant uncertainty with respect to legislation, regulation and policy throughout the government with particular implications for companies that rely on government contracts. For a discussion on tariffs and changes to government regulations, including the BIOSECURE Act and related risks, see “Risk Factors – Risks Related to Our Business Organization and Governance, Strategy, Employees and Growth Management – Unfavorable global economic conditions and changes in government regulations could adversely affect our business, financial condition or results of operations.” Policy changes, shifts in international and trade relations, tariffs, budget uncertainty, shifting funding priorities, U.S. government shutdowns or the need to operate under continuing resolutions, the failure of the U.S. government to manage debt, the failure of the U.S. government to approve budgets, and/or other disruptions to federal government operations could result in contract terminations, delays in contract awards, reduction in contract scope, the failure to exercise contract options, the cancellation of planned procurements and fewer new business opportunities, all of which could have a material and adverse effect on our business, financial condition, and results of operations.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Financial Position and Need for Additional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incurred substantial operating losses since our inception, and we may incur losses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and launching and commercializing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and more recently the product revenues generated from BRIUMVI.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profitability. We may not be able to sustain or increase our profitability on a quarterly or annual basis. Our ability to maintain profitability depends upon our ability to generate substantial revenue. Our prior losses have had and will continue to have an adverse effect on our stockholders’ deficit and working capital should we be unable to maintain profitability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complete clinical trials that meet their clinical endpoints;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 and successfully complete all safety, pharmacokinetic, biodistribution, and non-clinical studies required to obtain U.S. and non-U.S. marketing approval for our product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approval from the FDA and comparable regulatory authorities outside of the U.S. to market and sell our product and product candidates, and maintain FDA and other global approvals of BRIUMVI for RMS;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and maintain commercial manufacturing capabilities with third parties that are satisfactory to the regulatory authorities, cost effective, and that are capable of providing commercial supply of our product and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expand on our commercialization infrastructure to commercialize BRIUMVI, and/or entering into collaborations with third parties;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develop, maintain, protect, and defend our intellectual property portfolio;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 market acceptance of BRIUMVI and any other products for which we may receive regulatory approval in the medical community and with third-party payors.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unable to generate significant and sustained revenues, we will not become or remain profitable and we will be unable to continue our operations without continued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While we do not expect to need to raise additional capital, we may need to do so. If we are unable to raise capital, if needed, we may be required to delay, limit, reduce or eliminate some of our drug development programs or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development of pharmaceuticals is capital-intensive. We are continuing to generate additional clinical data for BRIUMVI to support and potentially expand commercial adoption, including our Open-Label Extension of the Phase 3 ULTIMATE I and II trials, Phase 3 trial to evaluate subcutaneous ublituximab, Phase 3b ENHANCE trial, the Phase 4 ENABLE real-world observational study and additional Phase 4 clinical studies necessary to satisfy post-approval commitments for regulatory authorities. Moreover, we expect to continue to incur significant research and development expenses, as well as significant commercialization and outsourced manufacturing expenses as we continue to commercialize BRIUMVI and continue to advance our clinical trials to evaluate subcutaneous ublituximab, optimize intravenous BRIUMVI for patients with RMS, and evaluate BRIUMVI in other autoimmune diseases and azer-cel for the treatment of primary progressive 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and timing of our future funding requirements will depend on many factors,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and success of the ongoing commercialization of BRIUMVI and any other products for which we receive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timing of clinical and commercial manufacturing supply arrangements for each product and product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of expanding our sales, distribution, and other commercialization capabilities;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and timing of regulatory approvals;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progress of our clinical trials, including expenses to support the trials and milestone payments that may become payable under our license agreements;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establish and maintain strategic collaborations, including licensing and other arrangements;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costs involved in enforcing or defending patent claims or other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we in-license or invest in other indications or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regulatory authority outside of the U.S. for sale. For the foreseeable future, we will fund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Raising additional capital may cause dilution to our stockholders, restrict our operations or require us to relinquish rights to our technologies or drug candidates and occupy valuable management time and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experience the need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$250 million (the Initial Term Loan) pursuant to the financing agreement, dated August 2, 2024, that we entered into with Blue Owl Capital Corporation, as administrative agent, HealthCare Royalty and Blue Owl Capital (the Financing Agreement) (</w:t>
      </w:r>
      <w:r>
        <w:rPr>
          <w:rFonts w:ascii="Times New Roman" w:hAnsi="Times New Roman"/>
          <w:i/>
          <w:caps w:val="false"/>
          <w:smallCaps w:val="false"/>
          <w:sz w:val="20"/>
        </w:rPr>
        <w:t>see</w:t>
      </w:r>
      <w:r>
        <w:rPr>
          <w:rFonts w:ascii="Times New Roman" w:hAnsi="Times New Roman"/>
          <w:caps w:val="false"/>
          <w:smallCaps w:val="false"/>
          <w:sz w:val="20"/>
        </w:rPr>
        <w:t> Note 7 – Loan Payable to our consolidated financial statements for more information). In recent periods, there have been certain high-profile defaults and bankruptcies as well as increased risks, regulatory scrutiny and negative publicity in the private credit industry and related investments in credit funds. Such investments are subject to potential deterioration as adverse changes in macroeconomic conditions and changes in investment strategies may adversely impact the investment. If a significant global market correction or downturn results in a material adverse effect on our lenders or if our lenders are involved in defaults or bankruptcies, it may impair our ability to refinance our Initial Term Loan or raise additional capital.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Due to limited resources, we may fail to capitalize on programs or product candidates that may present a greater commercial opportunity or for which there is a greater likelihood of success.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focusing the majority of our resources and efforts on maintaining approval, improving and commercializing BRIUMVI and developing subcutaneous ublituximab and azer-cel for particular indications.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or target markets for BRIUMVI and our other product candidates,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 Further, we may focus our efforts and resources on potential product candidates or other potential programs that ultimately prove to be unsuccessful for which it would have been more advantageous to enter into a partnering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level of indebtedness and debt service obligations could adversely affect our financial condition and may make it more difficult for us to fund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we entered into a term loan facility of $250 million with Blue Owl Capital Corporation, as administrative agent, HealthCare Royalty and Blue Owl Capital. The Initial Term Loan is governed by the Financing Agreement, which provides for (i) a single draw of the Initial Term Loan on the Closing Date and (ii) an uncommitted additional facility in an aggregate principal amount of $100 million (see Note 7 – Loan Payable to our consolidated financial statements for more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obligations under the Financing Agreement are secured by a lien on substantially all of assets of our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 including in the ways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will need to repay the indebtedness by making payments of interest and principal, which will reduce the amount of money available to finance our operations, our research and development efforts and other general corporate activities;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have cash available in an amount sufficient to enable us to make interest or principal payments on our indebtedness when due.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Financing Agreement imposes operating and other restrictions on us. Such restrictions will affect, and in many respects limit or prohibit, our ability and the ability of any future subsidiary to, among other things (subject to the exceptions provided for in the Financing Agreement):</w:t>
      </w:r>
    </w:p>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dispose of certain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 its lines of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mergers, acquisitions, joint ventures or consolidations;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additional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create liens on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dividends and make contributions or repurchase our capital stock;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certain transactions with affiliates.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breach of any of these restrictive covenants could have a material adverse effect on our business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Drug Development and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maintain or obtain regulatory approval for our product or product candidates and ultimately cannot successfully commercialize our product or product candidates, or experience significant delays in doing so, our business will be materially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completion of our clinical programs with positive results that support a finding of effectiveness and an acceptable safety profile of our product candidates in the intended populations within the timeframes we have projected;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Investigational New Drug Applications (INDs) and clinical trial applications (CTAs), being cleared/issued/approved such that our product candidates can commence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 initiation and completion of preclinical studies and successful initiation of, enrollment in, and completion of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sufficiency of our financial and other resources to complete the necessary preclinical studies and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regulatory approvals from applicable regulatory authorities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establishing commercially viable arrangements with third-party manufacturers for clinical supply and commercial manufacturing;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obtaining and maintaining patent and trade secret protection or regulatory exclusivity for our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may change, or the perceived product profile may be negatively impacted, as more patient data or additional endpoints (including efficacy and safety) are analyzed.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may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 is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earlier stages of clinical testing. Companies frequently experience significant setbacks in advanced clinical trials, even after earlier clinical trials have shown promising results. There is a high rate of failure of pharmaceutical candidates proceeding through clinical trials.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assessment of the validity of the study results by applicable regulatory agencies.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may not translate to all, or any, secondary endpoints being met. As a result, top-line and preliminary data should be viewed with caution until the final data are available, including data from the full safety analysis and the final analysis of all endpoints.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scope of disclosure we have made or the conclusions we have reached, our ability to obtain approval for, or successfully commercialize, our product or product candidates may be harmed, which could harm our business, operating results, prospects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the results reported in our early-stage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Successful completion of our clinical trials is a prerequisite to submitting a New Drug Application (NDA) or a Biologics License Application (BLA) to the FDA or similar applications for marketing approval to comparable regulatory authorities outside of the U.S. for each product candidate and, consequently, the ultimate approval and commercial marketing of our product candidates. We do not know whether any of our ongoing or future clinical trials for our product candidates will be completed on schedule,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require us to submit additional data or impose other requirements before permitting us to initiate a clinical trial;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of our drug candidates may produce negative or inconclusive results, and we may decide, or regulatory authorities may require us, to conduct additional preclinical studies or clinical trials or we may decide to abandon drug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clinical trials of our product candidates may be greater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shifts in the regulatory focus of government agencies;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the Middle East, and South America, economic instability, or natural disasters;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revise the requirements applicable to our product candidates, or such requirements may not be as we anticipate;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refusal for or limitation on additional subjects to participate,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delayed in obtaining marketing approval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 obtain marketing approval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in some countries and not others;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marketing approval for indications or patient populations that are not as broad as intended or desired;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post-marketing requirements or post-marketing commitments;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 subject to increased pricing pressure;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the drug removed from the market after obtaining marketing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Biologics carry unique risks and uncertainties, which could have a negative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product or product candidates may cause undesirable side effects or adverse events that could delay or prevent their regulatory approval or impact their availability and commercial potential after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Unexpected or undesirable side effects or adverse events caused by BRIUMVI or any of our product candidates that we take into clinical trials could cause DSMBs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regulatory authorities outside of the U.S.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products or product candidates we may advance through clinical development are subject to extensive regulation, which can be costly and time consuming, cause unanticipated delays or prevent the receipt of the required approvals.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research, nonclinical and clinical development, manufacturing, labeling, packaging, storage, record-keeping, advertising, promotion, import, export, marketing and distribution, compliant handling,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regulatory authorities outside of the U.S. in the timelines we project or at all, we may be unable to generate the revenues that we may project or generate revenues at levels sufficient to sustain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and regulatory authorities outside of the U.S.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some of our clinical trials may be conducted as open-label studies, meaning that trial participants, investigators, site staff, some employees of our CROs, and our field-level employees (including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at any time prior to making its final decision, even after previous contrary determinations by the FDA.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us to withdraw a regulatory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reasons that the FDA or regulatory authorities around the world may delay, limit or deny approval of a product candidate,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to the satisfaction of the FDA or comparable regulatory authorities outside of the U.S. that a product candidate is tolerable and effective for an indication;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not accept clinical data from trials conducted by individual investigators or in countries where the standard of care or the patient population, is potentially different from that of the United States;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results of clinical trials may not meet the level of statistical significance required by the FDA or comparable regulatory authorities outside of the U.S. for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demonstrate that a product candidate’s clinical and other benefits outweigh its safety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submit additional information to the FDA which the FDA determines constitutes a major amendment to the application and thereby extends the goal date for determination of approvability of the application;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disagree with our interpretation of data from preclinical studies and/or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data collected from clinical trials of our product candidates may not be sufficient to support the submission of a BLA, NDA or other marketing authorization submission to obtain regulatory approval in the United States or elsewhere;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comparable regulatory authorities outside of the U.S. may identify issues related to the manufacturing processes or facilities of third-party manufacturers with which we or our collaborators currently contract for clinical supplies and plan to contract for commercial supplies; during the course of review, the FDA or regulatory authorities outside of the U.S.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regulatory authorities outside of the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approval processes of the FDA or comparable regulatory authorities outside of the U.S. may significantly change in a manner rendering our clinical data insufficient for approval;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interruptions or delays in the operations of the FDA and regulatory authorities outside of the U.S. as a result of global health crises, inadequate government funding, political conditions or economic crises, international conflict, or natural disasters may negatively impact review, inspection, and approval timelines.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 Breakthrough Therapy or Fast Track designation by the FDA may not actually lead to a faster development or regulatory review or approval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seek orphan drug designation for some of our drug candidates. However, we may be unsuccessful in obtaining or may be unable to maintain the benefits associated with orphan drug designation, including the potential for market exclusivity.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authorities in some jurisdictions, including the United States,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if a product with an orphan drug designation subsequently receives the first marketing approval for the indication for which it has such designation, the product is entitled to a period of marketing exclusivity, which precludes FDA or other comparable regulatory authorities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our clinical studies with sites outside the United States may be adversely impacted by international conflict, including in Russia and Ukraine, in the Middle East, and in South America. The conflict in Russia and Ukraine and its impact on neighboring countries may adversely affect clinical trial sites for our programs. While no clinical trials are currently enrolling patients in Russia, we do have actively enrolling clinical trials in Ukraine, and there are a number of trial subjects in long-term treatment and follow-up in both countries.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other countries have imposed sanctions against Russia and other restrictions from doing business with certain Russian companies and financial institutions. Our ability to conduct clinical trials in Russia, Ukraine and elsewhere in the region may also become restricted under applicable sanctions laws. Geopolitical conflicts and related government responses have resulted in global economic instability, which could affect our supply chain and commercialization efforts. While we currently do not believe such conflicts will have a material impact on product development or our overall business, given the evolving situation and the related geopolitical and economic uncertainties, the full impact of the conflict remains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FDA and other comparable regulatory authorities outside of the U.S. may not accept data from trials conducted in locations outside of their respective jurisdictions.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been conducting, and may continue to conduct, clinical trials globally. The acceptance of study data by the FDA or other comparable regulatory authorities outside of the U.S.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U.S. or regulatory authority outside of the U.S. would accept data from trials conducted outside of its applicable jurisdiction. If the FDA or any applicable regulatory authority outside of the U.S.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Approval of one of our product candidates in the United States would not assure approval of that candidate in jurisdictions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jurisdictions outside of the U.S.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jurisdiction outside of the U.S. on a timely basis, if at all. Failure to receive approval in certain markets outside of the U.S. could significantly impact the full market potential of our product and product candidates and may negatively impact the regulatory process in other countries. Furthermore, if we obtain regulatory approval for a product or product candidate in a jurisdiction outside of the U.S., we will be subject to the burden of complying with complex regulatory, legal, and other requirements that could be costly and could subject us to additional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do not have any manufacturing capabilities of our own and we rely on third-party contract manufacturers for the clinical and commercial supply of our products. We have established a contract manufacturing relationship with Samsung Biologics for our primary clinical and commercial supply of BRIUMVI, and a secondary contract manufacturing relationship with FUJIFILM Diosynth Biotechnologies. As with any supply program, obtaining materials of sufficient quality and quantity to meet the requirements of the market demand for BRIUMVI and our development programs cannot be guaranteed and we cannot ensure that we will be successful in these endeavors.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manufacturing and testing services for our commercial products. However, due to the long lead times and costs associated with establishing and qualifying additional commercial manufacturing sites, we expect to rely on a limited number of contract manufacturers to produce our commercial products under current Good Manufacturing Practice, or cGMP, regulations for the foreseeable future. Our third-party manufacturing partners operate a limited number of facilities in which our product can be produced and will have limited experience in manufacturing our product candidates in quantities sufficient for commercialization. Additionally, our third-party manufacturers will have other clients and may have other priorities that could affect their ability to perform the work satisfactorily and/or on a timely basis. All of these occurrences would be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need to change or add manufacturers either before or after commercialization, the FDA and comparable regulatory authorities outside of the U.S.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w:t>
      </w:r>
      <w:r>
        <w:rPr>
          <w:rFonts w:ascii="Times New Roman" w:hAnsi="Times New Roman"/>
          <w:caps w:val="false"/>
          <w:smallCaps w:val="false"/>
          <w:sz w:val="20"/>
        </w:rPr>
        <w:t> </w:t>
      </w:r>
      <w:r>
        <w:rPr>
          <w:rFonts w:ascii="Times New Roman" w:hAnsi="Times New Roman"/>
          <w:b/>
          <w:i/>
          <w:caps w:val="false"/>
          <w:smallCaps w:val="false"/>
          <w:sz w:val="20"/>
        </w:rPr>
        <w:t>may be unable to successfully develop, obtain regulatory approval for, or commercialize a subcutaneous formulation of our approved intravenous product, which could limit our ability to expand our market opportunity and patient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conducting a Phase 3 trial evaluating a subcutaneous (SubQ) formulation of ublituximab, which is approved in its intravenous (IV) form for the treatment of RMS. While IV BRIUMVI has demonstrated clinical benefit and gained commercial traction, development and commercialization of a SubQ version of ublituximab presents unique scientific, formulation, clinical, pharmacologic, manufacturing, regulatory, and operational challenges.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rely on the benefit and risk profile established for IV BRIUMVI in previously conducted pivotal clinical trials, the SubQ form of ublituximab requires optimization of pharmacokinetics to attain equivalent exposure to ensure that efficacy and safety are maintained at levels comparable to the approved IV formulation. Pharmacokinetic (PK) and pharmacodynamic (PD) effects may be reduced or altered when administered SubQ, which could create significant challenges in the development of a SubQ formulation of ublituximab. There is also a risk that systemic exposure, tissue distribution or tissue reactions differ in ways that lead to unforeseen efficacy issues, such as reduced clinical benefit or safety or tolerability issues, including injection site reactions or immunogenicity. Clinical development of a new formulation often takes place alongside process and formulation development, such that the form of the product evaluated in early-stage testing may not be the final form of the product evaluated in late-stage testing or intended to be commercialized, as is the case for SubQ ublituximab development. Furthermore, while early phase clinical trials can provide a general understanding of the bioavailability and tolerability of a SubQ product, they are limited in patient number and duration of follow-up, with the pivotal regimen determined through PK/PD modeling and projections. Such differences in safety, efficacy or PK/PD may not be observed until later stage clinical studies with the final formulation of SubQ ublituximab.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 development of a SubQ formulation, including SubQ ublituximab, typically requires additional clinical studies, including bridging studies and the use of delivery devices (e.g., auto-injectors or prefilled syringes), which may introduce new technical, supply chain, or regulatory challenges. Regulatory agencies may not consider bioequivalence sufficient for approval or may require additional data to demonstrate comparable effectiveness or safety, especially if the SubQ formulations have analytical differences. While the primary outcome of the pivotal clinical trial is to establish equivalent exposure, differences in other clinical properties including but not limited to PD effect, safety, tolerability, and immunogenicity may occur. In such cases, while the primary outcome of the clinical study may be met, regulatory agencies may still consider such a product not pharmaceutically equivalent.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SubQ formulation may involve higher concentration of the existing IV product, as in the case of SubQ ublituximab, which presents technical and analytical challenges. Concentrated products will have increased viscosity, which will result in decreased yield in the manufacturing process and may increase the cost of goods compared to that of IV BRIUMVI. The high concentration formulations currently under evaluation may not prove to be as stable as the IV BRIUMVI product. If the SubQ formulation is determined to have a shorter shelf life, we may require more inventory or reassess the commercial feasibility for distribution. and if a shorter shelf life is determined that may require either more inventory or even worse, may not be commercially feasible for distribution. Additionally, new supply chains have been and will continue to need to be developed, which adds complexity and magnifies the concerns around reliance on third parties, including establishing new vendors, their timeliness and quality of performance and potential for future supply constraints, and other limitations. Furthermore, the altered physical properties of the subcutaneous material have resulted in certain analytical differences from IV BRIUMVI that may require the development of new analytical methods for product characterization and release, if the current analytical methods used for IV BRIUMVI prove to be inadequate to characterize SubQ ublituximab. Analytical method development is a complex task that has both technical and regulatory implications, and there can be no assurances given that such development will be successful or be completed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approved, we cannot guarantee that the SubQ formulation of ublituximab will be successfully commercialized or achieve the same level of adoption as the IV formulation. Development, approval, and commercialization of the SubQ formulation of ublituximab will take considerable time and will be subject to completion with existing therapies and new therapies that may become available in the future. Failure to develop or obtain regulatory approval for a SubQ formulation, or to successfully commercialize it if approved, could materially limit our growth in markets that favor self-administration and reduce our competitive positioning relative to other self-administered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Governmental Regulation of Pharmaceutical Industry and Legal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subject to new legislation, regulatory proposals and third-party payor initiatives that may increase our costs of compliance and adversely affect our ability to market our products, obtain collaborators and raise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federal and state legislatures, health agencies and third-party payors continue to focus on containing the cost of healthcare and addressing public concern over access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is expected to result in less coverage in the ACA’s health insurance marketplace (Marketplace) over the next few years. The ACA premium tax credits expired at the end of 2025, which resulted in an additional loss of coverage for an estimated 24 million people that were previously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 Further, The Centers for Medicare &amp; Medicaid Services (CMS) recently proposed two mandatory payment model pilots, the Guarding U.S. Medicare Against Rising Drug Costs (GUARD) Model, focused on Part D drugs, and Global Benchmark for Efficient Drug Pricing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the Inflation Reduction Act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Individual states are experiencing significant economic pressure within their respective Medicaid programs and responding to public concern over the cost of healthcare. Several states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also a great degree of uncertainty regarding how the recent U.S. Supreme Court decisions, including Loper Bright Enterprises v. Raimondo and Corner Post, Inc. v. Board of Governors of the Federal Reserve System, will impact FDA’s enforcement and decision-making authority of regulatory agencies, including those of the FDA. Loper Bright explicitly overturned Chevron deference, which previously gave judicial deference to administrative action by agencies in the executive branch. Further, the Supreme Court’s decision in Corner Post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continued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discount program, recent legislative proposals, as well as judicial challenges to policies of the Department of Health and Human Services (HHS), present both opportunities and challenges for drug manufacturers participating in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be sure whether additional legislative changes will be enacted, or whether the FDA regulations, guidance or interpretations will be changed, or what the impact of such changes on the marketing approvals of our product candidates, if any, may be. Recent policy changes affecting the FDA have resulted in significant changes to research, testing, regulatory approval or clearance, manufacturing and marketing of FDA-regulated products. The FDA has also adopted certain programs, including the PreCheck Program and Commissioner’s National Priority Review Voucher Program, designed to increase domestic production of FDA-regulated products and increased enforcement activities by issuing larger numbers of warning letters to pharmaceutical companies related to violation of regulator standards governing direct-to-consumer advertising. In addition, increased scrutiny by Congress of the FDA’s approval process may significantly delay or prevent marketing approval, as well as subject us to more stringent product labeling and post-marketing testing and other requirements. Changes to healthcare regulation and policies, agency priorities, enforcement initiatives and focus, and coverage and reimbursement for healthcare products and services may be sudden and unexpected, and we may experience increased costs to monitor for such changes and respond to any new requirements affection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revenues and achieve or maintain profitability;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demand for any products for which we may obtain regulatory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set a price that we believe is fair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taxes that we are required to pay;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government funding of the FDA, SEC and other government agencies on which our operations may rely, including those that fund research and development activities, is subject to the political process, which is inherently fluid and unpredictable, and spending allocation priorities may undergo significant changes through congressional budgeting and appropriations processes. Disruptions at the FDA and other agencies may also extend the time necessary for new drugs to be reviewed and/or approved, including delays in PDUFA reviews and related activities, which would adversely affect our business. For example, over the last several years, the U.S. government shut down several times and certain regulatory agencies, such as the FDA and the SEC, had to furlough employees, experience substantial funding cuts and pause or delay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the approval of BRIUMVI in the U.S. and outside the U.S.,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wide range of federal and state consumer protection and unfair competition laws, which broadly regulate marketplace activities and activities that potentially harm consumers including those related to privacy;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FDCA and its implementing regulations, which among other things, strictly regulate drug product marketing and prohibit manufacturers from promotion and marketing of products prior to approval or for uses inconsistent with the FDA-required labeling;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Drug Supply Chain Security Act (DSCSA), which imposes obligations on entities in the commercial product supply chain, including manufacturers, to identify and track prescription drugs as they are distributed in the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state law equivalents of some of the above federal laws, such as anti-kickback and false claims laws that may apply to items or services reimbursed by any third-party payor, including commercial insurers, state transparency laws that require drug manufacturers to report information related to payments and other transfers of value to physicians and other healthcare providers or marketing expenditures and pricing information, state laws limiting interactions between pharmaceutical manufacturers and members of the healthcare industry, state laws that require pharmaceutical companies to comply with the industry’s voluntary compliance guidelines and the applicable guidance promulgated by the federal government or otherwise restrict payments that may be made to healthcare providers and other potential referral sources; marketing restrictions and state laws governing the privacy and security of health information in certain circumstances, many of which differ from each other in significant ways and often are not preempted by federal laws, thus complicating compliance efforts.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exposed to the risk that our employees, independent contractors, principal investigators, consultants, vendors, distributors and agents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or foreign regulatory authority requirements, including those laws that require the reporting of true, complete and accurate information to the FDA or foreign regulatory authorities,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violate applicable data privacy and security laws, we may be subject to penalties, including civil and criminal penalties, damages, fines, reputation harm and the curtailment or restructuring of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privacy and security laws in the various jurisdictions in which we operate our business and obtain or store personal information. The legislative and regulatory landscape for privacy and data protection continues to evolve, and there has been an increasing focus on privacy and data protection issues with the potential to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as amended (CCPA) imposes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protection agency is authorized to issue substantive regulations that could result in increased privacy and information security enforcement. Data privacy and cybersecurity are also areas of increasing state legislative focus. Among other things, new state-specific laws create additional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on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Numerous other jurisdictions regulate the privacy and security of personal data, such as the General Data Protection Regulation and the United Kingdom equivalent thereof (collectively,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experience a reportable cybersecurity incident or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In the U.S., most state data breach notification laws consider violations to be unfair or deceptive trade practices and give the relevant state attorneys general (AGs) the authority to levy fines or bring enforcement actions. Such AG investigations—which are often time consuming, expensive, and burdensome—may lead to a resolution agreement, whereby certain obligations are performed, and reports are made to the AG for a period of time, and/or civil penalties. Class action lawsuits against companies which experience a data breach involving personal information are also common. Additionally, the SEC and many jurisdictions have enacted or may enact laws and regulations requiring companies to disclose or otherwise provide notifications regarding data security breaches.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or perceived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directly or through our third-party service providers, may adopt, use or incorporate artificial intelligence (AI) technology and capabilities</w:t>
      </w:r>
      <w:r>
        <w:rPr>
          <w:rFonts w:ascii="Times New Roman" w:hAnsi="Times New Roman"/>
          <w:caps w:val="false"/>
          <w:smallCaps w:val="false"/>
          <w:sz w:val="20"/>
        </w:rPr>
        <w:t> </w:t>
      </w:r>
      <w:r>
        <w:rPr>
          <w:rFonts w:ascii="Times New Roman" w:hAnsi="Times New Roman"/>
          <w:b/>
          <w:i/>
          <w:caps w:val="false"/>
          <w:smallCaps w:val="false"/>
          <w:sz w:val="20"/>
        </w:rPr>
        <w:t>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w:t>
      </w:r>
      <w:r>
        <w:rPr>
          <w:rFonts w:ascii="Times New Roman" w:hAnsi="Times New Roman"/>
          <w:caps w:val="false"/>
          <w:smallCaps w:val="false"/>
          <w:sz w:val="20"/>
        </w:rPr>
        <w:t> </w:t>
      </w:r>
      <w:r>
        <w:rPr>
          <w:rFonts w:ascii="Times New Roman" w:hAnsi="Times New Roman"/>
          <w:b/>
          <w:i/>
          <w:caps w:val="false"/>
          <w:smallCaps w:val="false"/>
          <w:sz w:val="20"/>
        </w:rPr>
        <w:t>technology may adversely affect our business and operations and potentially expose us to increasing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(EU AI Act), which establishes a comprehensive, risk-based governance framework for AI in the EU market. The majority of the substantive requirements of the EU AI Act are not enforceable yet and are expected to apply from August 2, 2026.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adequately understand and comply with the local laws and customs as we expand into new international markets, these operations may incur losses or otherwise adversely affect our business and results of operations.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regulatory authorities outside of the U.S.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(focusing on national security-related technologies, including biotechnology),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 for which we obtain marketing approval, including BRIUMVI, could be subject to restrictions or withdrawal from the market and we may be subject to penalties if we fail to comply with regulatory requirements or if we experience unanticipated problems with our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outside of the U.S.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these regulatory requirements or later discovery of previously unknown problems with products, manufacturers, or manufacturing processes, may result in actions such as:</w:t>
      </w:r>
    </w:p>
    <w:p>
      <w:pPr>
        <w:pStyle w:val="TextBody"/>
        <w:bidi w:val="0"/>
        <w:spacing w:before="0" w:after="0"/>
        <w:ind w:left="0" w:right="0" w:hanging="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product manufacturing, distribution or use;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the labeling or marketing of a product;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requirements to conduct post-marketing studies or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warning letters or other advisory actions;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request for withdrawal of the products from the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approve pending applications or supplements to approved applications that we or our subsidiaries submit;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recalls;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suspension or termination of ongoing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fines, restitutions, or disgorgement of profits or revenues;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refusal to permit the import or export of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seizure or detentions;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injunctions or the imposition of civil or criminal penalties;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or any of our contract manufacturers and suppliers fail to comply with environmental, health and safety laws and regulations, we could become subject to fines or penalties or incur costs that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Dependence on Third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regulatory authorities outside of the U.S.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regulatory authorities outside of the U.S.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within certain timeframes. Failure to do so can result in fines, adverse publicity and civil and criminal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have staffing difficulties;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 to comply with contractual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experience regulatory compliance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undergo changes in priorities or become financially distressed;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form relationships with other entities, some of which may be our competitors.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We contract with third parties for the manufacture and testing of BRIUMVI for clinical and commercial supply, as well as for all </w:t>
      </w:r>
      <w:r>
        <w:rPr>
          <w:rFonts w:ascii="Times New Roman" w:hAnsi="Times New Roman"/>
          <w:caps w:val="false"/>
          <w:smallCaps w:val="false"/>
          <w:sz w:val="20"/>
        </w:rPr>
        <w:t> </w:t>
      </w:r>
      <w:r>
        <w:rPr>
          <w:rFonts w:ascii="Times New Roman" w:hAnsi="Times New Roman"/>
          <w:b/>
          <w:i/>
          <w:caps w:val="false"/>
          <w:smallCaps w:val="false"/>
          <w:sz w:val="20"/>
        </w:rPr>
        <w:t>development activities and clinical product supply for high concentration ublituximab and azer-cel,</w:t>
      </w:r>
      <w:r>
        <w:rPr>
          <w:rFonts w:ascii="Times New Roman" w:hAnsi="Times New Roman"/>
          <w:caps w:val="false"/>
          <w:smallCaps w:val="false"/>
          <w:sz w:val="20"/>
        </w:rPr>
        <w:t> </w:t>
      </w:r>
      <w:r>
        <w:rPr>
          <w:rFonts w:ascii="Times New Roman" w:hAnsi="Times New Roman"/>
          <w:b/>
          <w:i/>
          <w:caps w:val="false"/>
          <w:smallCaps w:val="false"/>
          <w:sz w:val="20"/>
        </w:rPr>
        <w:t xml:space="preserve">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facilities used by contract manufacturers to manufacture, test, package, and label our product and product candidates typically undergo periodic inspections by the FDA or a comparable regulatory authority outside of the U.S. to verify compliance with applicable cGMP regulations. Additional inspections may be conducted after we submit our marketing applications to or receive marketing approval from the FDA or a comparable regulatory authority outside of the U.S.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do 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reliance on third-party manufacturers entails additional risks, including:</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on the third party for regulatory compliance and quality assurance;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breach of the manufacturing, supply or quality agreement by the third party;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misappropriation of our proprietary information, including our trade secrets and know-how;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us.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Because we have in-licensed BRIUMVI and our product candidates from third parties, any dispute with or non-performance by our licensors will adversely affect our ability to develop and commercialize the applicable product or product candidate.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rights granted under the license agreement and other interpretation-related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extent to which our technology and processes infringe on intellectual property of the licensor that is not subject to the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sublicensing of patent and other rights under our collaborative development relationships and obligations associated with sublicensing;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diligence obligations under the license agreement and what activities satisfy those diligence obligations;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ownership of inventions and know-how resulting from the joint creation or use of intellectual property by our licensors and us and our partners;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priority of invention of patented technology.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conflicts arise between us and our future collaborators or strategic partners, these parties may act in a manner adverse to us and could limit our ability to implement our strategies.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we entered into a Commercialization Agreement (the Commercialization Agreement) with Neuraxpharm Pharmaceuticals, S.L. (Neuraxpharm), pursuant to which Neuraxpharm has the right to commercialize BRIUMVI in certain markets outside of the U.S. In February 2024, BRIUMVI was first made available in the European market by Neuraxpharm in Germany and is now commercially available in several other countries in the European Union and the United Kingdom. In addition to the Commercialization Agreement, we may enter into collaboration arrangements with other collaboration and commercialization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a number of risks associated with our dependence on our relationships with our collaboration and commercialization partners,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our collaboration and commercialization partners to terminate their collaboration or commercialization agreements with us for reasons specified in the collaboration or commercialization agreements, including our breach;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decisions by a collaboration or commercialization partner regarding the amount and timing of resource expenditures for the commercialization, distribution, and sale of our drug products;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perform its duties under its agreement with us, including failure to comply with regulatory requirements which may disrupt its performance of its obligations under the agreement with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 or commercialization partners’ and their affiliates’ development and commercialization of products that compete directly or indirectly with our products or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decisions by a collaboration or commercialization partner to prioritize others of its current or future products more highly than our drug products or our product candidates when it performs its duties;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disagreements with a collaboration or commercialization partner as to the timing, nature and extent of our development plans or distribution and sales and marketing plans;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Commercialization Agreement contains provisions that allow for dispute resolution, arbitration, and/or termination of the agreement by us in the event of a breach by Neuraxpharm, there can be no assurance that we and Neuraxpharm will agree on a cure for such a breach, and in the event of termination, there can be no assurance that we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seek to establish additional collaborations, and if we are not able to establish them on commercially reasonable terms, we may have to alter our development and commercialization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or comparable regulatory authority outside of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Risks Related</w:t>
      </w:r>
      <w:r>
        <w:rPr>
          <w:rFonts w:ascii="Times New Roman" w:hAnsi="Times New Roman"/>
          <w:caps w:val="false"/>
          <w:smallCaps w:val="false"/>
          <w:sz w:val="20"/>
          <w:u w:val="single"/>
        </w:rPr>
        <w:t> </w:t>
      </w:r>
      <w:r>
        <w:rPr>
          <w:rFonts w:ascii="Times New Roman" w:hAnsi="Times New Roman"/>
          <w:b/>
          <w:caps w:val="false"/>
          <w:smallCaps w:val="false"/>
          <w:sz w:val="20"/>
          <w:u w:val="single"/>
        </w:rPr>
        <w:t xml:space="preserve">to Our 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r>
        <w:rPr>
          <w:rFonts w:ascii="Times New Roman" w:hAnsi="Times New Roman"/>
          <w:caps w:val="false"/>
          <w:smallCaps w:val="false"/>
          <w:sz w:val="20"/>
        </w:rPr>
        <w:t xml:space="preserve"> </w:t>
      </w:r>
      <w:r>
        <w:rPr>
          <w:rFonts w:ascii="Times New Roman" w:hAnsi="Times New Roman"/>
          <w:b/>
          <w:i/>
          <w:caps w:val="false"/>
          <w:smallCaps w:val="false"/>
          <w:sz w:val="20"/>
        </w:rPr>
        <w:t>At the same time, if the scope of our patent protection is too broad, our competitors may challenge the validity and enforceability of our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risks and uncertainties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 applications that we or our licensors file may not issue as patent;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patents that may be issued or in-licensed may be challenged, invalidated, modified, revoked or circumvented, or otherwise may not provide any competitive advantage;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March 16, 2013, the United States converted from a first-to-invent to a first-to-file system. If we do not win the filing race, we will not be entitled to inventive priority;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countries other than the United States may have less restrictive patent laws than those of the United States, allowing foreign competitors to exploit such less restrictive patent laws to make, use, and/or sell competing products in their respective jurisdictions.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are not able to obtain patents that protect our product and product candidates, it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hAnsi="Times New Roman"/>
          <w:caps w:val="false"/>
          <w:smallCaps w:val="false"/>
          <w:sz w:val="20"/>
          <w:u w:val="single"/>
        </w:rPr>
        <w:t>,</w:t>
      </w:r>
      <w:r>
        <w:rPr>
          <w:rFonts w:ascii="Times New Roman" w:hAnsi="Times New Roman"/>
          <w:caps w:val="false"/>
          <w:smallCaps w:val="false"/>
          <w:sz w:val="20"/>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Patent protection and other intellectual property protection are crucial to the success of our business and prospects, and there is a substantial risk that such protections may prove inadequate.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patent term extensions under the Hatch-Waxman Act and similar foreign legislation extending the terms of our licensed patents and any future patents we may own, our business may be materially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enforce our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involved in lawsuits to protect or enforce our patents or the patents of our licensors, which could be expensive, time consuming and unsuccessful.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sued for infringing intellectual property rights of third parties, it will be costly and time consuming, and an unfavorable outcome in that litigation would have a material adverse effect on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products or product candidates that we may in-license or acquire could be subject to similar risks and uncertainties.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need to license certain intellectual property from third parties, and such licenses may not be available or may not be available on commercially reasonable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may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damages resulting from claims that we or our employees have wrongfully used or disclosed alleged trade secrets of our competitors or are in breach of non-competition or non-solicitation agreements with our competitors.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Business Organization and Governance, Strategy, Employees and Growth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keep key management, commercial, and clinical development personnel, we may be unable to successfully develop or commercialize our product and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will need to develop and expand our business, and we may encounter difficulties in managing this development and expansion, which could disrupt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anti-takeover provisions in our governing documents and Delaware law could make a third-party acquisition of us difficult. This could limit the price investors might be willing to pay in the future for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(NOL) carryforwards and certain other tax attributes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Although we have recently completed a 382 study, we may have experienced additional ownership changes after the completion of this study,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of our executive officers, directors, principal stockholders and their affiliates maintain the ability to exercise significant influence over our company and all matters submitted to stockholders for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delaying, deferring or preventing a change of control of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impeding a merger, consolidation, takeover or other business combination involving us;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internal information technology systems, or those of our third-party CROs, CMOs, or other contractors, vendors, or consultants, are vulnerable to failures or security breaches, which could result in a material disruption of our drug candidates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development programs and our commercialization of any products for which we receive regulatory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our internal information technology systems and those of our third-party CROs, CMOs, and other contractors, vendors, and consultants are vulnerable to damage from viruses, unauthorized access, security breach or incidents, natural disasters, terrorism, war and telecommunication and electrical failures. Security breaches include, but are not limited to, deployment of harmful malware, ransomware, denial-of-service attacks, vendor breaches, supply chain attacks, data breaches by employees, insiders or others with authorized access, social engineering and other means to affect service reliability and threaten the confidentiality, integrity and availability of our and our third-party service providers’ systems and the information stored on such systems. Security breaches can also include phishing attempts or e-mail fraud to cause unauthorized payments or information to be transmitted to an unintended recipient, or to permit unauthorized access to systems. Although we have experienced security events in the past, the impact on our operations and financial condition has not been material. We expect such cybersecurity threats to continue and become more sophisticated. Threat actors, including nation state attackers, could also use AI for malicious purposes, increasing the frequency and complexity of their attacks. A significant security breach or incident could cause our systems to fail, compromise the information stored on such systems, or cause significant business interruptions, which could result in a material disruption of our operations, financial loss, or reputational harm. For example, the unauthorized access to, disclosure of, or loss of clinical trial data for our drug candidates could result in delays in our regulatory approval efforts, violate healthcare privacy laws and regulations, result in legal claims or proceedings, and significantly increase the cost of remediation. High-profile security breaches at other companies and in government agencies have increased in recent years, and security industry experts and government officials have warned about the risks of hackers and cyber-attacks targeting businesses such as ours.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Unfavorable global economic conditions and changes in government regulations could adversely affect our business, financial condition or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Likewise, the capital and credit markets may be adversely affected by geopolitical conflicts and global sanctions imposed in response thereto. Other international events such as trade disputes, increased tariffs and countermeasures by affected countries, leadership changes and political and military conflicts could also adversely affect global financial activity and markets and could negatively affect the U.S. economy. The U.S. has imposed increased tariffs on certain countries, focusing on those with which it has the largest trade deficits. Other countries have responded, and may continue to respond, by announcing retaliatory tariffs on U.S. imports. In addition,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the U.S. announced a 100% tariff on any branded or patented pharmaceuticals imported into the U.S. from drug manufacturers that do not have, or is not in the process of building, a manufacturing facility in the U.S., which has been delayed as negotiations with large drug manufacturers continue. The terms and effects of such tariffs, if and as they are implemented, and other policy changes are uncertain and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 The tariffs have disrupted, and may continue to disrupt, the global markets and escalate tensions between the U.S. and other countries. The extent of the impact of geopolitical conflicts, sanctions and increased tariffs on our business specifically, or on the U.S. market and global economy generally, are uncertain and unpredictable, and could adversely affect our business, financial condition and results of operations as well as impact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entering, extending or renewing a contract with any entity using biotechnology equipment or services provided by a BCC to perform a government contract; or granting government funds or loans for such biotechnology equipment or services provided by a BCC. While we do not currently anticipate any material impact from the BIOSECURE Act, it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For example, we have made a significant investment in direct-to-consumer (DTC) advertising for BRIUMVI, a highly regulated form of marketing subject to significant scrutiny from FDA and other regulatory bodies. Television advertising in particular has undergone increased scrutiny in light of recent political changes, and we, along with all sponsors of marketed drugs, have received notification from the FDA mandating compliance with applicable regulations. To date, while we believe that all of our marketing efforts, including our direct-to-consumer advertising, comply with FDA regulations, regulators may adopt a more conservative viewpoint on advertising or future regulations may be adopted which restrict or prohibit our ability to directly advertise to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acquire businesses or drugs, or form strategic alliances, in the future, and we may not realize the benefits of such 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adverse legislative or regulatory tax changes that could negatively impact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changes in regulations or policies related to taxation and importation, including as a result of increased tariffs,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Risks Related to Our Common Stock and Being a Publicly Traded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stock price is, and we expect it to remain, volatile, which could limit investors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sell our stock at a profit.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has been and is likely to continue to be highly volatile and subject to wide fluctuations in price in response to various factors, many of which are beyond our control. These factors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the U.S.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reception and success of BRIUMVI in any jurisdiction outside of the U.S. in which it is currently approved, or in any other jurisdiction in which it might be approved or launched;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publicity regarding actual or potential clinical results relating to our product or products under development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delay or failure in initiating, completing or analyzing nonclinical or clinical trials or the unsatisfactory design or results of these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achievement or rejection of regulatory approvals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or new commercial products by our competitors 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proprietary rights, including patents;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concerning our collaborations;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variations in our operating results due to the level of development expenses and other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and trends in the pharmaceutical, biotechnology and other industries;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developments in the United States and foreign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or arbitration;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political and market conditions or other crises and other external factors such as the disruptions in the global economy caused by global health crises and geopolitical conflicts in Russia and Ukraine, the Middle East, and South America;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period-to-period fluctuations in our revenues and other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meet our revenue projections or guidance;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financial estimates by securities analysts;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repurchase of shares of our common stock pursuant to our share repurchase program;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occurrences of any of the other risks described in this Annual Report on Form 10-K.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not be able to control many of these factors, and we believe that period-to-period comparisons of our financial results will not necessarily be indicative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risks related to corporate social responsibility and reputational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us or our brands, including as a result of collaborations with third parties, could generate adverse publicity that could damage our reputation or the reputation of our brands or harm our relationships with customers, end-users, business partners, investors, or other key stakeholders. If we are unable to effectively manage real or perceived issues, including concerns about product quality, safety, corporate social responsibility or other ESG matters, sentiments toward us or our products could be negatively impacted, and our financial results could suffer.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Climate change or legal, regulatory or market measures to address climate change may negatively affect our business, supply chain, results of operations, financial condition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natural events beyond our control or climate change related regulations or market measures to address climate change have the potential to negatively affect our business, results of operations, financial condition and growth prospects. 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long-term effects of climate changes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or any of our third-party vendors may directly or indirectly incur. Further, new legal or regulatory requirements to address climate change may adversely affect our supply chain, increase operating costs, including costs of electricity and energy, as well as compliance and monitoring costs and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pay dividends, if any, are limited, and our stockholders may not receive any return on investment unless they sell their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 active trading market for our common stock may not be sustained, and investors may not be able to resell their shares at or above the price they paid.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publish negative evaluations of or downgrade our common stock, the price of our 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or our business. We do not control these analysts. If one or more of the analysts covering our business downgrade their 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compliance initiatives.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i/>
          <w:caps w:val="false"/>
          <w:smallCaps w:val="false"/>
          <w:sz w:val="20"/>
        </w:rPr>
        <w:t>Volatility in the price of our common stock may subject us to securities and shareholder derivative litigation, which could cause us to incur substantial costs and divert management</w:t>
      </w:r>
      <w:r>
        <w:rPr>
          <w:rFonts w:ascii="Times New Roman" w:hAnsi="Times New Roman"/>
          <w:caps w:val="false"/>
          <w:smallCaps w:val="false"/>
          <w:sz w:val="20"/>
        </w:rPr>
        <w:t>’</w:t>
      </w:r>
      <w:r>
        <w:rPr>
          <w:rFonts w:ascii="Times New Roman" w:hAnsi="Times New Roman"/>
          <w:b/>
          <w:i/>
          <w:caps w:val="false"/>
          <w:smallCaps w:val="false"/>
          <w:sz w:val="20"/>
        </w:rPr>
        <w:t>s attention, financial resources and other company assets.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Future sales of our common stock, including by us or our directors and executive officers or shares issued upon the exercise of currently outstanding options, could cause our stock price to decline.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2025, we announced that we completed our previously authorized $100 million share repurchase program and our Board of Directors authorized a new share repurchase program of up to an additional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2025, see the sections entitled “Purchases of Equity Securities by the Issuer and Affiliated Purchasers” in Part II, Item 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of any future share repurchases or share repurchase program authorizations by our Board of Directors.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8" w:name="item1b"/>
      <w:bookmarkEnd w:id="8"/>
      <w:r>
        <w:rPr>
          <w:rFonts w:ascii="Times New Roman" w:hAnsi="Times New Roman"/>
          <w:b/>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9" w:name="item1c"/>
      <w:bookmarkEnd w:id="9"/>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1C.</w:t>
      </w:r>
      <w:r>
        <w:rPr>
          <w:rFonts w:ascii="Times New Roman" w:hAnsi="Times New Roman"/>
          <w:b/>
          <w:caps w:val="false"/>
          <w:smallCaps w:val="false"/>
          <w:sz w:val="20"/>
        </w:rPr>
        <w:t xml:space="preserve">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implemented and maintain various information security processes designed to mitigate cybersecurity risks, on a case-by-case basis, to our critical computer networks, third party-hosted services, communications systems, hardware and software, and our critical data, including intellectual property, confidential information that is proprietary, strategic or competitive in nature, and data related to patients and clinical trials (IT Assets). The Company’s information security program, which is integrated into our overall risk management processes, evaluates threats posed by internal and external factors and supports daily operational functions that prevent unauthorized access or compromise.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Depending on the environment, we implement and maintain various technical, physical, and organizational measures, processes, standards and policies designed to manage and mitigate material risks from cybersecurity threats to our IT Assets, which include implementing policies and guidelines governing the individual use and protection of IT Assets by employees, employee training, and leveraging the capability of </w:t>
      </w:r>
      <w:r>
        <w:rPr>
          <w:rStyle w:val="Emphasis"/>
          <w:rFonts w:ascii="Times New Roman" w:hAnsi="Times New Roman"/>
          <w:caps w:val="false"/>
          <w:smallCaps w:val="false"/>
          <w:sz w:val="20"/>
        </w:rPr>
        <w:t>third</w:t>
      </w:r>
      <w:r>
        <w:rPr>
          <w:rFonts w:ascii="Times New Roman" w:hAnsi="Times New Roman"/>
          <w:caps w:val="false"/>
          <w:smallCaps w:val="false"/>
          <w:sz w:val="20"/>
        </w:rPr>
        <w:t>-party service providers to support our internal cybersecurity processes. These processes are aligned with the National Institute of Standards and Technology Cybersecurity Framework (NIST CSF) and the Center for Internet Security Critical Security Controls (CIS Controls). We have implemented and maintain a documented information security incident response plan that is based on the NIST CSF and CIS Controls and is designed to support the identification, escalation, response to, and recovery from cybersecurity incidents in accordance with defined internal procedures and governance processes. The incident response plan is periodically reviewed and tested, and incidents are escalated to appropriate internal stakeholders based on the nature and potential impact of the event. We continue to monitor proposed cybersecurity disclosure rules from the SEC and alter our procedures accordingly.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To further improve the effectiveness of our information security processes, we engage third-party service organizations to support monitoring aspects of the Company’s information technology (IT) environment and perform assessments of certain security controls, and provide aggregate, informational monthly reports to our corporate IT Security Team regarding the results of such </w:t>
      </w:r>
      <w:r>
        <w:rPr>
          <w:rStyle w:val="Emphasis"/>
          <w:rFonts w:ascii="Times New Roman" w:hAnsi="Times New Roman"/>
          <w:caps w:val="false"/>
          <w:smallCaps w:val="false"/>
          <w:sz w:val="20"/>
        </w:rPr>
        <w:t>third</w:t>
      </w:r>
      <w:r>
        <w:rPr>
          <w:rFonts w:ascii="Times New Roman" w:hAnsi="Times New Roman"/>
          <w:caps w:val="false"/>
          <w:smallCaps w:val="false"/>
          <w:sz w:val="20"/>
        </w:rPr>
        <w:t>-party assessments, training and vulnerability testing, data security posture, identified material cybersecurity risks and areas of improvement.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Risks from cybersecurity threats have not materially affected us to date and, based on management's current assessment, are not reasonably likely to materially affect us, our business strategy, results of operations or financial condition. However, the scope and impact of any future cybersecurity incidents cannot be predicted and there can be no assurance that our information security program will be effective in preventing material cybersecurity incidents in the future. For a description of the risks from cybersecurity threats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materially affect us and how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do so, see our risk factors under Part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Item </w:t>
      </w:r>
      <w:r>
        <w:rPr>
          <w:rStyle w:val="Emphasis"/>
          <w:rFonts w:ascii="Times New Roman" w:hAnsi="Times New Roman"/>
          <w:caps w:val="false"/>
          <w:smallCaps w:val="false"/>
          <w:sz w:val="20"/>
        </w:rPr>
        <w:t>1A.</w:t>
      </w:r>
      <w:r>
        <w:rPr>
          <w:rFonts w:ascii="Times New Roman" w:hAnsi="Times New Roman"/>
          <w:caps w:val="false"/>
          <w:smallCaps w:val="false"/>
          <w:sz w:val="20"/>
        </w:rPr>
        <w:t xml:space="preserve"> Risk Factors in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including the risk factor captioned “</w:t>
      </w:r>
      <w:r>
        <w:rPr>
          <w:rFonts w:ascii="Times New Roman" w:hAnsi="Times New Roman"/>
          <w:i/>
          <w:caps w:val="false"/>
          <w:smallCaps w:val="false"/>
          <w:sz w:val="20"/>
        </w:rPr>
        <w:t xml:space="preserve">Our internal information technology systems, or those of our </w:t>
      </w:r>
      <w:r>
        <w:rPr>
          <w:rStyle w:val="Emphasis"/>
          <w:rFonts w:ascii="Times New Roman" w:hAnsi="Times New Roman"/>
          <w:i/>
          <w:caps w:val="false"/>
          <w:smallCaps w:val="false"/>
          <w:sz w:val="20"/>
        </w:rPr>
        <w:t>third</w:t>
      </w:r>
      <w:r>
        <w:rPr>
          <w:rFonts w:ascii="Times New Roman" w:hAnsi="Times New Roman"/>
          <w:i/>
          <w:caps w:val="false"/>
          <w:smallCaps w:val="false"/>
          <w:sz w:val="20"/>
        </w:rPr>
        <w:t xml:space="preserve">-party CROs, CMOs, or other contractors or consultants, </w:t>
      </w:r>
      <w:r>
        <w:rPr>
          <w:rStyle w:val="Emphasis"/>
          <w:rFonts w:ascii="Times New Roman" w:hAnsi="Times New Roman"/>
          <w:i/>
          <w:caps w:val="false"/>
          <w:smallCaps w:val="false"/>
          <w:sz w:val="20"/>
        </w:rPr>
        <w:t xml:space="preserve">may </w:t>
      </w:r>
      <w:r>
        <w:rPr>
          <w:rFonts w:ascii="Times New Roman" w:hAnsi="Times New Roman"/>
          <w:i/>
          <w:caps w:val="false"/>
          <w:smallCaps w:val="false"/>
          <w:sz w:val="20"/>
        </w:rPr>
        <w:t>fail or suffer security breaches, which could result in a material disruption of our drug candidates</w:t>
      </w:r>
      <w:r>
        <w:rPr>
          <w:rFonts w:ascii="Times New Roman" w:hAnsi="Times New Roman"/>
          <w:caps w:val="false"/>
          <w:smallCaps w:val="false"/>
          <w:sz w:val="20"/>
        </w:rPr>
        <w:t xml:space="preserve">’ </w:t>
      </w:r>
      <w:r>
        <w:rPr>
          <w:rFonts w:ascii="Times New Roman" w:hAnsi="Times New Roman"/>
          <w:i/>
          <w:caps w:val="false"/>
          <w:smallCaps w:val="false"/>
          <w:sz w:val="20"/>
        </w:rPr>
        <w:t>development programs and our commercialization of any products for which we receive regulatory approval</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and our Chief Executive Officer are responsible for oversight of the Company’s overall risk management program, including as to cybersecurity related risks, while management is responsible for the day-to-day risk management processes. The Board receives regular reports from our Chief Executive Officer, Chief Financial Officer and other members of management, regarding material cybersecurity threats and risks, effectiveness of our information security processes and status of ongoing cybersecurity initiatives and strategies. Our information technology (IT) team, which is overseen by our Vice President of IT, is responsible for the identification, assessment and management of cybersecurity risks we face and ensuring effective implementation of the Company’s overall cybersecurity efforts. Our Vice President of IT has over 25 years of experience in IT systems, including cybersecurity risk management and incident response, and holds multiple industry-recognized certifications. Our Vice President of IT receives regular reports from the corporate IT Security Team, together with information provided by our third-party service organizations that support monitoring of aspects of the Company’s IT environment, regarding the Company’s material cybersecurity threats and risks and the processes the Company has implemented to address them, which information is reported, as appropriate, to the Chief Financial Officer.</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item2"/>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corporate and executive space in Morrisville, North Carolina and New York, New York. We are also currently leasing small office space in Boca Raton,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existing facilities are adequate to meet our current requirements. We do not own any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We, and our subsidiaries, are not a party to, and our property is not the subject of, any material pending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item5"/>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and trades under the symbol “TGTX”.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record holders of our common stock as of February 23, 2026 was 196.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common stock. Any future determination to pay dividends will be at the discretion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Securities Authorized for Issuance Under Equity Compensation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as of December 31, 2025, regarding the securities authorized for issuance under the TG Therapeutics, Inc. Amended and Restated 2012 Incentive Plan (the 2012 Incentive Plan) and the TG Therapeutics, Inc. 2022 Incentive Plan (the 2022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Equity Compensation Plan Information</w:t>
      </w:r>
    </w:p>
    <w:p>
      <w:pPr>
        <w:pStyle w:val="TextBody"/>
        <w:bidi w:val="0"/>
        <w:spacing w:before="0" w:after="0"/>
        <w:ind w:left="0" w:right="0" w:hanging="0"/>
        <w:jc w:val="center"/>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4955"/>
        <w:gridCol w:w="60"/>
        <w:gridCol w:w="82"/>
        <w:gridCol w:w="1182"/>
        <w:gridCol w:w="60"/>
        <w:gridCol w:w="60"/>
        <w:gridCol w:w="391"/>
        <w:gridCol w:w="1189"/>
        <w:gridCol w:w="60"/>
        <w:gridCol w:w="60"/>
        <w:gridCol w:w="101"/>
        <w:gridCol w:w="1493"/>
        <w:gridCol w:w="60"/>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available for</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issuance</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to be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equity</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(excluding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reflected</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column 1)</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6,650,149</w:t>
            </w:r>
          </w:p>
        </w:tc>
        <w:tc>
          <w:tcPr>
            <w:tcW w:w="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6,650,149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information about all of our equity compensation plans see Note 6 to our Consolidated Financial Statements included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Stock Performance 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graph compares the cumulative total stockholder return on our common stock for the period from December 31, 2020 through December 31, 2025, with the cumulative total return over such period on (i) the U.S. Index of The Nasdaq Stock Market and (ii) the Biotechnology Index of The Nasdaq Stock Market. The graph assumes an investment of $100 on December 31, 2020, in our common stock (at the adjusted closing market price) and in each of the indices listed above, and assumes the reinvestment of all dividends. Measurement points are December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1870075" cy="892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0075" cy="892175"/>
                    </a:xfrm>
                    <a:prstGeom prst="rect">
                      <a:avLst/>
                    </a:prstGeom>
                  </pic:spPr>
                </pic:pic>
              </a:graphicData>
            </a:graphic>
          </wp:inline>
        </w:drawing>
      </w:r>
    </w:p>
    <w:p>
      <w:pPr>
        <w:pStyle w:val="TextBody"/>
        <w:bidi w:val="0"/>
        <w:spacing w:before="0" w:after="0"/>
        <w:ind w:left="0" w:right="0" w:hanging="0"/>
        <w:jc w:val="left"/>
        <w:rPr/>
      </w:pPr>
      <w:r>
        <w:rPr/>
        <w:t xml:space="preserve">  </w:t>
      </w:r>
    </w:p>
    <w:p>
      <w:pPr>
        <w:pStyle w:val="HorizontalLine"/>
        <w:bidi w:val="0"/>
        <w:spacing w:before="0" w:after="0"/>
        <w:jc w:val="left"/>
        <w:rPr/>
      </w:pPr>
      <w:r>
        <w:rPr/>
      </w:r>
    </w:p>
    <w:p>
      <w:pPr>
        <w:pStyle w:val="TextBody"/>
        <w:bidi w:val="0"/>
        <w:spacing w:before="0" w:after="0"/>
        <w:ind w:left="0" w:right="0" w:hanging="0"/>
        <w:jc w:val="both"/>
        <w:rPr>
          <w:rFonts w:ascii="Times New Roman" w:hAnsi="Times New Roman"/>
          <w:caps w:val="false"/>
          <w:smallCaps w:val="false"/>
          <w:sz w:val="16"/>
        </w:rPr>
      </w:pPr>
      <w:r>
        <w:rPr>
          <w:rFonts w:ascii="Times New Roman" w:hAnsi="Times New Roman"/>
          <w:b/>
          <w:caps w:val="false"/>
          <w:smallCaps w:val="false"/>
          <w:sz w:val="16"/>
        </w:rPr>
        <w:t>*</w:t>
      </w:r>
      <w:r>
        <w:rPr>
          <w:rFonts w:ascii="Times New Roman" w:hAnsi="Times New Roman"/>
          <w:caps w:val="false"/>
          <w:smallCaps w:val="false"/>
          <w:sz w:val="16"/>
        </w:rPr>
        <w:t>     $100 invested on December 31, 2020 in stock or index, including reinvestment of dividends. Fiscal Years ending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i/>
          <w:caps w:val="false"/>
          <w:smallCaps w:val="false"/>
          <w:sz w:val="20"/>
        </w:rPr>
        <w:t>Sale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i/>
          <w:caps w:val="false"/>
          <w:smallCaps w:val="false"/>
          <w:sz w:val="20"/>
        </w:rPr>
        <w:t>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we nor any affiliated purchaser repurchased any of our equity securities during the quarter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the Company announced that its Board of Directors had authorized and approved the Prior Share Repurchase Program for up to $100 million of the currently outstanding shares of the Company’s common stock. Repurchases under the Prior Share Repurchase Program were made using open market purchases, privately negotiated transactions, block purchases or other methods in accordance with applicable federal securities laws, including Rule 10b-18 of the Exchange Act. The Prior Share Repurchase Program did not have a fixed expiration date, may be suspended or discontinued at any time, and did not obligate us to acquire any particular amount of common stock. On September 3, 2025, the Company announced the completion of the Prior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 2025, the Company announced that its Board of Directors had authorized and approved the 2025 Share Repurchase Program for up to $100 million of the currently outstanding shares of the Company’s common stock. Repurchases under the 2025 Share Repurchase Program may be made using open market purchases, privately negotiated transactions, block purchases or other methods in accordance with applicable federal securities laws, including Rule 10b-18 of the Exchange Act. The 2025 Share Repurchase Program does not have a fixed expiration date, may be suspended or discontinued at any time, and does not obligate us to acquire any particular amount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tem6"/>
      <w:bookmarkEnd w:id="15"/>
      <w:r>
        <w:rPr>
          <w:rFonts w:ascii="Times New Roman" w:hAnsi="Times New Roman"/>
          <w:b/>
          <w:caps w:val="false"/>
          <w:smallCaps w:val="false"/>
          <w:sz w:val="20"/>
        </w:rPr>
        <w:t>ITEM 6. RESERVED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6" w:name="item7"/>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contains forward-looking statements regarding our business, operations, financial condition, and prospects. Forward-looking statements are based on various assumptions and estimates that are inherently subject to significant risks and uncertainties, and our results could differ materially from those anticipated as a result of many known or unknown factors, including, but not limited to, those factors discussed in “Risk Factors.” See also the “Special Cautionary Notice Regarding Forward-Looking Statements” included at the beginning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You should read the following discussion and analysis in conjunction with “Item 8. Financial Statements and Supplementary Data,” and our consolidated financial statements beginning on page </w:t>
      </w:r>
      <w:hyperlink w:anchor="report">
        <w:r>
          <w:rPr>
            <w:rStyle w:val="InternetLink"/>
            <w:rFonts w:ascii="Times New Roman" w:hAnsi="Times New Roman"/>
            <w:caps w:val="false"/>
            <w:smallCaps w:val="false"/>
            <w:sz w:val="20"/>
            <w:u w:val="single"/>
          </w:rPr>
          <w:t>F-1</w:t>
        </w:r>
      </w:hyperlink>
      <w:r>
        <w:rPr>
          <w:rFonts w:ascii="Times New Roman" w:hAnsi="Times New Roman"/>
          <w:caps w:val="false"/>
          <w:smallCaps w:val="false"/>
          <w:sz w:val="20"/>
        </w:rPr>
        <w: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We also actively evaluate complementary products, technologies and companies for in-licensing, partnership, acquisition and/or investment opportunities.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Commercial Launch and Market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BRIUMVI (ublituximab-xiiy), an anti-CD20 monoclonal antibody indicated for the treatment of relapsing forms of multiple sclerosis (RMS), was approved by the U.S. Food and Drug Administration (FDA) in December 2022 and commercially launched in the United States in January 2023. BRIUMVI is administered as a one-hour, twice per year infusion following the starting dose. Since launch, our commercialization efforts have focused on expanding prescriber awareness, increasing penetration across infusion centers and neurology practices, securing payer coverage, and supporting patient access within a competitive RMS treatment landscape.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BRIUMVI’s clinical profile, including its one-hour infusion time and twice-annual dosing schedule, together with demonstrated efficacy and safety in pivotal trials and accumulating real-world experience, supports its positioning within the anti-CD20 therapeutic class. The anti-CD20 class represents a significant segment of the RMS market, reflecting physician familiarity with the mechanism of action and long-term treatment considerations. Our ability to expand adoption is dependent on continued execution across access and site-of-care pathways; however, uptake may be influenced by factors including established prescribing practices, patient switching dynamics, payer coverage and utilization management requirements, competitive contracting, site-of-care logistics, and evolving treatment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entered into a Commercialization Agreement with Neuraxpharm Pharmaceuticals, S.L. (Neuraxpharm), pursuant to which Neuraxpharm obtained rights to commercialize BRIUMVI outside the United States. Under the agreement, we are eligible to receive milestone payments, royalties and revenue from product supply to Neuraxpharm. The timing and magnitude of ex-U.S. revenues depend on country-specific regulatory approvals, pricing and reimbursement determinations, launch timing, and commercial uptake. We provide development, regulatory, and other support services as required under the agreement to facilitate commercialization activities in applicable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RMS market is highly competitive and includes numerous approved disease-modifying therapies with varying mechanisms of action, routes of administration, safety profiles, and dosing schedules. Competitive dynamics may be influenced by pricing and contracting strategies, payer utilization management practices, the introduction of new branded products or biosimilars, and broader healthcare system and macroeconomic conditions. Our ability to continue to grow BRIUMVI revenues will depend on sustained physician adoption, patient persistence and adherence, competitive differentiation within the anti-CD20 class, and continued access across commercial and government payers.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net product revenue is subject to gross-to-net adjustments, including mandatory government discounts and rebates, contractual rebates and chargebacks, trade discounts and allowances (including cash discounts), product returns, distribution fees, and patient support programs. These adjustments are influenced by payer mix, coverage determinations, contracting dynamics, and patient assistance utilization, and may fluctuate from period to period. As our commercial footprint expands and payer contracting strategies evolve, the magnitude and variability of these adjustments may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b/>
          <w:caps w:val="false"/>
          <w:smallCaps w:val="false"/>
          <w:sz w:val="20"/>
        </w:rPr>
      </w:pPr>
      <w:r>
        <w:rPr>
          <w:rFonts w:ascii="Times New Roman" w:hAnsi="Times New Roman"/>
          <w:b/>
          <w:caps w:val="false"/>
          <w:smallCaps w:val="false"/>
          <w:sz w:val="20"/>
        </w:rPr>
        <w:t>Pipeline and Lifecycle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ongoing commercialization of BRIUMVI, we continue to invest in our commercial organization, infrastructure, and internal capabilities to support lifecycle management and potential expansion of the product’s clinical and commercial profile. A key area of focus is the development of a subcutaneous formulation of ublituximab, which is being evaluated as a potential alternative route of administration that may offer increased convenience and flexibility for patients and healthcare providers. We are also exploring the use of BRIUMVI in autoimmune indications outside of MS and are advancing early-stage development activities for azer-cel in autoimmune diseases. These programs reflect our broader strategy to enhance the durability of our portfolio and expand future therapeutic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Beyond BRIUMVI, we continue to evaluate potential in-licensing and acquisition opportunities. These opportunities may include earlier-stage programs, complementary products, proprietary technologies, or other therapeutic approaches that could enhance our pipeline and support long-term growth. The scope, timing, and level of any such investments will depend on a range of factors, including scientific and clinical data, manufacturing feasibility, regulatory considerations, commercial readiness, available resources, and overall strategic and financial priorities.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Financial Overview and Key Components of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recently achieved profitability, we have historically incurred substantial operating losses since our inception and may continue to experience fluctuations in operating results. Despite the commercialization of BRIUMVI and the potential future commercialization of other product candidates, there can be no assurance that we will maintain profitability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twelve months ended December 31, 2025, we generated revenue of $616.3 million. Historically, our operating losses have been driven primarily by expenses related to research and development programs and selling, general and administrative costs associated with our operations and commercialization activities to date. Our operating results and cash flows have fluctuated in the past and may continue to vary significantly from period to period. We will need to generate substantial revenues to sustain profitability and positive cash flow over the long term.</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December 31, 2025, our accumulated deficit was approximately $1.1 billion, and we had $199.5 million in cash and cash equivalents, and investment securities. Based on our current operating plan and results, we anticipate that our existing cash, cash equivalents, and investment securities, together with projected future revenues, will be sufficient to fund operations and meet our liquidity needs for more than twelve months after the date of issuance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actual level of cash required for operations will depend on numerous factors, including, among others, the scope of commercialization activities for BRIUMVI, the timing of collection of receivables from our customers on extended payment terms, the timing and design of clinical trials for our product candidates, and the costs associated with licensing or acquiring new product candidates. We may seek significant additional financing in the future to support strategic initiatives and our ongoing and planned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our expenses to increase as we continue to grow and expand our clinical programs and pursue the potential commercialization of additional product candidates. We anticipate incurring significant research and development expenses related to these activities for the foreseeable future. The actual amount of cash needed to support these strategic initiatives will depend on many factors, including:</w:t>
      </w:r>
    </w:p>
    <w:p>
      <w:pPr>
        <w:pStyle w:val="TextBody"/>
        <w:bidi w:val="0"/>
        <w:spacing w:before="0" w:after="0"/>
        <w:ind w:left="1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and success of the ongoing commercialization of BRIUMVI and any other products for which we receive regulatory approval;</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and timing of clinical and commercial manufacturing supply arrangements for each product and product candidate;</w:t>
            </w:r>
          </w:p>
        </w:tc>
      </w:tr>
    </w:tbl>
    <w:tbl>
      <w:tblPr>
        <w:tblW w:w="8335" w:type="dxa"/>
        <w:jc w:val="left"/>
        <w:tblInd w:w="0" w:type="dxa"/>
        <w:tblLayout w:type="fixed"/>
        <w:tblCellMar>
          <w:top w:w="0" w:type="dxa"/>
          <w:left w:w="0" w:type="dxa"/>
          <w:bottom w:w="0" w:type="dxa"/>
          <w:right w:w="0" w:type="dxa"/>
        </w:tblCellMar>
      </w:tblPr>
      <w:tblGrid>
        <w:gridCol w:w="170"/>
        <w:gridCol w:w="816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65" w:type="dxa"/>
            <w:tcBorders/>
            <w:vAlign w:val="center"/>
          </w:tcPr>
          <w:p>
            <w:pPr>
              <w:pStyle w:val="TableContents"/>
              <w:bidi w:val="0"/>
              <w:spacing w:before="0" w:after="283"/>
              <w:jc w:val="both"/>
              <w:rPr/>
            </w:pPr>
            <w:r>
              <w:rPr/>
              <w:t>the costs of expanding our sales, distribution, and other commercialization capabilities;</w:t>
            </w:r>
          </w:p>
        </w:tc>
      </w:tr>
    </w:tbl>
    <w:tbl>
      <w:tblPr>
        <w:tblW w:w="4375" w:type="dxa"/>
        <w:jc w:val="left"/>
        <w:tblInd w:w="0" w:type="dxa"/>
        <w:tblLayout w:type="fixed"/>
        <w:tblCellMar>
          <w:top w:w="0" w:type="dxa"/>
          <w:left w:w="0" w:type="dxa"/>
          <w:bottom w:w="0" w:type="dxa"/>
          <w:right w:w="0" w:type="dxa"/>
        </w:tblCellMar>
      </w:tblPr>
      <w:tblGrid>
        <w:gridCol w:w="170"/>
        <w:gridCol w:w="420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05" w:type="dxa"/>
            <w:tcBorders/>
            <w:vAlign w:val="center"/>
          </w:tcPr>
          <w:p>
            <w:pPr>
              <w:pStyle w:val="TableContents"/>
              <w:bidi w:val="0"/>
              <w:spacing w:before="0" w:after="283"/>
              <w:jc w:val="both"/>
              <w:rPr/>
            </w:pPr>
            <w:r>
              <w:rPr/>
              <w:t>the costs and timing of regulatory approvals;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283"/>
              <w:jc w:val="both"/>
              <w:rPr/>
            </w:pPr>
            <w:r>
              <w:rPr/>
              <w:t>the progress of our clinical trials, including expenses to support the trials and milestone payments that may become payable under our license agreements;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our ability to establish and maintain strategic collaborations, including licensing and other arrangements;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the costs involved in enforcing or defending patent claims or other intellectual property rights;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the extent to which we in-license or invest in other indications or product candidates.</w:t>
            </w:r>
          </w:p>
        </w:tc>
      </w:tr>
    </w:tbl>
    <w:p>
      <w:pPr>
        <w:pStyle w:val="TextBody"/>
        <w:bidi w:val="0"/>
        <w:spacing w:before="0" w:after="0"/>
        <w:ind w:left="1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revenue consists primarily of royalties owed to our licensing partner for BRIUMVI sales, materials and third-party manufacturing costs, freight, distribution and logistics expenses, and overhead costs associated with our supply chain. Cost of revenue may also include excess or obsolete inventory adjustments, abnormal manufacturing costs, unabsorbed overhead, and manufacturing variances.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our policy to expense costs associated with the manufacture of our products prior to regulatory approval, a portion of the manufacturing costs incurred to produce BRIUMVI before its FDA approval in December 2022 were expensed to research and development. As a result, a portion of the BRIUMVI units recognized as revenue during the years ended December 31, 2025, 2024 and 2023 are not included in the cost of product revenue during those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commercialization continues and pre-approval inventory has been fully depleted, we expect cost of revenue and gross margin to normalize to levels that reflect current commercial manufacturing costs, royalty payments, and supply chain expenses. Period-over-period fluctuations in cost of revenue may continue to occur based on the nature of our ordinary course of business operations, including production scheduling, manufacturing, inventory management, and the timing of overhead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(R&amp;D) Expenses (Other</w:t>
      </w:r>
      <w:r>
        <w:rPr>
          <w:rFonts w:ascii="Times New Roman" w:hAnsi="Times New Roman"/>
          <w:i/>
          <w:caps w:val="false"/>
          <w:smallCaps w:val="false"/>
          <w:sz w:val="20"/>
          <w:u w:val="single"/>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sz w:val="20"/>
        </w:rPr>
      </w:pPr>
      <w:r>
        <w:rPr>
          <w:sz w:val="20"/>
        </w:rPr>
        <w:t xml:space="preserve">Our other research and development expenses consist primarily of external clinical and manufacturing costs, personnel-related expenses, milestone and licensing payments, and overhead costs supporting development activities. We recognize R&amp;D costs as incurred. These expenses include: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External development costs</w:t>
            </w:r>
            <w:r>
              <w:rPr>
                <w:rFonts w:ascii="Times New Roman" w:hAnsi="Times New Roman"/>
                <w:caps w:val="false"/>
                <w:smallCaps w:val="false"/>
                <w:sz w:val="20"/>
              </w:rPr>
              <w:t>, including amounts paid to contract research organizations (CROs), contract manufacturing organizations (CMOs), central laboratories, clinical trial sites, and other third-party service providers supporting our preclinical studies, clinical trials, process development and analytical testing;</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Manufacturing and scale-up costs</w:t>
            </w:r>
            <w:r>
              <w:rPr>
                <w:rFonts w:ascii="Times New Roman" w:hAnsi="Times New Roman"/>
                <w:caps w:val="false"/>
                <w:smallCaps w:val="false"/>
                <w:sz w:val="20"/>
              </w:rPr>
              <w:t>, including costs associated with producing preclinical and clinical supply and performing process development and optimization activities. Prior to FDA approval of BRIUMVI, all manufacturing costs for ublituximab were expensed to R&amp;D as incurred. Following approval, manufacturing costs related to commercial supply are capitalized as inventory;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Personnel and employee-related expenses</w:t>
            </w:r>
            <w:r>
              <w:rPr>
                <w:rFonts w:ascii="Times New Roman" w:hAnsi="Times New Roman"/>
                <w:caps w:val="false"/>
                <w:smallCaps w:val="false"/>
                <w:sz w:val="20"/>
              </w:rPr>
              <w:t>, including salaries, benefits, travel and non-cash share-based compensation for employees engaged in research, clinical development, medical, regulatory and manufacturing-support functions;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Milestone, licensing and collaboration expenses</w:t>
            </w:r>
            <w:r>
              <w:rPr>
                <w:rFonts w:ascii="Times New Roman" w:hAnsi="Times New Roman"/>
                <w:caps w:val="false"/>
                <w:smallCaps w:val="false"/>
                <w:sz w:val="20"/>
              </w:rPr>
              <w:t>, including upfront payments and milestone obligations incurred under in-license and collaboration agreements; and</w:t>
            </w:r>
          </w:p>
        </w:tc>
      </w:tr>
    </w:tbl>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Facility and other overhead costs that support research and development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w:t>
      </w:r>
      <w:r>
        <w:rPr>
          <w:rFonts w:ascii="Times New Roman;Times;serif" w:hAnsi="Times New Roman;Times;serif"/>
          <w:i/>
          <w:sz w:val="20"/>
        </w:rPr>
        <w:t>elling, General, and Administrative (SG&amp;A) Expenses (Other)</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other selling, general and administrative expenses consist primarily of expenses related to the commercialization of our approved products and the expenses required to maintain and support a growing commercial organization. These expenses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Commercial operations costs</w:t>
            </w:r>
            <w:r>
              <w:rPr>
                <w:rFonts w:ascii="Times New Roman" w:hAnsi="Times New Roman"/>
                <w:caps w:val="false"/>
                <w:smallCaps w:val="false"/>
                <w:sz w:val="20"/>
              </w:rPr>
              <w:t>, including salaries and related expenses, benefits, incentives, and travel for sales, marketing, and commercial development team, as well as promotional programs, marketing initiatives, medical affairs, and reimbursement support services related to BRIUMVI;</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Corporate and administrative personnel costs</w:t>
            </w:r>
            <w:r>
              <w:rPr>
                <w:rFonts w:ascii="Times New Roman" w:hAnsi="Times New Roman"/>
                <w:caps w:val="false"/>
                <w:smallCaps w:val="false"/>
                <w:sz w:val="20"/>
              </w:rPr>
              <w:t>, including compensation and related expenses for executive, finance, accounting, business development, legal, human resources, and other administrative functions;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Professional fees</w:t>
            </w:r>
            <w:r>
              <w:rPr>
                <w:rFonts w:ascii="Times New Roman" w:hAnsi="Times New Roman"/>
                <w:caps w:val="false"/>
                <w:smallCaps w:val="false"/>
                <w:sz w:val="20"/>
              </w:rPr>
              <w:t>, including legal services, patent-related costs associated with the protection and maintenance of our intellectual property and propriety technologies, accounting and audit services, consulting services, external legal advisors, and other external advisors supporting our operations;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Corporate infrastructure and facilities costs</w:t>
            </w:r>
            <w:r>
              <w:rPr>
                <w:rFonts w:ascii="Times New Roman" w:hAnsi="Times New Roman"/>
                <w:caps w:val="false"/>
                <w:smallCaps w:val="false"/>
                <w:sz w:val="20"/>
              </w:rPr>
              <w:t>, including rent, utilities, insurance, information technology systems, and other overhead necessary for our day to day operations and to support our commercial and administrative activities;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Additional SG&amp;A support functions</w:t>
            </w:r>
            <w:r>
              <w:rPr>
                <w:rFonts w:ascii="Times New Roman" w:hAnsi="Times New Roman"/>
                <w:caps w:val="false"/>
                <w:smallCaps w:val="false"/>
                <w:sz w:val="20"/>
              </w:rPr>
              <w:t>, such as medical affairs, legal activities, market access, reimbursement operations, and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Noncash Compensation Expense (R&amp;D and SG&amp;A)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include noncash compensation expenses as a result of stock-based compensation costs related to equity awards, restricted stock and options, granted to employees and non-employees. Stock-based compensation costs are measured at the date of grant based on the fair value of the award. We estimate the grant date fair value of options, and the resulting stock-based compensation expense, using the Black-Scholes option-pricing model. Equity awards with market conditions are valued using advanced option-pricing models, such as a Monte Carlo simulation. The effect of a market condition is reflected in the award’s fair value on the grant date. For time-based or performance-based restricted stock, the fair value is based on the market value of our common stock on the date of grant. 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We recognize all stock-based payments to employees and non-employee directors (as compensation for service) as noncash compensation expense in the consolidated financial statements. We recognize forfeitures as they occur.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3710"/>
        <w:gridCol w:w="60"/>
        <w:gridCol w:w="125"/>
        <w:gridCol w:w="695"/>
        <w:gridCol w:w="80"/>
        <w:gridCol w:w="60"/>
        <w:gridCol w:w="125"/>
        <w:gridCol w:w="695"/>
        <w:gridCol w:w="80"/>
        <w:gridCol w:w="60"/>
        <w:gridCol w:w="125"/>
        <w:gridCol w:w="695"/>
        <w:gridCol w:w="80"/>
      </w:tblGrid>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293,200</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287,283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62,228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5,458</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60,466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61,064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77,736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205,888</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342,000</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423,796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was approximately $606.9 million for the year ended December 31, 2025 compared to $313.7 million for the year ended December 31, 2024. Product revenue, net for both the year ended December 31, 2025 and 2024 consisted of net product sales of BRIUMVI in the United States of $594.1 million and $310.0 million, respectively. Also included in product revenue, net for the year ended December 31, 2025 and 2024 are sales of BRIUMVI to our ex-U.S. licensing partner, Neuraxpharm, of $12.8 million and $3.7 million, respectively. The increase in product revenue, net is a result of greater market penetration of BRIUMVI in the United States and from commercial product sales supplied to Neuraxpharm under the Commercialization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Milestone, Royalty and Other</w:t>
      </w:r>
      <w:r>
        <w:rPr>
          <w:rFonts w:ascii="Times New Roman" w:hAnsi="Times New Roman"/>
          <w:caps w:val="false"/>
          <w:smallCaps w:val="false"/>
          <w:sz w:val="20"/>
        </w:rPr>
        <w:t> </w:t>
      </w:r>
      <w:r>
        <w:rPr>
          <w:rFonts w:ascii="Times New Roman" w:hAnsi="Times New Roman"/>
          <w:b/>
          <w:i/>
          <w:caps w:val="false"/>
          <w:smallCaps w:val="false"/>
          <w:sz w:val="20"/>
        </w:rPr>
        <w:t xml:space="preserve">Revenue. </w:t>
      </w:r>
      <w:r>
        <w:rPr>
          <w:rFonts w:ascii="Times New Roman" w:hAnsi="Times New Roman"/>
          <w:caps w:val="false"/>
          <w:smallCaps w:val="false"/>
          <w:sz w:val="20"/>
        </w:rPr>
        <w:t>License, milestone, royalty and other revenue was $9.4 million for the year ended December 31, 2025 compared to approximately $15.3 million for the year ended December 31, 2024. License, milestone, royalty and other revenue for the year ended December 31, 2025 is comprised of $3.8 million consideration received for development and regulatory activities performed on behalf of Neuraxpharm in accordance with the Commercialization Agreement and $5.6 million of royalty revenue recognized under the Commercialization Agreement with Neuraxpharm (see Note 2 - Revenue for more information). License, milestone, royalty and other revenue for the year ended December 31, 2024 is predominately comprised of the recognition of the one-time $12.5 million milestone payment under the Commercialization Agreement for the first key market commercial launch of BRIUMVI in the EU.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 </w:t>
      </w:r>
      <w:r>
        <w:rPr>
          <w:rFonts w:ascii="Times New Roman" w:hAnsi="Times New Roman"/>
          <w:caps w:val="false"/>
          <w:smallCaps w:val="false"/>
          <w:sz w:val="20"/>
        </w:rPr>
        <w:t>Cost of revenue for the year ended December 31, 2025 was $100.7 million compared to approximately $38.5 million for the year ended December 31, 2024. Cost of revenue for both the years ended December 31, 2025 and December 31, 2024 primarily consists of royalties owed to our licensing partner for BRIUMVI sales, third-party manufacturing, distribution and overhead costs. A portion of the manufacturing costs of BRIUMVI sold through the middle of the quarter ended March 31, 2025 was expensed as research and development prior to the FDA approval of BRIUMVI and therefore is not reflected in the cost of revenue. We depleted these inventories during the quarter ended March 31, 2025. Cost of revenue for the quarter ended December 31, 2025 also includes a $6.2 million inventory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Noncash compensation expense (research and development) related to equity incentive grants totaled $16.6 million for the year ended December 31, 2025, as compared to $11.2 million during the comparable period in 2024. The increase in noncash compensation expense was primarily due to greater recognition of noncash compensation expense for performance-based awards and the grant-date fair value of equity awards, including the impact of our increased stock price at which equity awards were granted, during the year ended December 31, 2025, as compared to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w:t>
      </w:r>
      <w:r>
        <w:rPr>
          <w:rFonts w:ascii="Times New Roman" w:hAnsi="Times New Roman"/>
          <w:caps w:val="false"/>
          <w:smallCaps w:val="false"/>
          <w:sz w:val="20"/>
        </w:rPr>
        <w:t> Other research and development expense totaled $143.6 million for the year ended December 31, 2025, as compared to $83.1 million during the prior year ended December 31, 2024. The increase in research and development expense was primarily due to an increase in manufacturing expense, including manufacturing and development costs incurred in connection with our subcutaneous ublituximab development work, increased clinical trial related expenses pertaining to our clinical pipeline, and increased personnel costs during the period ended December 31, 2025, as compared to the year ended December 31, 2024. This was partially offset by license and milestone expense incurred in 2024 pertaining to the Precision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Noncash Compensation Expense (Selling, General and Administrative). </w:t>
      </w:r>
      <w:r>
        <w:rPr>
          <w:rFonts w:ascii="Times New Roman" w:hAnsi="Times New Roman"/>
          <w:caps w:val="false"/>
          <w:smallCaps w:val="false"/>
          <w:sz w:val="20"/>
        </w:rPr>
        <w:t>Noncash compensation expense (selling, general and administrative) related to equity incentive grants totaled $48.1 million for the year ended December 31, 2025, as compared to $31.4 million during the comparable period ended December 31, 2024. The increase in noncash compensation expense was primarily due to greater recognition of noncash compensation expense for performance and market-based equity awards, growth in headcount, and higher grant-date stock prices associated with equity awards granted during the year ended December 31, 2025, as compared to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Selling, General and Administrative. </w:t>
      </w:r>
      <w:r>
        <w:rPr>
          <w:rFonts w:ascii="Times New Roman" w:hAnsi="Times New Roman"/>
          <w:caps w:val="false"/>
          <w:smallCaps w:val="false"/>
          <w:sz w:val="20"/>
        </w:rPr>
        <w:t>Other selling, general and administrative expenses totaled $184.0 million increased for the year ended December 31, 2025, as compared to $122.9 million during the prior year ended December 31, 2024. The increase was primarily due to marketing and media spend, and personnel-related costs associated with the commercialization of BRIUMVI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Interest expense for the year ended December 31, 2025 was $26.7 million compared to $24.0 million for the comparable period ended December 31, 2024. The $2.7 million increase was primarily attributable to higher interest expense incurred under the Initial Term Loan with Blue Owl during the year ended December 31, 2025, as compared to interest expense incurred under the prior smaller loan agreement with Hercules, which was outstanding for a portion of the year ended December 31, 2024 (see Note 7 – Loan Payable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Income. </w:t>
      </w:r>
      <w:r>
        <w:rPr>
          <w:rFonts w:ascii="Times New Roman" w:hAnsi="Times New Roman"/>
          <w:caps w:val="false"/>
          <w:smallCaps w:val="false"/>
          <w:sz w:val="20"/>
        </w:rPr>
        <w:t>Other income increased by $3.1 million to $10.8 million for the year ended December 31, 2025, as compared to $7.7 million for the year ended December 31, 2024. The increase is mainly due to greater income earned from investments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 Benefit (Expense). </w:t>
      </w:r>
      <w:r>
        <w:rPr>
          <w:rFonts w:ascii="Times New Roman" w:hAnsi="Times New Roman"/>
          <w:caps w:val="false"/>
          <w:smallCaps w:val="false"/>
          <w:sz w:val="20"/>
        </w:rPr>
        <w:t>Income tax benefit totaled $339.8 million for the year ended December 31, 2025, as compared to income tax expense of $2.2 million during the comparable period ended December 31, 2024. The increase in income tax benefit is primarily driven by the release of our deferred tax asset valuation allowance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3710"/>
        <w:gridCol w:w="60"/>
        <w:gridCol w:w="125"/>
        <w:gridCol w:w="695"/>
        <w:gridCol w:w="80"/>
        <w:gridCol w:w="60"/>
        <w:gridCol w:w="125"/>
        <w:gridCol w:w="695"/>
        <w:gridCol w:w="80"/>
        <w:gridCol w:w="60"/>
        <w:gridCol w:w="125"/>
        <w:gridCol w:w="755"/>
        <w:gridCol w:w="80"/>
      </w:tblGrid>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221,723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24,355</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18,099</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6,458</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25,134</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74,046</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11,413</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8,764</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Revenues, net</w:t>
      </w:r>
      <w:r>
        <w:rPr>
          <w:rFonts w:ascii="Times New Roman" w:hAnsi="Times New Roman"/>
          <w:i/>
          <w:caps w:val="false"/>
          <w:smallCaps w:val="false"/>
          <w:sz w:val="20"/>
        </w:rPr>
        <w:t>. P</w:t>
      </w:r>
      <w:r>
        <w:rPr>
          <w:rFonts w:ascii="Times New Roman" w:hAnsi="Times New Roman"/>
          <w:caps w:val="false"/>
          <w:smallCaps w:val="false"/>
          <w:sz w:val="20"/>
        </w:rPr>
        <w:t>roduct revenue, net was approximately $313.7 million for the year ended December 31, 2024 compared to $92.0 million for the year ended December 31, 2023. The increase in product revenue, net is driven by an increase in product shipments for BRIUMVI as a result of greater market penetration. BRIUMVI, was commercially launched in the U.S. in January 2023, following FDA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Revenue</w:t>
      </w:r>
      <w:r>
        <w:rPr>
          <w:rFonts w:ascii="Times New Roman" w:hAnsi="Times New Roman"/>
          <w:caps w:val="false"/>
          <w:smallCaps w:val="false"/>
          <w:sz w:val="20"/>
        </w:rPr>
        <w:t>. License, milestone, royalty and other revenue was $15.3 million for the year ended December 31, 2024 compared to approximately $141.7 million for the year ended December 31, 2023. License, milestone, royalty and other revenue for the year ended December 31, 2024 is comprised of a $12.5 million milestone payment under the Neuraxpharm Commercialization Agreement for the first key market commercial launch of BRIUMVI in the EU, as well as consideration received for development and regulatory activities performed on behalf of Neuraxpharm in accordance with the Commercialization Agreement. License, milestone, royalty and other revenue for the year ended December 31, 2023 is predominantly comprised of recognition of the one-time $140.0 million non-refundable upfront payment under the Commercialization Agreement with Neuraxpharm (see Note 2 for more information).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Revenue. </w:t>
      </w:r>
      <w:r>
        <w:rPr>
          <w:rFonts w:ascii="Times New Roman" w:hAnsi="Times New Roman"/>
          <w:caps w:val="false"/>
          <w:smallCaps w:val="false"/>
          <w:sz w:val="20"/>
        </w:rPr>
        <w:t>Cost of revenue for the year ended December 31, 2024 was $38.5 million compared to approximately $14.1 million for the year ended December 31, 2023. Cost of revenue for both the years ended December 31, 2024 and December 31, 2023 consists primarily of third-party manufacturing, distribution, overhead costs and royalties owed to our licensing partner for BRIUMVI sales. A portion of the manufacturing costs of BRIUMVI sold through the middle of the quarter ended March 31, 2025 was expensed as research and development prior to the FDA approval of BRIUMVI and therefore it is not reflected in the cost of revenue. We depleted these inventories during the quarter ended March 31, 2025. The cost of revenue for the years ended December 31, 2024 and December 31, 2023 includes $2.4 million and $1.5 million, respectively, of costs related to delivering regulatory support and development services to Neuraxpharm in accordance with the Commercialization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Noncash compensation expense (research and development) related to equity incentive grants totaled $11.2 million for the year ended December 31, 2024, as compared to $13.0 million during the comparable period in 2023. The decrease in noncash compensation expense was primarily due to decreased vesting of milestone-based grants during the year ended December 31, 2024, as compared to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w:t>
      </w:r>
      <w:r>
        <w:rPr>
          <w:rFonts w:ascii="Times New Roman" w:hAnsi="Times New Roman"/>
          <w:caps w:val="false"/>
          <w:smallCaps w:val="false"/>
          <w:sz w:val="20"/>
        </w:rPr>
        <w:t> Other research and development expense increased for the year ended December 31, 2024, by approximately $19.9 million to $83.1 million as compared to the prior year ended December 31, 2023. The increase in other research and development expense during the year ended December 31, 2024 was primarily attributable to manufacturing and development costs incurred in connection with our ublituximab subcutaneous development work, increased personnel and costs associated with the Precision License Agreement incurred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(Selling, General and Administrative).</w:t>
      </w:r>
      <w:r>
        <w:rPr>
          <w:rFonts w:ascii="Times New Roman" w:hAnsi="Times New Roman"/>
          <w:caps w:val="false"/>
          <w:smallCaps w:val="false"/>
          <w:sz w:val="20"/>
        </w:rPr>
        <w:t> Noncash compensation expense (selling, general and administrative) related to equity incentive grants totaled $31.4 million for the year ended December 31, 2024, as compared to $24.9 million during the comparable period ended in 2023. The increase in noncash compensation expense was primarily due to greater recognition of noncash compensation expense for grants to executives during the year ended December 31, 2024.</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Selling, General and Administrative.</w:t>
      </w:r>
      <w:r>
        <w:rPr>
          <w:rFonts w:ascii="Times New Roman" w:hAnsi="Times New Roman"/>
          <w:caps w:val="false"/>
          <w:smallCaps w:val="false"/>
          <w:sz w:val="20"/>
        </w:rPr>
        <w:t> Other selling, general and administrative expenses increased for the year ended December 31, 2024, by approximately $25.1 million to $122.9 million as compared to the prior year ended December 31, 2023. The increase was primarily due to other selling, general and administrative costs, including personnel, consultants, and third parties associated with the commercialization of BRIUMVI during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for the year ended December 31, 2024 was $24.0 million compared to $12.6 million for the comparable period ended December 31, 2023. The $11.4 million increase is mainly due to $4.6 million of debt extinguishments costs incurred pertaining to the prior loan agreement with Hercules as well as increased interest expense pertaining to the Initial Term Loan with Blue Owl during the same period (see Note 7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increased by $2.7 million to $7.7 million for the year ended December 31, 2024, as compared to $5.0 million for the year ended December 31, 2023. The increase is mainly due to greater accretion income earned from short-term investment securities during the year ended December 31, 2024, compared to the prior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Income tax expense increased by $1.8 million to $2.2 million for the year ended December 31, 2024, as compared to $0.4 million for the year ended December 31, 2023. The increase is due to state tax liabilities incurred during the year ended December 31, 2024.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Cash Requirements and 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material cash requirements primarily relate to the continued commercialization of BRIUMVI, including commercial operations, manufacturing and supply commitments, medical affairs activities, post-marketing requirements, and ongoing clinical development programs, as well as general and administrative expenses supporting our commercial-stage operations. Certain of these requirements arise from contractual commitments, while others are driven by our operating plan and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fund these expenditures through existing cash, cash equivalents and investment securities, cash flows from BRIUMVI product sales, and, if needed, access to additional capital under the uncommitted portion of our term loan facility with Blue Owl or other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December 31, 2025, our contractual obligations consist primarily of purchase and supply commitments supporting the commercial and clinical manufacture of BRIUMVI. Certain of these agreements include non-cancelable provisions, minimum purchase requirements, or binding forecast commitments. We also maintain lease obligations for our office facilities in New York and North Carolina, which are expected to be funded through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are obligated to make interest and future principal payments under our term loan with Blue Owl, including scheduled quarterly amortization beginning in 2028. The timing and amount of payments may vary based on applicable interest rates and certain performance-related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enter into collaboration and license agreements that may require future milestone and royalty payments. Because these payments are contingent upon the achievement of specified events, they are not included in our contractual commitments but could become material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our current operating plan, financial resources, and projected results, we believe we have sufficient liquidity to fund operations and meet our material cash requirements for at least the next twelve months from the issuance of this Annual Report on Form 10-K. However, future capital requirements will depend on a number of factors, and additional financing may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Discussion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4115"/>
        <w:gridCol w:w="60"/>
        <w:gridCol w:w="125"/>
        <w:gridCol w:w="650"/>
        <w:gridCol w:w="80"/>
        <w:gridCol w:w="60"/>
        <w:gridCol w:w="125"/>
        <w:gridCol w:w="695"/>
        <w:gridCol w:w="80"/>
      </w:tblGrid>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for the year ended December 31, 2025 was $24.8 million as compared to cash used in operating activities of $40.5 million for the year ended December 31, 2024, representing a $15.7 million improvement year over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improvement was driven by higher net income in 2025, $447.2 million compared to $23.4 million in 2024, partially offset by a large non-cash deferred income tax benefit recorded in 2025 of $348.0 million. Operating cash flow also benefited from favorable working capital changes, including a decrease in inventory purchases, a $33.4 million year-over-year improvement, and an increase in accounts payable and accrued expenses, a $33.1 million improvement. These favorable impacts were partially offset by an increase in accounts receivable and other current assets in 2025 compared to 2024, which reduced operating cash flow year over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Overall, the reduced use of cash in operating activities reflects improved underlying operating performance and certain favorable working capital movements, partially offset by timing-related changes in receivables and other 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provided by investing activities for the year ended December 31, 2025 was $13.8 million as compared to $1.0 million used in investing activities for the year ended December 31, 2024. The increase in net cash used in investing activities was primarily due to decreased investments in held-to-maturity securities during the year ended December 31, 2025 as compared to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for the year ended December 31, 2025 was approximately $89.7 million as compared to net cash provided by financing activities of $128.5 million for the year ended December 31, 2024. Net cash used in financing activities during the year ended December 31, 2025 is mainly due to the repurchase of stock under our share repurchase program. Net cash provided by financing activities during the year ended December 31, 2024 is mainly due to the proceeds from the loan with Blue Owl, offset by the payoff of our prior loan with Hercules.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ATM Program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8, 2025, we filed an automatic “shelf registration” statement on Form S-3 (the 2025 WKSI Shelf) as a WKSI as defined in Rule 405 under the Securities Act of 1933, as amended. The 2025 WKSI Shelf was declared effective upon filing and registers an unlimited amount of debt securities, equity securities, or other securities that we may issue and sell from time to time. The at-the-market program established under our prior shelf registration statement on Form S-3 pursuant to the At-the-Market Issuance Sales Agreement, dated September 2, 2022, with Cantor Fitzgerald &amp; Co. and B. Riley Securities, Inc. has expired. We may offer and sell securities registered under the 2025 WKSI Shelf in one or more offerings, from time to time, depending on market conditions and our capital needs. We may also file additional registration statements in the future to maintain financing flexibility in support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 2024 (the New Closing Date), we entered into a term loan facility of $250 million (the Initial Term Loan) with Blue Owl Capital Corporation, as administrative agent (the Administrative Agent), HealthCare Royalty and Blue Owl Capital under the Financing Agreement (as defined below) to repay all outstanding principal and accrued interest and fees under our prior loan agreement with Hercules.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Initial Term Loan is governed by a financing agreement (the Financing Agreement), which provides for (i) a single draw of the Initial Term Loan, which was funded on August 2, 2024,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our option, either (a)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Initial Term Loan is secured by a lien on substantially all of our assets and by guarantees from certain of our subsidiaries and contains customary covenants and representations. As of December 31, 2025, we were in compliance with all financial covenants.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evaluated whether the Initial Term Loan represented a debt modification or extinguishment of our prior loan agreement with Hercules with ASC 470-50, Debt – Modifications and Extinguishments. As a result of the Initial Term Loan and effective termination of our prior loan agreement with Hercules, this transaction was accounted for by us under the extinguishment accounting model. We recorded a loss on extinguishment of debt of approximately $4.6 million in our statement of operations for the year ended December 31, 2024, representing the write-off of unamortized debt issuance costs and a prepayment charge. We capitalized third party fees from the Initial Term Loan to debt issuance costs and capitalized the facility fee incurred with the Administrative Agent as part of the Initial Term Loan to debt discount.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incurred total financing and upfront costs of $6.0 million related to the Initial Term Loan, which are recorded as debt issuance costs and debt discount costs and presented as an offset to loan payable on our consolidated balance sheet. The debt issuance and debt discount costs are being amortized over the term of the debt using the straight-line method, which approximates the effective interest method, and are included in interest expense in our consolidated statements of operations. Amortization of debt issuance and debt discount costs was $1.2 million, $2.0 million, and $2.4 million for the years ended December 31, 2025, 2024 and 2023, respectively. At December 31, 2025, the remaining unamortized balance of debt issuance and debt discount costs was $4.4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estimate an average annual rental obligation of $1.8 million under the Office Agreement. We began to occupy this office space in April 2016, with rental payments beginning in the third quarter of 2016. In connection with the Office Agreement, we pledged $1.3 million to secure a line of credit as a security deposit, which is recorded as restricted cash in the accompanying consolidated balance sheets. In February 2026, FBIO entered into a sublease agreement with a third party for the entirety of the New York City office space subject to the Office Agreement. The Company remains obligated under the Office Agreement to pay its respective share of the rent and other related costs through the expiration of the lease term. Under the terms of the arrangement, the Company may be required to fund its proportionate share of any shortfall between the head lease obligations and sublease income. This transaction is expected to significantly reduce the Company’s net rent expense prospectively.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rental expense was approximately $1.9 million, $2.3 million and $2.2 million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Future minimum lease commitments as of December 31, 2025 total, in the aggregate, approximately $10.5 million through December 31, 2031. Our future minimum lease commitments include our office leases in New York and North Carolina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the related disclosures of contingent assets and liabilities at the date of our financial statements and the reported amounts of revenues and expenses during the applicable period. Actual results may differ from these estimates under different assumptions or conditions.</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define critical accounting policies as those involving significant judgments and uncertainties and which may potentially result in materially different results under different assumptions and conditions. In applying these critical accounting policies, management exercises judgement to determine the appropriate assumptions to be used in making certain estimates. These estimates are subject to an inherent degree of uncertainty. Our critical accounting policies include the following:</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Revenue Recognition</w:t>
      </w:r>
      <w:r>
        <w:rPr>
          <w:rFonts w:ascii="Times New Roman" w:hAnsi="Times New Roman"/>
          <w:sz w:val="20"/>
        </w:rPr>
        <w:t>. Pursuant to Topic 606, we recognize revenue to depict the transfer of promised goods or services to customers in an amount that reflects the consideration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contract inception, we assess the goods or services promised within each contract and determine which promised good or service is distinct and therefore considered a performance obligation. We then recognize as revenue the amount of the transaction price that is allocated to the respective performance obligation when the performance obligation is satisfied.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Product Revenue, Net</w:t>
      </w:r>
      <w:r>
        <w:rPr>
          <w:rFonts w:ascii="Times New Roman" w:hAnsi="Times New Roman"/>
          <w:sz w:val="20"/>
        </w:rPr>
        <w:t>. We recognize product revenues, net of variable consideration related to certain allowances and accruals, when the customer takes control of the product, which is typically upon delivery to the customer. Product revenue is recorded at the net sales price, or transaction price. We record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reserves are based on estimates of the amounts earned or to be claimed on the related sales and are classified as reductions of accounts receivable (if the amount is expected to be settled with a credit against our customer account) or a liability (if the amount is expected to be settled with a cash payment). Our estimate of reserves for variable consideration is calculated using a consistent application of the expected value method, which is the sum of probability-weighted amounts in a range of possible consideration amounts. These estimates reflect our current contractual requirements, customer channel mix, changes to product price, government pricing calculations, and industry data. The amount of variable consideration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our estimates. If actual results vary, we adjust these estimates, which could have an effect on earnings in the period of adjustment. For a complete discussion of the accounting for product revenue, see Note 1 – Organization and Summary of Significant Accounting Policies in the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License Revenue.</w:t>
      </w:r>
      <w:r>
        <w:rPr>
          <w:rFonts w:ascii="Times New Roman" w:hAnsi="Times New Roman"/>
          <w:sz w:val="20"/>
        </w:rPr>
        <w:t> Revenue recognized from license agreements may include royalties on sales, upfront, milestone and other payments, if any, under any current or future licensing agreements, including revenues related to the supply of our drug candidates or approved drugs to our various licensing partners under these types of contracts. For a complete discussion of the accounting for license revenue, see Note 1 – Organization and Summary of Significant Accounting Policies in the Notes to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Stock Compensation.</w:t>
      </w:r>
      <w:r>
        <w:rPr>
          <w:rFonts w:ascii="Times New Roman" w:hAnsi="Times New Roman"/>
          <w:sz w:val="20"/>
        </w:rPr>
        <w:t xml:space="preserve"> Stock-based compensation costs related to equity awards granted to employees and non-employees are measured at the date of grant based on the fair value of the award. We estimate the grant date fair value of options, and the resulting stock-based compensation expense, using the Black-Scholes option-pricing model. Equity awards with market conditions are valued using advanced option-pricing models, such as a Monte Carlo simulation. The effect of a market condition is reflected in the award’s fair value on the grant date. For time-based or performance-based restricted stock, the fair value is based on the market value of our common stock on the date of grant.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We recognize all stock-based payments to employees and non-employee directors (as compensation for service) as noncash compensation expense in the consolidated financial statements. We recognize forfeitures as they occur.</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Accrued Research and Development Expenses</w:t>
      </w:r>
      <w:r>
        <w:rPr>
          <w:rFonts w:ascii="Times New Roman" w:hAnsi="Times New Roman"/>
          <w:sz w:val="20"/>
        </w:rPr>
        <w:t>. As part of the process of preparing our financial statements, we are required to estimate our accrued expenses.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w:t>
      </w:r>
    </w:p>
    <w:p>
      <w:pPr>
        <w:pStyle w:val="TextBody"/>
        <w:bidi w:val="0"/>
        <w:spacing w:before="0" w:after="0"/>
        <w:ind w:left="0" w:right="0" w:firstLine="720"/>
        <w:jc w:val="left"/>
        <w:rPr/>
      </w:pPr>
      <w:r>
        <w:rPr/>
        <w:t> </w:t>
      </w:r>
    </w:p>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contract research organizations (CROs) in connection with clinical studies;</w:t>
            </w:r>
          </w:p>
        </w:tc>
      </w:tr>
    </w:tbl>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contract manufacturing organizations (CMOs);</w:t>
            </w:r>
          </w:p>
        </w:tc>
      </w:tr>
    </w:tbl>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trial sites in connection with clinical studies; and</w:t>
            </w:r>
          </w:p>
        </w:tc>
      </w:tr>
    </w:tbl>
    <w:tbl>
      <w:tblPr>
        <w:tblW w:w="4825" w:type="dxa"/>
        <w:jc w:val="left"/>
        <w:tblInd w:w="0" w:type="dxa"/>
        <w:tblLayout w:type="fixed"/>
        <w:tblCellMar>
          <w:top w:w="0" w:type="dxa"/>
          <w:left w:w="0" w:type="dxa"/>
          <w:bottom w:w="0" w:type="dxa"/>
          <w:right w:w="0" w:type="dxa"/>
        </w:tblCellMar>
      </w:tblPr>
      <w:tblGrid>
        <w:gridCol w:w="60"/>
        <w:gridCol w:w="170"/>
        <w:gridCol w:w="45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vendors associated with licenses/milestones.</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base our expenses related to clinical studies on our estimates of the services received and efforts expended pursuant to contracts with multiple CROs that conduct and manage clinical studies on our behalf. The financial terms of these agreements are subject to an initial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certain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Income Taxes</w:t>
      </w:r>
      <w:r>
        <w:rPr>
          <w:rFonts w:ascii="Times New Roman" w:hAnsi="Times New Roman"/>
          <w:caps w:val="false"/>
          <w:smallCaps w:val="false"/>
          <w:sz w:val="20"/>
        </w:rPr>
        <w:t>. We recognize deferred tax assets and liabilities for the expected future tax consequences of events that have been included in the financial statements or tax returns.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STANDARDS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refer to Note 1 – Organization and Summary of Significant Accounting Policies in the Notes to Consolidated Financial Statements for further discussion.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7" w:name="item7a"/>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 QUANTITATIVE AND QUALITATIVE DISCLOSURE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would likely decline. As of December 31, 2025, our portfolio of financial instruments consists of cash equivalents and short-term interest-bearing securities, including government debt and money market funds. The average duration of all of our held-to-maturity investments as of December 31, 2025, was less than 24 months. Due to the relatively short-term nature of these financial instruments, we believe there is no material exposure to interest rate risk, and/or credit risk, arising from our portfolio of financial instruments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item8"/>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and the notes thereto, included in Part IV, Item 14(a), part 1, are incorporated by reference into this Item 8.</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9" w:name="item9"/>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 CHANGES IN AND DISAGREEMENTS WITH ACCOUNTANTS ON ACCOUNTING AND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0" w:name="item9a"/>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Evaluation of Disclosure Controls and Procedures.</w:t>
      </w:r>
      <w:r>
        <w:rPr>
          <w:rFonts w:ascii="Times New Roman" w:hAnsi="Times New Roman"/>
          <w:caps w:val="false"/>
          <w:smallCaps w:val="false"/>
          <w:sz w:val="20"/>
        </w:rPr>
        <w:t xml:space="preserve"> As of December 31, 2025, management carried out an evaluation, under the 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December 31, 2025,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Annual Report on Internal Control over Financial Reporting.</w:t>
      </w:r>
      <w:r>
        <w:rPr>
          <w:rFonts w:ascii="Times New Roman" w:hAnsi="Times New Roman"/>
          <w:caps w:val="false"/>
          <w:smallCaps w:val="false"/>
          <w:sz w:val="20"/>
        </w:rPr>
        <w:t xml:space="preserve"> Our management is responsible for establishing and maintaining adequate internal control over financial reporting (as defined in Rule 13a-15(f) or Rule 15d-15(f) under the Exchange Act). Our management assessed the effectiveness of our internal control over financial reporting as of December 31, 2025. In making this assessment, our management used the criteria established in Internal Control – Integrated Framework (2013) issued by the Committee of Sponsoring Organizations of the Treadway Commission, or COSO Framework. Our management has concluded that, as of December 31, 2025, our internal control over financial reporting was effective based on these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effectiveness of our internal control over financial reporting as of December 31, 2025 was audited by KPMG LLP, our independent registered public accounting firm, as stated in their report included herein on page </w:t>
      </w:r>
      <w:hyperlink w:anchor="report">
        <w:r>
          <w:rPr>
            <w:rStyle w:val="InternetLink"/>
            <w:rFonts w:ascii="Times New Roman" w:hAnsi="Times New Roman"/>
            <w:caps w:val="false"/>
            <w:smallCaps w:val="false"/>
            <w:sz w:val="20"/>
            <w:u w:val="single"/>
          </w:rPr>
          <w:t>F-1</w:t>
        </w:r>
      </w:hyperlink>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Changes in Internal Control Over Financial Reporting.</w:t>
      </w:r>
      <w:r>
        <w:rPr>
          <w:rFonts w:ascii="Times New Roman" w:hAnsi="Times New Roman"/>
          <w:caps w:val="false"/>
          <w:smallCaps w:val="false"/>
          <w:sz w:val="20"/>
        </w:rPr>
        <w:t> There were no changes in our internal control over financial reporting during the quarter ended December 31, 2025 that have materially affected, or are reasonably likely to materially affect, our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Limitations on the Effectiveness of Controls.</w:t>
      </w:r>
      <w:r>
        <w:rPr>
          <w:rFonts w:ascii="Times New Roman" w:hAnsi="Times New Roman"/>
          <w:caps w:val="false"/>
          <w:smallCaps w:val="false"/>
          <w:sz w:val="20"/>
        </w:rPr>
        <w:t xml:space="preserve"> 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283"/>
        <w:jc w:val="left"/>
        <w:rPr/>
      </w:pPr>
      <w:r>
        <w:rPr/>
        <w:t xml:space="preserve">  </w:t>
      </w:r>
    </w:p>
    <w:p>
      <w:pPr>
        <w:pStyle w:val="TextBody"/>
        <w:bidi w:val="0"/>
        <w:spacing w:before="0" w:after="0"/>
        <w:ind w:left="0" w:right="0" w:hanging="0"/>
        <w:jc w:val="both"/>
        <w:rPr/>
      </w:pPr>
      <w:bookmarkStart w:id="21" w:name="itme9b"/>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Trading Plans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none of our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)(i) of Regulation S-K) or adopted or terminated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(c) of Regulation S-K)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2" w:name="part3"/>
      <w:bookmarkEnd w:id="22"/>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3" w:name="item10"/>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information required by this Item is incorporated herein by reference from our Proxy Statement for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4" w:name="item11"/>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information required by this Item is incorporated herein by reference from our Proxy Statement for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5" w:name="item12"/>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2026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6" w:name="item13"/>
      <w:bookmarkEnd w:id="2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2026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7" w:name="item14"/>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2026 Annual Meeting of Stockholders.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8" w:name="part4"/>
      <w:bookmarkEnd w:id="28"/>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9" w:name="item15"/>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The following documents are filed as part of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b/>
          <w:caps w:val="false"/>
          <w:smallCaps w:val="false"/>
          <w:sz w:val="20"/>
        </w:rPr>
        <w:t>1.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consolidated financial statements of TG Therapeutics, Inc. are filed as part of this report.</w:t>
      </w:r>
    </w:p>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28" w:type="dxa"/>
          <w:right w:w="0" w:type="dxa"/>
        </w:tblCellMar>
      </w:tblPr>
      <w:tblGrid>
        <w:gridCol w:w="8810"/>
        <w:gridCol w:w="23"/>
        <w:gridCol w:w="440"/>
      </w:tblGrid>
      <w:tr>
        <w:trPr/>
        <w:tc>
          <w:tcPr>
            <w:tcW w:w="881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Contents</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810" w:type="dxa"/>
            <w:tcBorders/>
            <w:tcMar>
              <w:bottom w:w="0" w:type="dxa"/>
            </w:tcMar>
            <w:vAlign w:val="center"/>
          </w:tcPr>
          <w:p>
            <w:pPr>
              <w:pStyle w:val="TableContents"/>
              <w:bidi w:val="0"/>
              <w:spacing w:before="0" w:after="0"/>
              <w:ind w:left="0" w:right="0" w:hanging="0"/>
              <w:jc w:val="both"/>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(KPMG LLP, New York, NY, Audit Firm ID: 185) </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report">
              <w:r>
                <w:rPr>
                  <w:rStyle w:val="InternetLink"/>
                  <w:rFonts w:ascii="Times New Roman" w:hAnsi="Times New Roman"/>
                  <w:caps w:val="false"/>
                  <w:smallCaps w:val="false"/>
                  <w:sz w:val="20"/>
                </w:rPr>
                <w:t>F-1</w:t>
              </w:r>
            </w:hyperlink>
          </w:p>
        </w:tc>
      </w:tr>
      <w:tr>
        <w:trPr/>
        <w:tc>
          <w:tcPr>
            <w:tcW w:w="88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balance">
              <w:r>
                <w:rPr>
                  <w:rStyle w:val="InternetLink"/>
                  <w:rFonts w:ascii="Times New Roman" w:hAnsi="Times New Roman"/>
                  <w:caps w:val="false"/>
                  <w:smallCaps w:val="false"/>
                  <w:sz w:val="20"/>
                </w:rPr>
                <w:t>Consolidated Balance Sheets as of December 31, 2025 and 2024</w:t>
              </w:r>
            </w:hyperlink>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balance">
              <w:r>
                <w:rPr>
                  <w:rStyle w:val="InternetLink"/>
                  <w:rFonts w:ascii="Times New Roman" w:hAnsi="Times New Roman"/>
                  <w:caps w:val="false"/>
                  <w:smallCaps w:val="false"/>
                  <w:sz w:val="20"/>
                </w:rPr>
                <w:t>F-4</w:t>
              </w:r>
            </w:hyperlink>
          </w:p>
        </w:tc>
      </w:tr>
      <w:tr>
        <w:trPr/>
        <w:tc>
          <w:tcPr>
            <w:tcW w:w="88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operations">
              <w:r>
                <w:rPr>
                  <w:rStyle w:val="InternetLink"/>
                  <w:rFonts w:ascii="Times New Roman" w:hAnsi="Times New Roman"/>
                  <w:caps w:val="false"/>
                  <w:smallCaps w:val="false"/>
                  <w:sz w:val="20"/>
                </w:rPr>
                <w:t>Consolidated Statements of Operations for the years ended December 31, 2025, 2024 and 2023</w:t>
              </w:r>
            </w:hyperlink>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operations">
              <w:r>
                <w:rPr>
                  <w:rStyle w:val="InternetLink"/>
                  <w:rFonts w:ascii="Times New Roman" w:hAnsi="Times New Roman"/>
                  <w:caps w:val="false"/>
                  <w:smallCaps w:val="false"/>
                  <w:sz w:val="20"/>
                </w:rPr>
                <w:t>F-5</w:t>
              </w:r>
            </w:hyperlink>
          </w:p>
        </w:tc>
      </w:tr>
      <w:tr>
        <w:trPr/>
        <w:tc>
          <w:tcPr>
            <w:tcW w:w="88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 Equity for the years ended December 31, 2025, 2024 and 2023</w:t>
              </w:r>
            </w:hyperlink>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F-6</w:t>
              </w:r>
            </w:hyperlink>
          </w:p>
        </w:tc>
      </w:tr>
      <w:tr>
        <w:trPr/>
        <w:tc>
          <w:tcPr>
            <w:tcW w:w="88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cash">
              <w:r>
                <w:rPr>
                  <w:rStyle w:val="InternetLink"/>
                  <w:rFonts w:ascii="Times New Roman" w:hAnsi="Times New Roman"/>
                  <w:caps w:val="false"/>
                  <w:smallCaps w:val="false"/>
                  <w:sz w:val="20"/>
                </w:rPr>
                <w:t>Consolidated Statements of Cash Flows for the years ended December 31, 2025, 2024 and 2023</w:t>
              </w:r>
            </w:hyperlink>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cash">
              <w:r>
                <w:rPr>
                  <w:rStyle w:val="InternetLink"/>
                  <w:rFonts w:ascii="Times New Roman" w:hAnsi="Times New Roman"/>
                  <w:caps w:val="false"/>
                  <w:smallCaps w:val="false"/>
                  <w:sz w:val="20"/>
                </w:rPr>
                <w:t>F-7</w:t>
              </w:r>
            </w:hyperlink>
          </w:p>
        </w:tc>
      </w:tr>
      <w:tr>
        <w:trPr/>
        <w:tc>
          <w:tcPr>
            <w:tcW w:w="881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23"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F-8</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b/>
          <w:caps w:val="false"/>
          <w:smallCaps w:val="false"/>
          <w:sz w:val="20"/>
        </w:rPr>
        <w:t>2.      Consolidated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schedules are omitted as the information required is inapplicable or the information is presented in the consolidated financial statements or the related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3.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Exhibit Index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The following exhibits are filed as part of this Annual Report on Form 10-K.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w:t>
            </w:r>
          </w:p>
        </w:tc>
        <w:tc>
          <w:tcPr>
            <w:tcW w:w="949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94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Description</w:t>
            </w:r>
          </w:p>
        </w:tc>
      </w:tr>
      <w:tr>
        <w:trPr/>
        <w:tc>
          <w:tcPr>
            <w:tcW w:w="7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3.1</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Certificate of Incorporation of TG Therapeutics, Inc. dated April 26, 2012 (incorporated by reference to Exhibit 3.1 to the Registrant’s Form 10-Q for the quarter ended June 30, 2012).</w:t>
            </w:r>
          </w:p>
        </w:tc>
      </w:tr>
      <w:tr>
        <w:trPr/>
        <w:tc>
          <w:tcPr>
            <w:tcW w:w="7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3.2</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Amended and Restated Certificate of Incorporation of TG Therapeutics, Inc. dated June 9, 2014 (incorporated by reference to Exhibit 3.2 to the Registrant’s Form 10-Q for the quarter ended June 30, 2014).</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both"/>
              <w:rPr/>
            </w:pPr>
            <w:hyperlink r:id="rId5">
              <w:r>
                <w:rPr>
                  <w:rStyle w:val="InternetLink"/>
                  <w:caps w:val="false"/>
                  <w:smallCaps w:val="false"/>
                </w:rPr>
                <w:t>​</w:t>
              </w:r>
            </w:hyperlink>
            <w:hyperlink r:id="rId6">
              <w:r>
                <w:rPr>
                  <w:rStyle w:val="InternetLink"/>
                  <w:rFonts w:ascii="Times New Roman" w:hAnsi="Times New Roman"/>
                  <w:caps w:val="false"/>
                  <w:smallCaps w:val="false"/>
                  <w:sz w:val="20"/>
                </w:rPr>
                <w:t>3.3</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Amended and Restated Certificate of Incorporation of TG Therapeutics, Inc. dated June 16, 2021 (incorporated by reference to Exhibit 3.1 to the Registrant’s Current Report on Form 8-K filed on June 21, 2021).</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pPr>
            <w:hyperlink r:id="rId7">
              <w:r>
                <w:rPr>
                  <w:rStyle w:val="InternetLink"/>
                </w:rPr>
                <w:t>3.4</w:t>
              </w:r>
            </w:hyperlink>
          </w:p>
        </w:tc>
        <w:tc>
          <w:tcPr>
            <w:tcW w:w="9495" w:type="dxa"/>
            <w:tcBorders/>
            <w:vAlign w:val="center"/>
          </w:tcPr>
          <w:p>
            <w:pPr>
              <w:pStyle w:val="TableContents"/>
              <w:bidi w:val="0"/>
              <w:spacing w:before="0" w:after="283"/>
              <w:jc w:val="both"/>
              <w:rPr/>
            </w:pPr>
            <w:r>
              <w:rPr/>
              <w:t>Certificate of Amendment to Amended and Restated Certificate of Incorporation of TG Therapeutics, Inc. dated June 14, 2024 (incorporated by reference to Exhibit 3.1 to the Registrant's Current Report on Form 8-K filed on June 17, 2024).</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both"/>
              <w:rPr/>
            </w:pPr>
            <w:hyperlink r:id="rId8">
              <w:r>
                <w:rPr>
                  <w:rStyle w:val="InternetLink"/>
                  <w:caps w:val="false"/>
                  <w:smallCaps w:val="false"/>
                </w:rPr>
                <w:t>​</w:t>
              </w:r>
            </w:hyperlink>
            <w:hyperlink r:id="rId9">
              <w:r>
                <w:rPr>
                  <w:rStyle w:val="InternetLink"/>
                  <w:rFonts w:ascii="Times New Roman" w:hAnsi="Times New Roman"/>
                  <w:caps w:val="false"/>
                  <w:smallCaps w:val="false"/>
                  <w:sz w:val="20"/>
                </w:rPr>
                <w:t>3.5</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Bylaws of TG Therapeutics, Inc. dated July 18, 2014 (incorporated by reference to Exhibit 3.1 to the Registrant’s Current Report on Form 8-K filed on July 21, 2014).</w:t>
            </w:r>
          </w:p>
        </w:tc>
      </w:tr>
      <w:tr>
        <w:trPr/>
        <w:tc>
          <w:tcPr>
            <w:tcW w:w="7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4.1</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Specimen common stock certificate (incorporated by reference to Exhibit 4.1 to the Registrant’s Form 10-K for the year ended December 31, 2011).</w:t>
            </w:r>
          </w:p>
        </w:tc>
      </w:tr>
      <w:tr>
        <w:trPr/>
        <w:tc>
          <w:tcPr>
            <w:tcW w:w="7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4.2</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Description of Securities of TG Therapeutics, Inc. (incorporated by reference to Exhibit 4.5 of the Registrant’s Annual Report on Form 10-K for the fiscal year ended December 31, 2020).</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10.2</w:t>
              </w:r>
            </w:hyperlink>
          </w:p>
        </w:tc>
        <w:tc>
          <w:tcPr>
            <w:tcW w:w="9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Subscription Agreement, effective December 29, 2011, by and between TG Therapeutics, Inc. and Michael Weiss (incorporated by reference to Exhibit 10.31 to the Registrant’s Form 10-K for the fiscal year ended December 31, 2011). †</w:t>
            </w:r>
          </w:p>
        </w:tc>
      </w:tr>
      <w:tr>
        <w:trPr/>
        <w:tc>
          <w:tcPr>
            <w:tcW w:w="38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82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380"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10.3</w:t>
              </w:r>
            </w:hyperlink>
          </w:p>
        </w:tc>
        <w:tc>
          <w:tcPr>
            <w:tcW w:w="9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 dated July 12, 2013, by and between TG Therapeutics, Inc. and Michael S. Weiss (incorporated by reference to Exhibit 10.1 to the Registrant’s Current Report on Form 8-K filed on July 16, 2013).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10.4</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Agreements, dated December 31, 2014, by and between TG Therapeutics, Inc. and Michael S. Weiss (incorporated by reference to Exhibit 10.1 to the Registrant’s Current Report on Form 8-K filed on January 7, 2015).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10.5</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effective December 29, 2011, between TG Therapeutics, Inc. and Sean A. Power (incorporated by reference to Exhibit 10.32 to the Registrant’s Form 10-K for the fiscal year ended December 31, 2011).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10.6</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Subscription Agreement, effective December 29, 2011 between TG Therapeutics, Inc. and Sean A. Power (incorporated by reference to Exhibit 10.33 to the Registrant’s Form 10-K for the fiscal year ended December 31, 2011).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rPr>
                <w:t>10.7</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 dated July 12, 2013, by and between TG Therapeutics, Inc. and Sean A. Power (incorporated by reference to Exhibit 10.2 to the Registrant’s Current Report on Form 8-K filed on July 16, 2013).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10.8</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Agreements, dated December 31, 2014, by and between TG Therapeutics, Inc. and Sean A. Power (incorporated by reference to Exhibit 10.2 to the Registrant’s Current Report on Form 8-K filed on January 7, 2015).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rPr>
                <w:t>10.9</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dated January 30, 2012, by and among TG Therapeutics, Inc., GTC Biotherapeutics, Inc., LFB Biotechnologies S.A.S. and LFB/GTC LLC (incorporated by reference to Exhibit 10.35 to the Registrant’s Form 10-K for the fiscal year ended December 31, 2011).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0">
              <w:r>
                <w:rPr>
                  <w:rStyle w:val="InternetLink"/>
                  <w:rFonts w:ascii="Times New Roman" w:hAnsi="Times New Roman"/>
                  <w:caps w:val="false"/>
                  <w:smallCaps w:val="false"/>
                  <w:sz w:val="20"/>
                </w:rPr>
                <w:t>10.10</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Sublicense Agreement, dated November 13, 2012, by and between TG Therapeutics, Inc. and Ildong Pharmaceutical Co. Ltd. (incorporated by reference to Exhibit 10.37 to the Registrant’s Form 10-K for the fiscal year ended December 31, 2012).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rPr>
                <w:t>10.11</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by and between TG Therapeutics, Inc. and Ligand Pharmaceuticals Incorporated, dated June 23, 2014 (incorporated by reference to Exhibit 10.1 to the Registrant’s Form 10-Q for the quarter ended June 30, 2014).*</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2">
              <w:r>
                <w:rPr>
                  <w:rStyle w:val="InternetLink"/>
                  <w:rFonts w:ascii="Times New Roman" w:hAnsi="Times New Roman"/>
                  <w:caps w:val="false"/>
                  <w:smallCaps w:val="false"/>
                  <w:sz w:val="20"/>
                </w:rPr>
                <w:t>10.12</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by and between TG Therapeutics, Inc. and Rhizen Pharmaceuticals SA, dated September 22, 2014 (incorporated by reference to Exhibit 10.1 to the Registrant’s Current Report on Form 8-K filed on January 20, 2015).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rPr>
                <w:t>10.14</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Sublicense Agreement by and between TG Therapeutics, Inc. and Checkpoint Therapeutics, Inc., dated May 27, 2016, (incorporated by reference to Exhibit 10.1 to the Registrant’s Form 10-Q for the quarter ended June 30, 2016). *</w:t>
            </w:r>
          </w:p>
        </w:tc>
      </w:tr>
      <w:tr>
        <w:trPr/>
        <w:tc>
          <w:tcPr>
            <w:tcW w:w="4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4">
              <w:r>
                <w:rPr>
                  <w:rStyle w:val="InternetLink"/>
                  <w:rFonts w:ascii="Times New Roman" w:hAnsi="Times New Roman"/>
                  <w:caps w:val="false"/>
                  <w:smallCaps w:val="false"/>
                  <w:sz w:val="20"/>
                </w:rPr>
                <w:t>10.15</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Employment Agreement, effective January 1, 2017, by and between TG Therapeutics, Inc. and Michael S. Weiss (incorporated by reference to Exhibit 10.18 to the Registrant’s Form 10-K/A for the year ended December 31, 2016).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caps w:val="false"/>
                  <w:smallCaps w:val="false"/>
                  <w:sz w:val="20"/>
                </w:rPr>
                <w:t>10.16</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Master Services Agreement by and between Samsung Biologics Co., Ltd. And TG Therapeutics, Inc., effective February 21, 2018 (incorporated by reference to the Exhibit 10.2 to the Registrant’s Form 10-Q for the quarter ended June 30, 2019). *</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caps w:val="false"/>
                  <w:smallCaps w:val="false"/>
                  <w:sz w:val="20"/>
                </w:rPr>
                <w:t>10.17</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Warrant Agreement, dated February 28, 2019, by and between TG Therapeutics, Inc. and Hercules Capital, Inc. (incorporated by reference to the Exhibit 10.3 to the Registrant’s Current Report on Form 8-K filed on March 5, 2019).</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caps w:val="false"/>
                  <w:smallCaps w:val="false"/>
                  <w:sz w:val="20"/>
                </w:rPr>
                <w:t>10.19</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Warrant Agreement, dated February 28, 2019, by and between TG Therapeutics, Inc. and Hercules Technology III, L.P. (incorporated by reference to the Exhibit 10.4 to the Registrant’s Current Report on Form 8-K filed on March 5, 2019).</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caps w:val="false"/>
                  <w:smallCaps w:val="false"/>
                  <w:sz w:val="20"/>
                </w:rPr>
                <w:t>10.20</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Amended and Restated Collaboration Agreement by and between TG Therapeutics, Inc. and Checkpoint Therapeutics, Inc., dated June 19, 2019 (incorporated by reference to Exhibit 10.1 to the Registrant’s Form 10-Q for the quarter ended June 30, 2019). *</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caps w:val="false"/>
                  <w:smallCaps w:val="false"/>
                  <w:sz w:val="20"/>
                </w:rPr>
                <w:t>10.21</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Amended and Restated Employment Agreement by and between TG Therapeutics, Inc. and Michael S. Weiss, dated June 18, 2021 (incorporated by reference to Exhibit 10.1 to the Registrant’s Form 10 Q for the quarter ended June 30, 2021). †</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caps w:val="false"/>
                  <w:smallCaps w:val="false"/>
                  <w:sz w:val="20"/>
                </w:rPr>
                <w:t>10.22</w:t>
              </w:r>
            </w:hyperlink>
          </w:p>
        </w:tc>
        <w:tc>
          <w:tcPr>
            <w:tcW w:w="9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TG Therapeutics, Inc. 2022 Incentive Plan (incorporated by reference to Exhibit 10.1 to the Registrant’s Current Report on Form 8-K filed on June 23, 2022).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10.23</w:t>
              </w:r>
            </w:hyperlink>
          </w:p>
        </w:tc>
        <w:tc>
          <w:tcPr>
            <w:tcW w:w="9705"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 xml:space="preserve">Amendment to the TG Therapeutics, Inc. 2022 Incentive Plan (incorporated by reference to Exhibit 10.1 to the Registrant’s Current Report on Form 8-K filed on June 17, 2024). †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10.24</w:t>
              </w:r>
            </w:hyperlink>
          </w:p>
        </w:tc>
        <w:tc>
          <w:tcPr>
            <w:tcW w:w="9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No. 2 to the TG Therapeutics, Inc. 2022 Incentive Plan (incorporated by reference to Exhibit 10.1 to the Registrant’s Form 10-Q for the quarter ended June 30, 2025). †</w:t>
            </w:r>
          </w:p>
        </w:tc>
      </w:tr>
      <w:tr>
        <w:trPr/>
        <w:tc>
          <w:tcPr>
            <w:tcW w:w="5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00" w:type="dxa"/>
            <w:tcBorders/>
            <w:vAlign w:val="center"/>
          </w:tcPr>
          <w:p>
            <w:pPr>
              <w:pStyle w:val="TableContents"/>
              <w:bidi w:val="0"/>
              <w:spacing w:before="0" w:after="283"/>
              <w:jc w:val="left"/>
              <w:rPr/>
            </w:pPr>
            <w:hyperlink w:anchor="ex_925369.htm">
              <w:r>
                <w:rPr>
                  <w:rStyle w:val="InternetLink"/>
                  <w:rFonts w:ascii="Times New Roman;Times;serif" w:hAnsi="Times New Roman;Times;serif"/>
                  <w:sz w:val="20"/>
                </w:rPr>
                <w:t>10.25</w:t>
              </w:r>
            </w:hyperlink>
          </w:p>
        </w:tc>
        <w:tc>
          <w:tcPr>
            <w:tcW w:w="9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Tracking Unit Award Certificate (Cash Settlement Only Form).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w:anchor="ex_925370.htm">
              <w:r>
                <w:rPr>
                  <w:rStyle w:val="InternetLink"/>
                  <w:rFonts w:ascii="Times New Roman;Times;serif" w:hAnsi="Times New Roman;Times;serif"/>
                  <w:sz w:val="20"/>
                </w:rPr>
                <w:t>10.26</w:t>
              </w:r>
            </w:hyperlink>
          </w:p>
        </w:tc>
        <w:tc>
          <w:tcPr>
            <w:tcW w:w="9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Tracking Unit Award Certificate (Cash or Stock Settlement Form).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10.27</w:t>
              </w:r>
            </w:hyperlink>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and Restated Warrant Agreement, dated March 31, 2023, by and between TG Therapeutics, Inc. and Hercules Capital Inc. (incorporated by reference to Exhibit 10.2 to the Registrant’s Form 10-Q for the quarter ended March 31, 2023).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10.28</w:t>
              </w:r>
            </w:hyperlink>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and Restated Warrant Agreement, dated March 31, 2023, by and between TG Therapeutics, Inc. and Hercules Funding IV, LLC. (incorporated by reference to Exhibit 10.3 to the Registrant’s Form 10-Q for the quarter ended March 31, 2023). *</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10.29</w:t>
              </w:r>
            </w:hyperlink>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Amended and Restated Warrant Agreement, dated March 31, 2023, by and between TG Therapeutics, Inc. and Hercules Private Credit Fund 1 L.P. (incorporated by reference to Exhibit 10.4 to the Registrant’s Form 10-Q for the quarter ended March 31, 2023).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9645"/>
      </w:tblGrid>
      <w:tr>
        <w:trPr/>
        <w:tc>
          <w:tcPr>
            <w:tcW w:w="560" w:type="dxa"/>
            <w:tcBorders/>
            <w:vAlign w:val="center"/>
          </w:tcPr>
          <w:p>
            <w:pPr>
              <w:pStyle w:val="TableContents"/>
              <w:bidi w:val="0"/>
              <w:spacing w:before="0" w:after="283"/>
              <w:jc w:val="left"/>
              <w:rPr/>
            </w:pPr>
            <w:hyperlink r:id="rId36">
              <w:r>
                <w:rPr>
                  <w:rStyle w:val="InternetLink"/>
                </w:rPr>
                <w:t>10.30</w:t>
              </w:r>
            </w:hyperlink>
          </w:p>
        </w:tc>
        <w:tc>
          <w:tcPr>
            <w:tcW w:w="9645" w:type="dxa"/>
            <w:tcBorders/>
            <w:vAlign w:val="center"/>
          </w:tcPr>
          <w:p>
            <w:pPr>
              <w:pStyle w:val="TableContents"/>
              <w:bidi w:val="0"/>
              <w:spacing w:before="0" w:after="283"/>
              <w:jc w:val="both"/>
              <w:rPr/>
            </w:pPr>
            <w:r>
              <w:rPr/>
              <w:t>Amended and Restated Warrant Agreement, dated March 31, 2023, by and between TG Therapeutics, Inc. and Hercules Private Global Venture Growth Fund I L.P. (incorporated by reference to Exhibit 10.5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37">
              <w:r>
                <w:rPr>
                  <w:rStyle w:val="InternetLink"/>
                </w:rPr>
                <w:t>10.31</w:t>
              </w:r>
            </w:hyperlink>
          </w:p>
        </w:tc>
        <w:tc>
          <w:tcPr>
            <w:tcW w:w="9645" w:type="dxa"/>
            <w:tcBorders/>
            <w:vAlign w:val="center"/>
          </w:tcPr>
          <w:p>
            <w:pPr>
              <w:pStyle w:val="TableContents"/>
              <w:bidi w:val="0"/>
              <w:spacing w:before="0" w:after="283"/>
              <w:jc w:val="both"/>
              <w:rPr/>
            </w:pPr>
            <w:r>
              <w:rPr/>
              <w:t>Warrant Agreement, dated March 31, 2023, by and between TG Therapeutics, Inc. and Hercules Capital Inc. (incorporated by reference to Exhibit 10.6 to the Registrant’s Form 10-Q for the quarter ended March 31, 2023).*</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38">
              <w:r>
                <w:rPr>
                  <w:rStyle w:val="InternetLink"/>
                </w:rPr>
                <w:t>10.32</w:t>
              </w:r>
            </w:hyperlink>
          </w:p>
        </w:tc>
        <w:tc>
          <w:tcPr>
            <w:tcW w:w="9645" w:type="dxa"/>
            <w:tcBorders/>
            <w:vAlign w:val="center"/>
          </w:tcPr>
          <w:p>
            <w:pPr>
              <w:pStyle w:val="TableContents"/>
              <w:bidi w:val="0"/>
              <w:spacing w:before="0" w:after="283"/>
              <w:jc w:val="both"/>
              <w:rPr/>
            </w:pPr>
            <w:r>
              <w:rPr/>
              <w:t>Warrant Agreement, dated March 31, 2023, by and between TG Therapeutics, Inc. and Hercules Private Credit Fund 1 L.P. (incorporated by reference to Exhibit 10.7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39">
              <w:r>
                <w:rPr>
                  <w:rStyle w:val="InternetLink"/>
                </w:rPr>
                <w:t>10.33</w:t>
              </w:r>
            </w:hyperlink>
          </w:p>
        </w:tc>
        <w:tc>
          <w:tcPr>
            <w:tcW w:w="9645" w:type="dxa"/>
            <w:tcBorders/>
            <w:vAlign w:val="center"/>
          </w:tcPr>
          <w:p>
            <w:pPr>
              <w:pStyle w:val="TableContents"/>
              <w:bidi w:val="0"/>
              <w:spacing w:before="0" w:after="283"/>
              <w:jc w:val="both"/>
              <w:rPr/>
            </w:pPr>
            <w:r>
              <w:rPr/>
              <w:t>Warrant Agreement, dated March 31, 2023, by and between TG Therapeutics, Inc. and Hercules Private Global Venture Growth Fund I L.P. (incorporated by reference to Exhibit 10.8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0">
              <w:r>
                <w:rPr>
                  <w:rStyle w:val="InternetLink"/>
                </w:rPr>
                <w:t>10.34</w:t>
              </w:r>
            </w:hyperlink>
          </w:p>
        </w:tc>
        <w:tc>
          <w:tcPr>
            <w:tcW w:w="9645" w:type="dxa"/>
            <w:tcBorders/>
            <w:vAlign w:val="center"/>
          </w:tcPr>
          <w:p>
            <w:pPr>
              <w:pStyle w:val="TableContents"/>
              <w:bidi w:val="0"/>
              <w:spacing w:before="0" w:after="283"/>
              <w:jc w:val="both"/>
              <w:rPr/>
            </w:pPr>
            <w:r>
              <w:rPr/>
              <w:t>Commercialization Agreement by and between TG Therapeutics, Inc. and Neuraxpharm Pharmaceuticals, S.L., dated as of July 28, 2023 (incorporated by reference to Exhibit 10.1 to the Registrant’s Form 10-Q for the quarter ended June 30,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1">
              <w:r>
                <w:rPr>
                  <w:rStyle w:val="InternetLink"/>
                </w:rPr>
                <w:t>10.35</w:t>
              </w:r>
            </w:hyperlink>
          </w:p>
        </w:tc>
        <w:tc>
          <w:tcPr>
            <w:tcW w:w="9645" w:type="dxa"/>
            <w:tcBorders/>
            <w:vAlign w:val="center"/>
          </w:tcPr>
          <w:p>
            <w:pPr>
              <w:pStyle w:val="TableContents"/>
              <w:bidi w:val="0"/>
              <w:spacing w:before="0" w:after="283"/>
              <w:jc w:val="both"/>
              <w:rPr/>
            </w:pPr>
            <w:r>
              <w:rPr/>
              <w:t>License Agreement, dated January 7, 2024, by and between TG Therapeutics, Inc., TG Cell Therapy, Inc., and Precision BioSciences, Inc. (incorporated by reference to Exhibit 10.38 to the Registrant’s Form 10-K for the year ended December 31, 2023).*</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2">
              <w:r>
                <w:rPr>
                  <w:rStyle w:val="InternetLink"/>
                </w:rPr>
                <w:t>10.36</w:t>
              </w:r>
            </w:hyperlink>
          </w:p>
        </w:tc>
        <w:tc>
          <w:tcPr>
            <w:tcW w:w="9645" w:type="dxa"/>
            <w:tcBorders/>
            <w:vAlign w:val="center"/>
          </w:tcPr>
          <w:p>
            <w:pPr>
              <w:pStyle w:val="TableContents"/>
              <w:bidi w:val="0"/>
              <w:spacing w:before="0" w:after="283"/>
              <w:jc w:val="both"/>
              <w:rPr/>
            </w:pPr>
            <w:r>
              <w:rPr/>
              <w:t>Financing Agreement, dated August 2, 2024, by and among TG Therapeutics, Inc., certain subsidiaries of TG Therapeutics, Inc., various lenders from time to time party thereto, and Blue Owl Capital Corporation (incorporated by reference to Exhibit 10.2 to the Registrant’s Form 10-Q for the quarter ended June 30, 2024).*</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3">
              <w:r>
                <w:rPr>
                  <w:rStyle w:val="InternetLink"/>
                </w:rPr>
                <w:t>10.37</w:t>
              </w:r>
            </w:hyperlink>
          </w:p>
        </w:tc>
        <w:tc>
          <w:tcPr>
            <w:tcW w:w="9645" w:type="dxa"/>
            <w:tcBorders/>
            <w:vAlign w:val="center"/>
          </w:tcPr>
          <w:p>
            <w:pPr>
              <w:pStyle w:val="TableContents"/>
              <w:bidi w:val="0"/>
              <w:spacing w:before="0" w:after="283"/>
              <w:jc w:val="both"/>
              <w:rPr/>
            </w:pPr>
            <w:r>
              <w:rPr/>
              <w:t>Master Services Agreement, effective October 8, 2024, by and among TG Therapeutics, Inc., Fujifilm Diosynth Biotechnologies North Carolina, Inc. and Fujifilm Diosynth Biotechnologies Denmark Aps (incorporated by reference to Exhibit 10.1 to the Registrant’s Form 10-Q for the quarter ended September 30, 2024).*</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4">
              <w:r>
                <w:rPr>
                  <w:rStyle w:val="InternetLink"/>
                </w:rPr>
                <w:t>19.1</w:t>
              </w:r>
            </w:hyperlink>
          </w:p>
        </w:tc>
        <w:tc>
          <w:tcPr>
            <w:tcW w:w="9645" w:type="dxa"/>
            <w:tcBorders/>
            <w:vAlign w:val="center"/>
          </w:tcPr>
          <w:p>
            <w:pPr>
              <w:pStyle w:val="TableContents"/>
              <w:bidi w:val="0"/>
              <w:spacing w:before="0" w:after="283"/>
              <w:jc w:val="both"/>
              <w:rPr/>
            </w:pPr>
            <w:r>
              <w:rPr/>
              <w:t>TG Therapeutics, Inc. Insider Trading Policy (incorporated by reference to Exhibit 19.1 to the Registrant’s Form 10-K for the year ended December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both"/>
              <w:rPr/>
            </w:pPr>
            <w:hyperlink w:anchor="ex_874096.htm">
              <w:r>
                <w:rPr>
                  <w:rStyle w:val="InternetLink"/>
                  <w:rFonts w:ascii="Times New Roman" w:hAnsi="Times New Roman"/>
                  <w:caps w:val="false"/>
                  <w:smallCaps w:val="false"/>
                  <w:sz w:val="20"/>
                </w:rPr>
                <w:t>21.1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 of TG Therapeutics, Inc. #</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874097.htm">
              <w:r>
                <w:rPr>
                  <w:rStyle w:val="InternetLink"/>
                  <w:rFonts w:ascii="Times New Roman" w:hAnsi="Times New Roman"/>
                  <w:caps w:val="false"/>
                  <w:smallCaps w:val="false"/>
                  <w:sz w:val="20"/>
                </w:rPr>
                <w:t>23.1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 (KPMG, LLP). #</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poa">
              <w:r>
                <w:rPr>
                  <w:rStyle w:val="InternetLink"/>
                  <w:rFonts w:ascii="Times New Roman" w:hAnsi="Times New Roman"/>
                  <w:caps w:val="false"/>
                  <w:smallCaps w:val="false"/>
                  <w:sz w:val="20"/>
                </w:rPr>
                <w:t>24.1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Power of Attorney (included in signature page).</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874098.htm">
              <w:r>
                <w:rPr>
                  <w:rStyle w:val="InternetLink"/>
                  <w:rFonts w:ascii="Times New Roman" w:hAnsi="Times New Roman"/>
                  <w:caps w:val="false"/>
                  <w:smallCaps w:val="false"/>
                  <w:sz w:val="20"/>
                </w:rPr>
                <w:t>31.1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Principal Executive Officer. #</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874099.htm">
              <w:r>
                <w:rPr>
                  <w:rStyle w:val="InternetLink"/>
                  <w:rFonts w:ascii="Times New Roman" w:hAnsi="Times New Roman"/>
                  <w:caps w:val="false"/>
                  <w:smallCaps w:val="false"/>
                  <w:sz w:val="20"/>
                </w:rPr>
                <w:t>31.2</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Principal Financial Officer. #</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874100.htm">
              <w:r>
                <w:rPr>
                  <w:rStyle w:val="InternetLink"/>
                  <w:rFonts w:ascii="Times New Roman" w:hAnsi="Times New Roman"/>
                  <w:caps w:val="false"/>
                  <w:smallCaps w:val="false"/>
                  <w:sz w:val="20"/>
                </w:rPr>
                <w:t>32.1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Section 906 of the Sarbanes-Oxley Act of 2002. #</w:t>
            </w:r>
          </w:p>
        </w:tc>
      </w:tr>
      <w:tr>
        <w:trPr/>
        <w:tc>
          <w:tcPr>
            <w:tcW w:w="56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874101.htm">
              <w:r>
                <w:rPr>
                  <w:rStyle w:val="InternetLink"/>
                  <w:rFonts w:ascii="Times New Roman" w:hAnsi="Times New Roman"/>
                  <w:caps w:val="false"/>
                  <w:smallCaps w:val="false"/>
                  <w:sz w:val="20"/>
                </w:rPr>
                <w:t>32.2</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Section 906 of the Sarbanes-Oxley Act of 2002.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pPr>
            <w:hyperlink r:id="rId45">
              <w:r>
                <w:rPr>
                  <w:rStyle w:val="InternetLink"/>
                </w:rPr>
                <w:t>97.1</w:t>
              </w:r>
            </w:hyperlink>
          </w:p>
        </w:tc>
        <w:tc>
          <w:tcPr>
            <w:tcW w:w="9765" w:type="dxa"/>
            <w:tcBorders/>
            <w:vAlign w:val="center"/>
          </w:tcPr>
          <w:p>
            <w:pPr>
              <w:pStyle w:val="TableContents"/>
              <w:bidi w:val="0"/>
              <w:spacing w:before="0" w:after="283"/>
              <w:jc w:val="both"/>
              <w:rPr/>
            </w:pPr>
            <w:r>
              <w:rPr/>
              <w:t>TG Therapeutics, Inc. Clawback Policy (incorporated by reference to Exhibit 97.1 to the Registrant’s Form 10-K for the year ended December 31, 2023). </w:t>
            </w:r>
          </w:p>
        </w:tc>
      </w:tr>
      <w:tr>
        <w:trPr/>
        <w:tc>
          <w:tcPr>
            <w:tcW w:w="44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information from TG Therapeutics, Inc.’s Annual Report on Form 10-K for the year ended December 31, 2025,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tc>
      </w:tr>
      <w:tr>
        <w:trPr/>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6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inline XBRL included as Exhibit 101).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420" w:type="dxa"/>
        <w:jc w:val="left"/>
        <w:tblInd w:w="0" w:type="dxa"/>
        <w:tblLayout w:type="fixed"/>
        <w:tblCellMar>
          <w:top w:w="0" w:type="dxa"/>
          <w:left w:w="0" w:type="dxa"/>
          <w:bottom w:w="0" w:type="dxa"/>
          <w:right w:w="0" w:type="dxa"/>
        </w:tblCellMar>
      </w:tblPr>
      <w:tblGrid>
        <w:gridCol w:w="140"/>
        <w:gridCol w:w="1280"/>
      </w:tblGrid>
      <w:tr>
        <w:trPr/>
        <w:tc>
          <w:tcPr>
            <w:tcW w:w="140" w:type="dxa"/>
            <w:tcBorders/>
            <w:vAlign w:val="center"/>
          </w:tcPr>
          <w:p>
            <w:pPr>
              <w:pStyle w:val="TableContents"/>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w:t>
            </w:r>
          </w:p>
        </w:tc>
        <w:tc>
          <w:tcPr>
            <w:tcW w:w="1280" w:type="dxa"/>
            <w:tcBorders/>
            <w:vAlign w:val="center"/>
          </w:tcPr>
          <w:p>
            <w:pPr>
              <w:pStyle w:val="TableContents"/>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Filed Herewith.</w:t>
            </w:r>
          </w:p>
        </w:tc>
      </w:tr>
    </w:tbl>
    <w:tbl>
      <w:tblPr>
        <w:tblW w:w="5815" w:type="dxa"/>
        <w:jc w:val="left"/>
        <w:tblInd w:w="0" w:type="dxa"/>
        <w:tblLayout w:type="fixed"/>
        <w:tblCellMar>
          <w:top w:w="0" w:type="dxa"/>
          <w:left w:w="0" w:type="dxa"/>
          <w:bottom w:w="0" w:type="dxa"/>
          <w:right w:w="0" w:type="dxa"/>
        </w:tblCellMar>
      </w:tblPr>
      <w:tblGrid>
        <w:gridCol w:w="155"/>
        <w:gridCol w:w="5660"/>
      </w:tblGrid>
      <w:tr>
        <w:trPr/>
        <w:tc>
          <w:tcPr>
            <w:tcW w:w="1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 or arrangement.</w:t>
            </w:r>
          </w:p>
        </w:tc>
      </w:tr>
    </w:tbl>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portions of this exhibit have been omitted pursuant to Item 601(b)(10) of Regulation 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810"/>
        <w:gridCol w:w="440"/>
      </w:tblGrid>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810" w:type="dxa"/>
            <w:tcBorders/>
            <w:vAlign w:val="center"/>
          </w:tcPr>
          <w:p>
            <w:pPr>
              <w:pStyle w:val="TableContents"/>
              <w:bidi w:val="0"/>
              <w:spacing w:before="0" w:after="0"/>
              <w:ind w:left="0" w:right="0" w:hanging="0"/>
              <w:jc w:val="both"/>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(KPMG LLP, New York, NY, Audit Firm ID: 185) </w:t>
            </w:r>
          </w:p>
        </w:tc>
        <w:tc>
          <w:tcPr>
            <w:tcW w:w="440" w:type="dxa"/>
            <w:tcBorders/>
            <w:vAlign w:val="center"/>
          </w:tcPr>
          <w:p>
            <w:pPr>
              <w:pStyle w:val="TableContents"/>
              <w:bidi w:val="0"/>
              <w:spacing w:before="0" w:after="0"/>
              <w:ind w:left="0" w:right="0" w:hanging="0"/>
              <w:jc w:val="center"/>
              <w:rPr/>
            </w:pPr>
            <w:hyperlink w:anchor="report">
              <w:r>
                <w:rPr>
                  <w:rStyle w:val="InternetLink"/>
                  <w:rFonts w:ascii="Times New Roman" w:hAnsi="Times New Roman"/>
                  <w:caps w:val="false"/>
                  <w:smallCaps w:val="false"/>
                  <w:sz w:val="20"/>
                </w:rPr>
                <w:t>F-1</w:t>
              </w:r>
            </w:hyperlink>
          </w:p>
        </w:tc>
      </w:tr>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both"/>
              <w:rPr/>
            </w:pPr>
            <w:hyperlink w:anchor="balance">
              <w:r>
                <w:rPr>
                  <w:rStyle w:val="InternetLink"/>
                  <w:rFonts w:ascii="Times New Roman" w:hAnsi="Times New Roman"/>
                  <w:caps w:val="false"/>
                  <w:smallCaps w:val="false"/>
                  <w:sz w:val="20"/>
                </w:rPr>
                <w:t>Consolidated Balance Sheets as of December 31, 2025 and 2024</w:t>
              </w:r>
            </w:hyperlink>
          </w:p>
        </w:tc>
        <w:tc>
          <w:tcPr>
            <w:tcW w:w="440" w:type="dxa"/>
            <w:tcBorders/>
            <w:vAlign w:val="center"/>
          </w:tcPr>
          <w:p>
            <w:pPr>
              <w:pStyle w:val="TableContents"/>
              <w:bidi w:val="0"/>
              <w:spacing w:before="0" w:after="0"/>
              <w:ind w:left="0" w:right="0" w:hanging="0"/>
              <w:jc w:val="center"/>
              <w:rPr/>
            </w:pPr>
            <w:hyperlink w:anchor="balance">
              <w:r>
                <w:rPr>
                  <w:rStyle w:val="InternetLink"/>
                  <w:rFonts w:ascii="Times New Roman" w:hAnsi="Times New Roman"/>
                  <w:caps w:val="false"/>
                  <w:smallCaps w:val="false"/>
                  <w:sz w:val="20"/>
                </w:rPr>
                <w:t>F-4</w:t>
              </w:r>
            </w:hyperlink>
          </w:p>
        </w:tc>
      </w:tr>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both"/>
              <w:rPr/>
            </w:pPr>
            <w:hyperlink w:anchor="operations">
              <w:r>
                <w:rPr>
                  <w:rStyle w:val="InternetLink"/>
                  <w:rFonts w:ascii="Times New Roman" w:hAnsi="Times New Roman"/>
                  <w:caps w:val="false"/>
                  <w:smallCaps w:val="false"/>
                  <w:sz w:val="20"/>
                </w:rPr>
                <w:t>Consolidated Statements of Operations for the years ended December 31, 2025, 2024 and 2023</w:t>
              </w:r>
            </w:hyperlink>
          </w:p>
        </w:tc>
        <w:tc>
          <w:tcPr>
            <w:tcW w:w="440" w:type="dxa"/>
            <w:tcBorders/>
            <w:vAlign w:val="center"/>
          </w:tcPr>
          <w:p>
            <w:pPr>
              <w:pStyle w:val="TableContents"/>
              <w:bidi w:val="0"/>
              <w:spacing w:before="0" w:after="0"/>
              <w:ind w:left="0" w:right="0" w:hanging="0"/>
              <w:jc w:val="center"/>
              <w:rPr/>
            </w:pPr>
            <w:hyperlink w:anchor="operations">
              <w:r>
                <w:rPr>
                  <w:rStyle w:val="InternetLink"/>
                  <w:rFonts w:ascii="Times New Roman" w:hAnsi="Times New Roman"/>
                  <w:caps w:val="false"/>
                  <w:smallCaps w:val="false"/>
                  <w:sz w:val="20"/>
                </w:rPr>
                <w:t>F-5</w:t>
              </w:r>
            </w:hyperlink>
          </w:p>
        </w:tc>
      </w:tr>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 Equity for the years ended December 31, 2025, 2024 and 2023</w:t>
              </w:r>
            </w:hyperlink>
          </w:p>
        </w:tc>
        <w:tc>
          <w:tcPr>
            <w:tcW w:w="44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F-6</w:t>
              </w:r>
            </w:hyperlink>
          </w:p>
        </w:tc>
      </w:tr>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both"/>
              <w:rPr/>
            </w:pPr>
            <w:hyperlink w:anchor="cash">
              <w:r>
                <w:rPr>
                  <w:rStyle w:val="InternetLink"/>
                  <w:rFonts w:ascii="Times New Roman" w:hAnsi="Times New Roman"/>
                  <w:caps w:val="false"/>
                  <w:smallCaps w:val="false"/>
                  <w:sz w:val="20"/>
                </w:rPr>
                <w:t>Consolidated Statements of Cash Flows for the years ended December 31, 2025, 2024 and 2023</w:t>
              </w:r>
            </w:hyperlink>
          </w:p>
        </w:tc>
        <w:tc>
          <w:tcPr>
            <w:tcW w:w="440" w:type="dxa"/>
            <w:tcBorders/>
            <w:vAlign w:val="center"/>
          </w:tcPr>
          <w:p>
            <w:pPr>
              <w:pStyle w:val="TableContents"/>
              <w:bidi w:val="0"/>
              <w:spacing w:before="0" w:after="0"/>
              <w:ind w:left="0" w:right="0" w:hanging="0"/>
              <w:jc w:val="center"/>
              <w:rPr/>
            </w:pPr>
            <w:hyperlink w:anchor="cash">
              <w:r>
                <w:rPr>
                  <w:rStyle w:val="InternetLink"/>
                  <w:rFonts w:ascii="Times New Roman" w:hAnsi="Times New Roman"/>
                  <w:caps w:val="false"/>
                  <w:smallCaps w:val="false"/>
                  <w:sz w:val="20"/>
                </w:rPr>
                <w:t>F-7</w:t>
              </w:r>
            </w:hyperlink>
          </w:p>
        </w:tc>
      </w:tr>
      <w:tr>
        <w:trPr/>
        <w:tc>
          <w:tcPr>
            <w:tcW w:w="88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F-8</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0" w:name="report"/>
      <w:bookmarkEnd w:id="30"/>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br/>
        <w:t>TG Therapeutics, Inc.:</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Opinion on the</w:t>
      </w:r>
      <w:r>
        <w:rPr>
          <w:rFonts w:ascii="Times New Roman" w:hAnsi="Times New Roman"/>
          <w:caps w:val="false"/>
          <w:smallCaps w:val="false"/>
          <w:sz w:val="20"/>
        </w:rPr>
        <w:t xml:space="preserve"> </w:t>
      </w:r>
      <w:r>
        <w:rPr>
          <w:rFonts w:ascii="Times New Roman" w:hAnsi="Times New Roman"/>
          <w:b/>
          <w:i/>
          <w:caps w:val="false"/>
          <w:smallCaps w:val="false"/>
          <w:sz w:val="20"/>
        </w:rPr>
        <w:t>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TG Therapeutics, Inc. and subsidiaries (the Company) as of December 31, 2025 and 2024, the related consolidated statements of operations,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27, 2026 expressed an unqualified opinion on the effectiveness of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Estimate of certain product revenue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discussed in Note 1 to the consolidated financial statements, the Company records product revenue reserves, which are classified as a reduction in product revenues, to account for the components of variable consideration. Variable consideration includes chargebacks, government rebates, trade discounts and allowances, commercial payer rebates, product returns, and co-payment assistance. These reserves are based on estimates of the amounts earned or to be claimed on the related sales and are classified as reductions of accounts receivable or a liability. The Company's estimates of reserves established for variable consideration are calculated based on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identified the estimate of product revenue reserves related to co-payment assistance rebates and government rebates for Medicaid as a critical audit matter. The evaluation of these reserves involved especially challenging auditor judgment due to measurement uncertainty and limited historical data. The reserves are calculated by estimating which of the Company’s product revenue transactions will ultimately be subject to a related rebate and the amount of such rebate. There was limited historical data available for the Company to use in its determination of these key assumptions as the Company’s only product, BRIUMVI, was launched commercially in January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are the primary procedures we performed to address this critical audit matter. We evaluated the design and tested the operating effectiveness of certain internal controls over the Company’s product revenue reserves process, including controls over determination of the key assumptions noted above. We evaluated the reserves related to co-payment assistance rebates and Medicaid rebates by developing an independent expectation based on external and internal information and comparing the result to the Company’s estimated reserves. For a sample of claims related to co-payment assistance rebates and Medicaid rebates, we inspected underlying documentation and related disbursements made by the Company.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caps w:val="false"/>
          <w:smallCaps w:val="false"/>
          <w:sz w:val="20"/>
        </w:rPr>
      </w:pPr>
      <w:r>
        <w:rPr>
          <w:rFonts w:ascii="Times New Roman" w:hAnsi="Times New Roman"/>
          <w:b/>
          <w:i/>
          <w:caps w:val="false"/>
          <w:smallCaps w:val="false"/>
          <w:sz w:val="20"/>
        </w:rPr>
        <w:t>Realizability of deferred tax assets</w:t>
      </w:r>
      <w:r>
        <w:rPr>
          <w:rFonts w:ascii="Times New Roman" w:hAnsi="Times New Roman"/>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discussed in Note 9 to the consolidated financial statements, the Company recognizes a valuation allowance for deferred tax assets if, based on review of all available positive and negative evidence, including current and historical results of operations, future income projections, and the overall prospects of the business, it is more-likely-than-not that the deferred tax assets will not be realizable. As of December 31, 2025, the Company recorded gross deferred tax assets of $391.9 million and a related valuation allowance of $40.0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identified the evaluation of the realizability of certain deferred tax assets as a critical audit matter. Subjective auditor judgment was required to evaluate (1) all available positive and negative evidence to determine whether it is more-likely-than-not that certain deferred tax assets will be realizable and (2) the uncertainty of forecasted taxable income. The evaluation of the realizability of these deferred tax assets required specialized skills and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are the primary procedures we performed to address this critical audit matter. We evaluated the design and tested the operating effectiveness of certain internal controls related to the Company’s income tax process, including controls related to the Company’s evaluation of the realizability of certain deferred tax assets and controls over the key assumptions used in the determination of forecasted taxable income. We involved tax professionals with specialized skills and knowledge who assisted in evaluating the realizability of certain deferred tax assets by: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evaluating all available positive and negative evidence used in the Company’s assessment of whether certain deferred tax assets were more-likely-than-not to be realizable;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evaluating historical trends in revenue and taxable income to assess the extent of objective and verifiable evidence of the Company’s ability to generate future taxable income necessary to realize certain deferred tax assets;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performing a sensitivity analysis to evaluate the impact of forecasted revenue for the Company’s sole commercialized drug on the Company’s assessment of forecasted taxable income;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inspecting tax filings and historical earnings to assess the presence and composition of cumulative income or loss for the past three years;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evaluating the Company’s application of tax regulations pertaining to certain deferred tax assets.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Opinion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audited TG Therapeutics,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the Company as of December 31, 2025 and 2024, the related consolidated statements of operations, stockholders’ equity, and cash flows for each of the years in the three-year period ended December 31, 2025, and the related notes (collectively, the consolidated financial statements), and our report dated February 27, 2026 expressed an unqualified opinion on those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w:t>
        <w:br/>
        <w:t>February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1" w:name="balance"/>
      <w:bookmarkEnd w:id="31"/>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 as of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5"/>
        <w:gridCol w:w="60"/>
        <w:gridCol w:w="129"/>
        <w:gridCol w:w="940"/>
        <w:gridCol w:w="80"/>
        <w:gridCol w:w="60"/>
        <w:gridCol w:w="129"/>
        <w:gridCol w:w="940"/>
        <w:gridCol w:w="82"/>
      </w:tblGrid>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179,894</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 securities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131,106</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129,185</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110,458</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15,716</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566,359</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 securities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7,151</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inventories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2,074</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577,690</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58,296</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current portion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 current portion</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11,414</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15,185</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90,679</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 portion</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 non-current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non-current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8,133</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355,326</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per share (190,000,000 and 190,000,000 shares authorized, 158,849,596 and 156,204,159 shares issued, 155,305,953 and 155,836,256 shares outstanding at December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1,760,396</w:t>
            </w:r>
          </w:p>
        </w:tc>
        <w:tc>
          <w:tcPr>
            <w:tcW w:w="82"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3,543,643 and 367,903 shares at December 31, 2025 and December 31, 2024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(1,529,194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222,364</w:t>
            </w:r>
          </w:p>
        </w:tc>
        <w:tc>
          <w:tcPr>
            <w:tcW w:w="82"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577,690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2" w:name="operations"/>
      <w:bookmarkEnd w:id="32"/>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Operations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3710"/>
        <w:gridCol w:w="60"/>
        <w:gridCol w:w="125"/>
        <w:gridCol w:w="1055"/>
        <w:gridCol w:w="80"/>
        <w:gridCol w:w="60"/>
        <w:gridCol w:w="125"/>
        <w:gridCol w:w="1055"/>
        <w:gridCol w:w="80"/>
        <w:gridCol w:w="60"/>
        <w:gridCol w:w="125"/>
        <w:gridCol w:w="1055"/>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Product revenue,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92,005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milestone, royalty and other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141,657</w:t>
            </w:r>
          </w:p>
        </w:tc>
        <w:tc>
          <w:tcPr>
            <w:tcW w:w="80" w:type="dxa"/>
            <w:tcBorders/>
            <w:shd w:fill="CCEEFF" w:val="clear"/>
            <w:vAlign w:val="center"/>
          </w:tcPr>
          <w:p>
            <w:pPr>
              <w:pStyle w:val="TableContents"/>
              <w:bidi w:val="0"/>
              <w:spacing w:before="0" w:after="0"/>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233,662</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Cost of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14,131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143,597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63,182</w:t>
            </w:r>
          </w:p>
        </w:tc>
        <w:tc>
          <w:tcPr>
            <w:tcW w:w="80" w:type="dxa"/>
            <w:tcBorders/>
            <w:shd w:fill="FFFFFF" w:val="clear"/>
            <w:vAlign w:val="center"/>
          </w:tcPr>
          <w:p>
            <w:pPr>
              <w:pStyle w:val="TableContents"/>
              <w:bidi w:val="0"/>
              <w:spacing w:before="0" w:after="0"/>
              <w:jc w:val="left"/>
              <w:rPr/>
            </w:pPr>
            <w:r>
              <w:rPr/>
              <w:t> </w:t>
            </w:r>
          </w:p>
        </w:tc>
      </w:tr>
      <w:tr>
        <w:trPr/>
        <w:tc>
          <w:tcPr>
            <w:tcW w:w="37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183,981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97,783</w:t>
            </w:r>
          </w:p>
        </w:tc>
        <w:tc>
          <w:tcPr>
            <w:tcW w:w="80" w:type="dxa"/>
            <w:tcBorders/>
            <w:shd w:fill="CCEEFF" w:val="clear"/>
            <w:vAlign w:val="center"/>
          </w:tcPr>
          <w:p>
            <w:pPr>
              <w:pStyle w:val="TableContents"/>
              <w:bidi w:val="0"/>
              <w:spacing w:before="0" w:after="0"/>
              <w:jc w:val="left"/>
              <w:rPr/>
            </w:pPr>
            <w:r>
              <w:rPr/>
              <w:t> </w:t>
            </w:r>
          </w:p>
        </w:tc>
      </w:tr>
      <w:tr>
        <w:trPr/>
        <w:tc>
          <w:tcPr>
            <w:tcW w:w="371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122,706</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213,029</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20,633</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339,789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0"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144,316,786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145,317,418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141,955,112</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161,412,746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160,336,051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148,508,465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3" w:name="equity"/>
      <w:bookmarkEnd w:id="33"/>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5"/>
        <w:gridCol w:w="60"/>
        <w:gridCol w:w="60"/>
        <w:gridCol w:w="1055"/>
        <w:gridCol w:w="80"/>
        <w:gridCol w:w="60"/>
        <w:gridCol w:w="184"/>
        <w:gridCol w:w="496"/>
        <w:gridCol w:w="60"/>
        <w:gridCol w:w="60"/>
        <w:gridCol w:w="125"/>
        <w:gridCol w:w="845"/>
        <w:gridCol w:w="80"/>
        <w:gridCol w:w="60"/>
        <w:gridCol w:w="60"/>
        <w:gridCol w:w="845"/>
        <w:gridCol w:w="60"/>
        <w:gridCol w:w="60"/>
        <w:gridCol w:w="125"/>
        <w:gridCol w:w="755"/>
        <w:gridCol w:w="80"/>
        <w:gridCol w:w="60"/>
        <w:gridCol w:w="135"/>
        <w:gridCol w:w="980"/>
        <w:gridCol w:w="80"/>
        <w:gridCol w:w="60"/>
        <w:gridCol w:w="60"/>
        <w:gridCol w:w="695"/>
        <w:gridCol w:w="80"/>
      </w:tblGrid>
      <w:tr>
        <w:trPr/>
        <w:tc>
          <w:tcPr>
            <w:tcW w:w="2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146,426,697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(1,565,249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58,587</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issued with debt 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At-the-Market offerings (net of offering costs of $0.8 million)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1,385,700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46,296</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FFFFFF" w:val="clear"/>
            <w:vAlign w:val="center"/>
          </w:tcPr>
          <w:p>
            <w:pPr>
              <w:pStyle w:val="TableContents"/>
              <w:bidi w:val="0"/>
              <w:spacing w:before="0" w:after="0"/>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151,465,598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160,502</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cashless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in respect of restricted stock granted to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46,325</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23,383</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156,204,159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222,364</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2,822,875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3,175,740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68,206</w:t>
            </w:r>
          </w:p>
        </w:tc>
        <w:tc>
          <w:tcPr>
            <w:tcW w:w="80" w:type="dxa"/>
            <w:tcBorders/>
            <w:shd w:fill="FFFFFF" w:val="clear"/>
            <w:vAlign w:val="center"/>
          </w:tcPr>
          <w:p>
            <w:pPr>
              <w:pStyle w:val="TableContents"/>
              <w:bidi w:val="0"/>
              <w:spacing w:before="0" w:after="283"/>
              <w:jc w:val="left"/>
              <w:rPr/>
            </w:pPr>
            <w:r>
              <w:rPr/>
              <w:t> </w:t>
            </w:r>
          </w:p>
        </w:tc>
      </w:tr>
      <w:tr>
        <w:trPr/>
        <w:tc>
          <w:tcPr>
            <w:tcW w:w="2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447,179</w:t>
            </w:r>
          </w:p>
        </w:tc>
        <w:tc>
          <w:tcPr>
            <w:tcW w:w="80" w:type="dxa"/>
            <w:tcBorders/>
            <w:shd w:fill="CCEEFF" w:val="clear"/>
            <w:vAlign w:val="center"/>
          </w:tcPr>
          <w:p>
            <w:pPr>
              <w:pStyle w:val="TableContents"/>
              <w:bidi w:val="0"/>
              <w:spacing w:before="0" w:after="283"/>
              <w:jc w:val="left"/>
              <w:rPr/>
            </w:pPr>
            <w:r>
              <w:rPr/>
              <w:t> </w:t>
            </w:r>
          </w:p>
        </w:tc>
      </w:tr>
      <w:tr>
        <w:trPr/>
        <w:tc>
          <w:tcPr>
            <w:tcW w:w="2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158,849,596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3,543,643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648,020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Amount less than one thousand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4" w:name="cash"/>
      <w:bookmarkEnd w:id="34"/>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7175"/>
        <w:gridCol w:w="60"/>
        <w:gridCol w:w="110"/>
        <w:gridCol w:w="665"/>
        <w:gridCol w:w="80"/>
        <w:gridCol w:w="60"/>
        <w:gridCol w:w="110"/>
        <w:gridCol w:w="665"/>
        <w:gridCol w:w="80"/>
        <w:gridCol w:w="60"/>
        <w:gridCol w:w="110"/>
        <w:gridCol w:w="665"/>
        <w:gridCol w:w="80"/>
      </w:tblGrid>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12,672</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income to 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stock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42,541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37,933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discount on investment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leasehold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80" w:type="dxa"/>
            <w:tcBorders/>
            <w:shd w:fill="FFFFFF" w:val="clear"/>
            <w:vAlign w:val="center"/>
          </w:tcPr>
          <w:p>
            <w:pPr>
              <w:pStyle w:val="TableContents"/>
              <w:bidi w:val="0"/>
              <w:spacing w:before="0" w:after="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(348,000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change in lease liability and right of use asset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equity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notes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80" w:type="dxa"/>
            <w:tcBorders/>
            <w:shd w:fill="FFFFFF" w:val="clear"/>
            <w:vAlign w:val="center"/>
          </w:tcPr>
          <w:p>
            <w:pPr>
              <w:pStyle w:val="TableContents"/>
              <w:bidi w:val="0"/>
              <w:spacing w:before="0" w:after="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inventory reserve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assets and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inventory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(33,452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(66,851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(42,430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(176,443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(78,092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(51,093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accounts payable and accrued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22,838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in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(Decrease) increase in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5,711</w:t>
            </w:r>
          </w:p>
        </w:tc>
        <w:tc>
          <w:tcPr>
            <w:tcW w:w="80" w:type="dxa"/>
            <w:tcBorders/>
            <w:shd w:fill="CCEEFF" w:val="clear"/>
            <w:vAlign w:val="center"/>
          </w:tcPr>
          <w:p>
            <w:pPr>
              <w:pStyle w:val="TableContents"/>
              <w:bidi w:val="0"/>
              <w:spacing w:before="0" w:after="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maturity of held-to-maturity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310,900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96,229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held-to-maturity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(222,237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(310,516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(146,880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equity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loan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(107,553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46,296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options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debt financings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244,815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Financing costs paid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treasury stock</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(91,240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(89,729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72,705</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103,577</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94,218</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Reconciliation to amounts on consolidated balance sheets: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92,933</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cash</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1,285</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94,218</w:t>
            </w:r>
          </w:p>
        </w:tc>
        <w:tc>
          <w:tcPr>
            <w:tcW w:w="8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paid for: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8,771</w:t>
            </w:r>
          </w:p>
        </w:tc>
        <w:tc>
          <w:tcPr>
            <w:tcW w:w="80" w:type="dxa"/>
            <w:tcBorders/>
            <w:shd w:fill="FFFFFF" w:val="clear"/>
            <w:vAlign w:val="center"/>
          </w:tcPr>
          <w:p>
            <w:pPr>
              <w:pStyle w:val="TableContents"/>
              <w:bidi w:val="0"/>
              <w:spacing w:before="0" w:after="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TRANSACTIONS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r>
      <w:tr>
        <w:trPr/>
        <w:tc>
          <w:tcPr>
            <w:tcW w:w="71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Financing Costs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1,238</w:t>
            </w:r>
          </w:p>
        </w:tc>
        <w:tc>
          <w:tcPr>
            <w:tcW w:w="8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issued with debt financing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i/>
          <w:caps w:val="false"/>
          <w:smallCaps w:val="false"/>
          <w:sz w:val="18"/>
        </w:rPr>
      </w:pPr>
      <w:r>
        <w:rPr>
          <w:rFonts w:ascii="Times New Roman" w:hAnsi="Times New Roman"/>
          <w:i/>
          <w:caps w:val="false"/>
          <w:smallCaps w:val="false"/>
          <w:sz w:val="18"/>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ind w:left="0" w:right="0" w:hanging="0"/>
        <w:jc w:val="both"/>
        <w:rPr>
          <w:rFonts w:ascii="Times New Roman" w:hAnsi="Times New Roman"/>
          <w:caps w:val="false"/>
          <w:smallCaps w:val="false"/>
          <w:sz w:val="20"/>
        </w:rPr>
      </w:pPr>
      <w:bookmarkStart w:id="35" w:name="notes"/>
      <w:bookmarkEnd w:id="35"/>
      <w:r>
        <w:rPr>
          <w:rFonts w:ascii="Times New Roman" w:hAnsi="Times New Roman"/>
          <w:i/>
          <w:caps w:val="false"/>
          <w:smallCaps w:val="false"/>
          <w:sz w:val="20"/>
        </w:rPr>
        <w:t xml:space="preserve">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TG,</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w:t>
      </w:r>
      <w:r>
        <w:rPr>
          <w:rFonts w:ascii="Times New Roman" w:hAnsi="Times New Roman"/>
          <w:caps w:val="false"/>
          <w:smallCaps w:val="false"/>
          <w:sz w:val="20"/>
        </w:rPr>
        <w:t> </w:t>
      </w:r>
      <w:r>
        <w:rPr>
          <w:rFonts w:ascii="Times New Roman" w:hAnsi="Times New Roman"/>
          <w:i/>
          <w:caps w:val="false"/>
          <w:smallCaps w:val="false"/>
          <w:sz w:val="20"/>
        </w:rPr>
        <w:t>Inc. and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ORGANIZATION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The Company also actively evaluates complementary products, technologies and companies for in-licensing, partnership, acquisition and/or investment opportunities.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Although the Company has recently achieved profitability, it has historically incurred substantial operating losses since its inception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to experience fluctuations in operating results. BRIUMVI was </w:t>
      </w:r>
      <w:r>
        <w:rPr>
          <w:rStyle w:val="Emphasis"/>
          <w:rFonts w:ascii="Times New Roman" w:hAnsi="Times New Roman"/>
          <w:caps w:val="false"/>
          <w:smallCaps w:val="false"/>
          <w:sz w:val="20"/>
        </w:rPr>
        <w:t>first</w:t>
      </w:r>
      <w:r>
        <w:rPr>
          <w:rFonts w:ascii="Times New Roman" w:hAnsi="Times New Roman"/>
          <w:caps w:val="false"/>
          <w:smallCaps w:val="false"/>
          <w:sz w:val="20"/>
        </w:rPr>
        <w:t> commercially launched in the United States in </w:t>
      </w:r>
      <w:r>
        <w:rPr>
          <w:rStyle w:val="Emphasis"/>
          <w:rFonts w:ascii="Times New Roman" w:hAnsi="Times New Roman"/>
          <w:caps w:val="false"/>
          <w:smallCaps w:val="false"/>
          <w:sz w:val="20"/>
        </w:rPr>
        <w:t xml:space="preserve"> January </w:t>
      </w:r>
      <w:r>
        <w:rPr>
          <w:rFonts w:ascii="Times New Roman" w:hAnsi="Times New Roman"/>
          <w:caps w:val="false"/>
          <w:smallCaps w:val="false"/>
          <w:sz w:val="20"/>
        </w:rPr>
        <w:t>of </w:t>
      </w:r>
      <w:r>
        <w:rPr>
          <w:rStyle w:val="Emphasis"/>
          <w:rFonts w:ascii="Times New Roman" w:hAnsi="Times New Roman"/>
          <w:caps w:val="false"/>
          <w:smallCaps w:val="false"/>
          <w:sz w:val="20"/>
        </w:rPr>
        <w:t>2023,</w:t>
      </w:r>
      <w:r>
        <w:rPr>
          <w:rFonts w:ascii="Times New Roman" w:hAnsi="Times New Roman"/>
          <w:caps w:val="false"/>
          <w:smallCaps w:val="false"/>
          <w:sz w:val="20"/>
        </w:rPr>
        <w:t> and outside the United States through the Company's commercialization partner, Neuraxpharm, in </w:t>
      </w:r>
      <w:r>
        <w:rPr>
          <w:rStyle w:val="Emphasis"/>
          <w:rFonts w:ascii="Times New Roman" w:hAnsi="Times New Roman"/>
          <w:caps w:val="false"/>
          <w:smallCaps w:val="false"/>
          <w:sz w:val="20"/>
        </w:rPr>
        <w:t xml:space="preserve"> February 2024. </w:t>
      </w:r>
      <w:r>
        <w:rPr>
          <w:rFonts w:ascii="Times New Roman" w:hAnsi="Times New Roman"/>
          <w:caps w:val="false"/>
          <w:smallCaps w:val="false"/>
          <w:sz w:val="20"/>
        </w:rPr>
        <w:t>Despite the commercialization of BRIUMVI and the potential future commercialization of the Company's other product candidates,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assurance that the Company will maintain profitability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generated revenue of $616.3 million. The Company's operating results and cash flows have fluctuated in the past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to vary significantly from period to period. The Company will need to generate substantial revenues to sustain profitability and positive cash flow over the long term. Historically, the Company's operating losses have been driven primarily by expenses related to research and development programs and selling, general and administrative costs associated with its operations and commercialization activities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Company's accumulated deficit was approximately $1.1 billion, and it had $199.5 million in cash and cash equivalents, and investment securities. Based on its current operating plan and results, the Company anticipates that its existing cash, cash equivalents, and investment securities, together with projected future revenues, will be sufficient to fund operations and meet its liquidity needs for more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after the date of issuance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actual level of cash required for operations will depend on numerous factors, including, among others, the scope of commercialization activities for BRIUMVI, the timing of collection of receivables from the Company's customers on extended payment terms, the timing and design of clinical trials for the Company's product candidates, and the costs associated with licensing or acquiring new product candidates.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seek significant additional financing in the future to support strategic initiatives and its ongoing and planned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common stock is quoted on the Nasdaq Capital Market and trades under the symbol “TGTX.”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monitors new accounting pronouncements issued by the Financial Accounting Standards Board (FASB). Management evaluates, and continues to monitor, recently issued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accounting pronouncements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adoption of such standards to have a material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Improvements to Income Tax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requires entities to provide additional information in their tax rate reconciliation and additional disclosures about income taxes paid by jurisdiction.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is effective for annual reporting periods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with early adoption permitted. The guidance should be applied prospectively, but entities have the option to apply it retrospectively for each period presented. The Company prospectively adopted this standard in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which resulted in incremental income tax disclosures.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-Income taxes for further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requires entities to provide additional disaggregated disclosures of certain income statement expenses, including employee compensation, depreciation, and amortization, within the notes to the financial statements.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guidance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prospectively or retrospectively. The Company is currently evaluating the impact that adoption of this new accounting guidance will have on its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the Company evaluates its estimates and judgments, including those related to revenue, accrued clinical trial expenses, stock-based compensation, inventory valuation, deferred tax asset valuation allowance, and fair value measurement. Actual results could differ from those estimates. Such differences could be material to the Company's results of operations and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considers liquid investments with original maturities of less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from the date of purchase to be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records cash pledged or held in trust as restricted cash.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maintained approximately $1.3 million of restricted cash pledged to secure a line of credit as a security deposit for an Office Agreement (see Note </w:t>
      </w:r>
      <w:r>
        <w:rPr>
          <w:rStyle w:val="Emphasis"/>
          <w:rFonts w:ascii="Times New Roman" w:hAnsi="Times New Roman"/>
          <w:caps w:val="false"/>
          <w:smallCaps w:val="false"/>
          <w:sz w:val="20"/>
        </w:rPr>
        <w:t>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Investment securities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primarily consist of government debt securities. The Company classifies these securities as held-to-maturity. Held-to-maturity securities are those instruments that the Company has the ability and intent to hold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long-term investments also include approximately $1.3 million of equity securities consisting of common stock of Precision BioSciences, Inc. (Precision). Equity securities are recognized at their fair value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Investments – Equity Securities. Forward contracts to purchase equity securities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as derivatives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are accounted for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These forward contracts are recorded at fair value at the balance sheet date. See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for further details.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subject the Company to concentrations of credit risk consist primarily of cash and cash equivalents and investments. The Company maintains its cash and cash equivalents and investments with high-credit quality financial institutions. At times, such amounts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federally-insured limits, and the Company monitors the creditworthiness of these institutions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to depict the transfer of promised goods or services to customers in an amount that reflects the consideration the Company expects to be entitled in exchange for those goods or services. To achieve this core principle,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includes provisions within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contract inception, the Company assesses the goods or services promised within each contract and determine which promised good or service is distinct and therefore considered a performance obligation. The Company then recognizes as revenue the amount of the transaction price that is allocated to the respective performance obligation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Product Revenue, Net</w:t>
      </w:r>
      <w:r>
        <w:rPr>
          <w:rFonts w:ascii="Times New Roman" w:hAnsi="Times New Roman"/>
          <w:caps w:val="false"/>
          <w:smallCaps w:val="false"/>
          <w:sz w:val="20"/>
        </w:rPr>
        <w:t xml:space="preserve">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 of reserves for variable consideration are calculated using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constraint and is included in net product revenues only to the extent that it is probable that a significant reversal in the amount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Actual amounts of consideration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differ from the Company's estimates. If actual results vary, the Company adjusts these estimates, which could have an effect on earnings in the period of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government-required lower selling price to the qualified healthcare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Payer Rebates: The Company contracts with various private payer organizations, primarily insurance companies and pharmacy benefit managers, for the payment of rebates tied to utilization of its product and contracted formulary status. These rebates are estimated and recorded in the same period the related revenue is recognized, resulting in a reduction of product revenue and the establishment of a current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 Discounts and Allowances: The Company provides its customers with discounts that are explicitly stated in the applicable contracts and are recorded in the period the related product revenue is recognized. In addition, the Company receives sales order management, inventory management, and data services from its customers in exchange for certain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Product Returns: Consistent with industry practice, the Company generally offers customers a limited right of return for product that has been purchased from the Company.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Company’s return policy allows for eligible returns of commercial products sold for credit under the following circumstances:</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damaged product;</w:t>
            </w:r>
          </w:p>
        </w:tc>
      </w:tr>
    </w:tbl>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shipment errors that were a result of an error by the Company;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expired product that is returned during the period beginning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prior to the product’s expiration and ending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after the expiration date;</w:t>
            </w:r>
          </w:p>
        </w:tc>
      </w:tr>
    </w:tbl>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subject to a recall; and</w:t>
            </w:r>
          </w:p>
        </w:tc>
      </w:tr>
    </w:tbl>
    <w:tbl>
      <w:tblPr>
        <w:tblW w:w="7285" w:type="dxa"/>
        <w:jc w:val="left"/>
        <w:tblInd w:w="0" w:type="dxa"/>
        <w:tblLayout w:type="fixed"/>
        <w:tblCellMar>
          <w:top w:w="0" w:type="dxa"/>
          <w:left w:w="0" w:type="dxa"/>
          <w:bottom w:w="0" w:type="dxa"/>
          <w:right w:w="0" w:type="dxa"/>
        </w:tblCellMar>
      </w:tblPr>
      <w:tblGrid>
        <w:gridCol w:w="170"/>
        <w:gridCol w:w="711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that the Company, at its sole discretion, has specified can be returned for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has experienced an immaterial amount of product revenue returns related to sales of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Co-Payment Assistance Programs: Co-payment assistance is provided to qualified patients with commercial insurance, whereby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financial assistance to patients with prescription drug co-payments required by the patient's insurance provider. Reserves for co-payment assistance are recorded in the same period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License Agreements </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generates revenue from license or similar agreements with pharmaceutical companies for the development and commercialization of certain products. Such agreements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include the transfer of intellectual property rights in the form of licenses. Payments made by the customer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include non-refundable upfront fees, milestone-based payments, and royalties on sales of products.</w:t>
      </w:r>
    </w:p>
    <w:p>
      <w:pPr>
        <w:pStyle w:val="TextBody"/>
        <w:bidi w:val="0"/>
        <w:spacing w:before="0" w:after="0"/>
        <w:ind w:left="0" w:right="0" w:firstLine="7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Licenses of intellectual property</w:t>
      </w:r>
      <w:r>
        <w:rPr>
          <w:rFonts w:ascii="Times New Roman" w:hAnsi="Times New Roman"/>
          <w:caps w:val="false"/>
          <w:smallCaps w:val="false"/>
          <w:sz w:val="20"/>
        </w:rPr>
        <w:t>: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w:t>
      </w:r>
      <w:r>
        <w:rPr>
          <w:rStyle w:val="Emphasis"/>
          <w:rFonts w:ascii="Times New Roman" w:hAnsi="Times New Roman"/>
          <w:caps w:val="false"/>
          <w:smallCaps w:val="false"/>
          <w:sz w:val="20"/>
        </w:rPr>
        <w:t>not</w:t>
      </w:r>
      <w:r>
        <w:rPr>
          <w:rFonts w:ascii="Times New Roman" w:hAnsi="Times New Roman"/>
          <w:caps w:val="false"/>
          <w:smallCaps w:val="false"/>
          <w:sz w:val="20"/>
        </w:rPr>
        <w:t> distinct, they are combined with other promised goods or services to create a bundle of promised goods or services that is distinct.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Milestone payments</w:t>
      </w:r>
      <w:r>
        <w:rPr>
          <w:rFonts w:ascii="Times New Roman" w:hAnsi="Times New Roman"/>
          <w:caps w:val="false"/>
          <w:smallCaps w:val="false"/>
          <w:sz w:val="20"/>
        </w:rPr>
        <w:t>: Contingent milestones at contract inception are estimated at the amount which is </w:t>
      </w:r>
      <w:r>
        <w:rPr>
          <w:rStyle w:val="Emphasis"/>
          <w:rFonts w:ascii="Times New Roman" w:hAnsi="Times New Roman"/>
          <w:i/>
          <w:caps w:val="false"/>
          <w:smallCaps w:val="false"/>
          <w:sz w:val="20"/>
        </w:rPr>
        <w:t>not</w:t>
      </w:r>
      <w:r>
        <w:rPr>
          <w:rFonts w:ascii="Times New Roman" w:hAnsi="Times New Roman"/>
          <w:caps w:val="false"/>
          <w:smallCaps w:val="false"/>
          <w:sz w:val="20"/>
        </w:rPr>
        <w:t> probable of a material reversal and included in the transaction price using the most likely amount method. Milestone payments that are </w:t>
      </w:r>
      <w:r>
        <w:rPr>
          <w:rStyle w:val="Emphasis"/>
          <w:rFonts w:ascii="Times New Roman" w:hAnsi="Times New Roman"/>
          <w:i/>
          <w:caps w:val="false"/>
          <w:smallCaps w:val="false"/>
          <w:sz w:val="20"/>
        </w:rPr>
        <w:t>not</w:t>
      </w:r>
      <w:r>
        <w:rPr>
          <w:rFonts w:ascii="Times New Roman" w:hAnsi="Times New Roman"/>
          <w:caps w:val="false"/>
          <w:smallCaps w:val="false"/>
          <w:sz w:val="20"/>
        </w:rPr>
        <w:t> within the Company's control, such as regulatory approvals, are </w:t>
      </w:r>
      <w:r>
        <w:rPr>
          <w:rStyle w:val="Emphasis"/>
          <w:rFonts w:ascii="Times New Roman" w:hAnsi="Times New Roman"/>
          <w:i/>
          <w:caps w:val="false"/>
          <w:smallCaps w:val="false"/>
          <w:sz w:val="20"/>
        </w:rPr>
        <w:t>not</w:t>
      </w:r>
      <w:r>
        <w:rPr>
          <w:rFonts w:ascii="Times New Roman" w:hAnsi="Times New Roman"/>
          <w:caps w:val="false"/>
          <w:smallCaps w:val="false"/>
          <w:sz w:val="20"/>
        </w:rPr>
        <w:t> considered probable of being achieved until those approvals are received, and therefore the variable consideration is constrained. The transaction price is then allocated to each performance obligation on a relative stand-alone selling price basis, and the Company recognizes revenue as or when the performance obligations under the contract are satisfied. At the end of each reporting period, the Company reevaluates the probability of achieving development or sales-based milestone payments that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xml:space="preserve"> be subject to a material reversal and, if necessary, adjusts the estimate of the overall transaction price. Any such adjustments are recorded on a cumulative catch-up basis,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license and other revenue, as well as earnings, in the period of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Sales-based royalties</w:t>
      </w:r>
      <w:r>
        <w:rPr>
          <w:rFonts w:ascii="Times New Roman" w:hAnsi="Times New Roman"/>
          <w:caps w:val="false"/>
          <w:smallCaps w:val="false"/>
          <w:sz w:val="20"/>
        </w:rPr>
        <w:t>: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u w:val="single"/>
        </w:rPr>
        <w:t>Optional Purchases</w:t>
      </w:r>
      <w:r>
        <w:rPr>
          <w:rFonts w:ascii="Times New Roman" w:hAnsi="Times New Roman"/>
          <w:caps w:val="false"/>
          <w:smallCaps w:val="false"/>
          <w:sz w:val="20"/>
        </w:rPr>
        <w:t xml:space="preserve">: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Other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also generated from service-based fees recognized for providing regulatory support and development services to customers. Service fee revenue is recognized over time as the services are transferred to the customer.</w:t>
      </w:r>
    </w:p>
    <w:p>
      <w:pPr>
        <w:pStyle w:val="TextBody"/>
        <w:bidi w:val="0"/>
        <w:spacing w:before="0" w:after="0"/>
        <w:ind w:left="5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When consideration is received, or such consideration is unconditionally due, from a customer prior to the Company completing its performance obligation under the terms of a contract, a contract liability is recorded as deferred revenue. Deferred revenues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current liabilities. Deferred revenues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long-term liabilities.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general, accounts receivable consists of amounts due from customers, net of customer allowances for cash discounts, product returns, and chargebacks. The Company's standard payment terms for invoiced amounts typically range between </w:t>
      </w:r>
      <w:r>
        <w:rPr>
          <w:rStyle w:val="Emphasis"/>
          <w:rFonts w:ascii="Times New Roman" w:hAnsi="Times New Roman"/>
          <w:caps w:val="false"/>
          <w:smallCaps w:val="false"/>
          <w:sz w:val="20"/>
        </w:rPr>
        <w:t>30</w:t>
      </w:r>
      <w:r>
        <w:rPr>
          <w:rFonts w:ascii="Times New Roman" w:hAnsi="Times New Roman"/>
          <w:caps w:val="false"/>
          <w:smallCaps w:val="false"/>
          <w:sz w:val="20"/>
        </w:rPr>
        <w:t> –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however, extended payment terms have been offered during the BRIUMVI commercial launch. The extended payment terms are meant to align with the timing of reimbursement by government and commercial payers 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affected the collectability of accounts receivable.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In addition,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adjust accounts receivable for the effects of financing, as the expected time between transfer of the promised products and the payment of the associated consideration is less than </w:t>
      </w:r>
      <w:r>
        <w:rPr>
          <w:rStyle w:val="Emphasis"/>
          <w:rFonts w:ascii="Times New Roman" w:hAnsi="Times New Roman"/>
          <w:caps w:val="false"/>
          <w:smallCaps w:val="false"/>
          <w:sz w:val="20"/>
        </w:rPr>
        <w:t>one</w:t>
      </w:r>
      <w:r>
        <w:rPr>
          <w:rFonts w:ascii="Times New Roman" w:hAnsi="Times New Roman"/>
          <w:caps w:val="false"/>
          <w:smallCaps w:val="false"/>
          <w:sz w:val="20"/>
        </w:rPr>
        <w:t> year. The Company analyzes accounts that are past due for collectability, and regularly evaluates the creditworthiness of its customers so that it can properly assess and respond to changes in their credit profiles.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determined that an allowance for expected credit losses related to outstanding accounts receivable was </w:t>
      </w:r>
      <w:r>
        <w:rPr>
          <w:rStyle w:val="Emphasis"/>
          <w:rFonts w:ascii="Times New Roman" w:hAnsi="Times New Roman"/>
          <w:caps w:val="false"/>
          <w:smallCaps w:val="false"/>
          <w:sz w:val="20"/>
        </w:rPr>
        <w:t>not</w:t>
      </w:r>
      <w:r>
        <w:rPr>
          <w:rFonts w:ascii="Times New Roman" w:hAnsi="Times New Roman"/>
          <w:caps w:val="false"/>
          <w:smallCaps w:val="false"/>
          <w:sz w:val="20"/>
        </w:rPr>
        <w:t> required because outstanding receivables were due from large, established, credit-worthy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Cost of revenue consists primarily of royalties owed to the Company's licensing partner for BRIUMVI sales,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manufacturing costs, distribution, and overhead. Cost of revenue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w:t>
      </w:r>
      <w:r>
        <w:rPr>
          <w:rStyle w:val="Emphasis"/>
          <w:rFonts w:ascii="Times New Roman" w:hAnsi="Times New Roman"/>
          <w:caps w:val="false"/>
          <w:smallCaps w:val="false"/>
          <w:sz w:val="20"/>
        </w:rPr>
        <w:t>not</w:t>
      </w:r>
      <w:r>
        <w:rPr>
          <w:rFonts w:ascii="Times New Roman" w:hAnsi="Times New Roman"/>
          <w:caps w:val="false"/>
          <w:smallCaps w:val="false"/>
          <w:sz w:val="20"/>
        </w:rPr>
        <w:t> reflected in the cost of revenue. Therefore, a portion of costs incurred to produce BRIUMVI that were sold through the middle of the quarter ended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had previously been expensed as research and development and are </w:t>
      </w:r>
      <w:r>
        <w:rPr>
          <w:rStyle w:val="Emphasis"/>
          <w:rFonts w:ascii="Times New Roman" w:hAnsi="Times New Roman"/>
          <w:caps w:val="false"/>
          <w:smallCaps w:val="false"/>
          <w:sz w:val="20"/>
        </w:rPr>
        <w:t>not</w:t>
      </w:r>
      <w:r>
        <w:rPr>
          <w:rFonts w:ascii="Times New Roman" w:hAnsi="Times New Roman"/>
          <w:caps w:val="false"/>
          <w:smallCaps w:val="false"/>
          <w:sz w:val="20"/>
        </w:rPr>
        <w:t> reflected in the Company's cost of revenue. Costs related to providing regulatory support and development services to the Company's ex-U.S. commercialization partner, Neuraxpharm, are included in the Company's 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are stated at the lower of cost or estimated net realizable value, with cost based on the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method (FIFO). The Company classifies inventory costs as long-term inventory in its consolidated balance sheets, when the Company expects to utilize the inventory beyond its normal operating cycle. Prior to regulatory approval, the Company expenses costs relating to the production of inventory as research and development expense in the period incurred. Following regulatory approval, costs to manufacture those approved products are capitalized. Inventory that can be used in either the production of clinical or commercial products is expensed as research and development costs when identified for use in clinical trials. Prior to the approval of BRIUMVI, all manufacturing and other potential costs related to the commercial launch of BRIUMVI were expensed to research and development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Generally, research and development costs are expensed as incurred. Research and development expenses consist primarily of costs incurred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providers for the conduct of research, preclinical and clinical studies, contract manufacturing costs, license milestone fees, personnel costs for the Company's research and development employees, consulting, and other related expenses. The Company recognizes research, preclinical and clinical study expenses based on services performed, pursuant to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organizations that conduct and manage research, preclinical and clinical activities on the Company's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accrues these expenses based on the progress or stage of completion of services and the contracted fees to be paid for such services. If the actual timing of the performance of services or the level of effort varies from the original accrual, the Company adjusts the accrual accordingly. With respect to clinical trial costs, the financial terms of these agreements are subject to an initial negotiation and vary from contract to contract. Payments under these contracts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uneven and depend on factors such as the achievement of certain events, the successful recruitment of patients, the completion of portions of the clinical trial, or similar conditions. As such, certain expense accruals related to clinical site costs are recognized based on the degree of performance of the event or events specified in the specific clinical study or trial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as well as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liabilities is less than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valuation allowance is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and its subsidiaries, file income tax returns in the U.S. federal jurisdiction and in various states. The Company has tax net operating loss carryforwards that are subject to examination for a number of years beyond the year in which they were generated for tax purposes. Since a portion of these net operating loss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utilized in the future, many of these net operating loss carryforwards will remain subject to examination. The Company recognizes interest and penalties related to uncertain income tax positions in income tax expense.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costs related to equity awards granted to employees and non-employees are measured at the date of grant based on the fair value of the award. The Company estimates the grant date fair value of options, and the resulting stock-based compensation expense, using the Black-Scholes option-pricing model. Equity awards with market conditions are valued using advanced option-pricing models, such as a Monte Carlo simulation, with the effect of a market condition reflected in the award’s fair value on the grant date. For time-based or performance-based restricted stock, the fair value is based on the market value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time-based restricted stock and options is recognized on a straight-line basis over the requisite service period. Stock-based compensation expense for awards that vest upon the achievement of milestones is recognized over the requisite service period when the achievement of such milestones becomes probable. Stock-based compensation expense for an award that has a market condition is recognized over the requisite service period, which is derived from the valuation model, even if the market condition is never satisfied. The Company recognizes all stock-based payments to employees and non-employee directors (as compensation for service) as noncash compensation expense in the consolidated financial statements. The Company recognizes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repurchases shares through open market purchases, privately-negotiated transactions, block purchases, or otherwise in accordance with applicable federal securities laws, including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The Company accounts for shares repurchased under the treasury accounting method (ASC </w:t>
      </w:r>
      <w:r>
        <w:rPr>
          <w:rStyle w:val="Emphasis"/>
          <w:rFonts w:ascii="Times New Roman" w:hAnsi="Times New Roman"/>
          <w:caps w:val="false"/>
          <w:smallCaps w:val="false"/>
          <w:sz w:val="20"/>
        </w:rPr>
        <w:t>505</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 The Company recognizes the amount paid to repurchase the shares as a reduction of stockholders’ equity and includes treasury stock on a separate line item in the equity section of the Company's consolidated balance sheet. Treasury stock is excluded from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INCOME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net income per share of the Company's common stock is calculated by dividing net income applicable to the common stock by the weighted-average number of the Company's common stock outstanding for the period. Diluted net income per share of common stock reflects the effect of potential common shares from the assumed exercise or conversion of securities such as warrants, stock options, and restricted stock, to the extent they are dilutive. For all periods presented, the Company reported net income in the consolidated statements of operations and, accordingly, present the dilutive effect of potential common shares in the computation of diluted earnings per share, as shown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potentially dilutive securities at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3065"/>
        <w:gridCol w:w="60"/>
        <w:gridCol w:w="60"/>
        <w:gridCol w:w="950"/>
        <w:gridCol w:w="60"/>
        <w:gridCol w:w="60"/>
        <w:gridCol w:w="60"/>
        <w:gridCol w:w="950"/>
        <w:gridCol w:w="60"/>
        <w:gridCol w:w="60"/>
        <w:gridCol w:w="60"/>
        <w:gridCol w:w="950"/>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12,011,850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8,139,037</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4,204,816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4,470,216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4,697,029</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312,272</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upon note conversion</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20,902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16,404,975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13,169,240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computation of basic and diluted earnings per share (EPS) is as follows:</w:t>
      </w:r>
    </w:p>
    <w:p>
      <w:pPr>
        <w:pStyle w:val="TextBody"/>
        <w:bidi w:val="0"/>
        <w:spacing w:before="0" w:after="0"/>
        <w:ind w:left="320" w:right="0" w:firstLine="720"/>
        <w:jc w:val="both"/>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5330"/>
        <w:gridCol w:w="60"/>
        <w:gridCol w:w="60"/>
        <w:gridCol w:w="1055"/>
        <w:gridCol w:w="60"/>
        <w:gridCol w:w="60"/>
        <w:gridCol w:w="60"/>
        <w:gridCol w:w="1055"/>
        <w:gridCol w:w="60"/>
        <w:gridCol w:w="60"/>
        <w:gridCol w:w="60"/>
        <w:gridCol w:w="1055"/>
        <w:gridCol w:w="60"/>
      </w:tblGrid>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12,672</w:t>
            </w:r>
          </w:p>
        </w:tc>
        <w:tc>
          <w:tcPr>
            <w:tcW w:w="6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144,316,786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145,317,418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141,955,112</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potential common shares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17,095,960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15,018,633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6,553,353</w:t>
            </w:r>
          </w:p>
        </w:tc>
        <w:tc>
          <w:tcPr>
            <w:tcW w:w="6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assuming dilution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161,412,746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160,336,051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148,508,465</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5" w:type="dxa"/>
            <w:gridSpan w:val="10"/>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Long-lived assets are reviewed for potential impairment when circumstances indicate that the carrying value of long-lived tangible and intangible assets with finite lives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Management’s assessment in determining whether an impairment indicator or triggering event exists, includes an evaluation of both quantitative, measurable operating performance criteria and qualitative measures. If an analysis is necessitated by the occurrence of a triggering event, the Company uses certain assumptions in estimating the impairment amount, such as expected future cash flows and other factors. If the carrying amount of an asset exceeds its estimated future undiscounted cash flows, an impairment charge is recognized to reduce the asset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excess consideration transferred in a business combination over the fair value of identifiable net assets acquired.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reviewed for impairment at least annually, or more frequently if events or changes in circumstances indicate that impairment indicators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present.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assesses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is less than its carrying amount. If this qualitative assessment indicates that impairment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Company performs a quantitative test comparing the reporting unit's fair value with its carrying value to determine the amount of any impairment.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All leases with a lease term greater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regardless of lease classification, are recorded as a lease liability on the balance sheet with a corresponding right-of-use (ROU) asset. Operating leases are reflected as lease liabilities on the commencement date of the lease based on the present value of the lease payments to be made over the lease term. Current operating lease liabilities are reflected in lease liabilities – current portion and noncurrent operating lease liabilities are reflected in lease liabilities – non-current on the consolidated balance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Right-of-use assets are initially measured based on the lease liability, plus any initial direct costs or rent prepayments, minus lease incentives and any deferred lease payments. Operating lease ROU assets are recorded in right-of-use assets on the consolidated balance sheet, and lease cost is recognized on a straight-line basis over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balance sheet, and the Company recognizes lease expense for these leases on a straight-line basis over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whether a contract contains a lease, the Company evaluates asset and service agreements at inception and upon modification to identify specifically identifiable assets, and to determine whether the arrangement conveys the right to control and obtain substantially all of the economic benefits from those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SEGMENT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Operating segments are defined as components of an enterprise that engage in business activities from which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recognize revenues and incur expenses, and for which discrete financial information is available and is evaluated regularly by the chief operating decision maker (CODM) to allocate resources and assess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operates as a single reportable segment, focused on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CODM, which is its chief executive officer, who evaluates financial results and operating metrics, specifically consolidated net income</w:t>
      </w:r>
      <w:r>
        <w:rPr>
          <w:rFonts w:ascii="Times New Roman" w:hAnsi="Times New Roman"/>
          <w:b/>
          <w:caps w:val="false"/>
          <w:smallCaps w:val="false"/>
          <w:sz w:val="20"/>
        </w:rPr>
        <w:t>, </w:t>
      </w:r>
      <w:r>
        <w:rPr>
          <w:rFonts w:ascii="Times New Roman" w:hAnsi="Times New Roman"/>
          <w:caps w:val="false"/>
          <w:smallCaps w:val="false"/>
          <w:sz w:val="20"/>
        </w:rPr>
        <w:t>for purposes of assessing performance, making operating decisions, allocating resources and planning and forecasting for future periods. The measure of segment assets reported to the CODM corresponds to the total assets presented on the Company's consolidated balances sheets.</w:t>
      </w:r>
    </w:p>
    <w:p>
      <w:pPr>
        <w:pStyle w:val="TextBody"/>
        <w:bidi w:val="0"/>
        <w:ind w:left="0" w:right="0" w:firstLine="720"/>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2</w:t>
      </w:r>
      <w:r>
        <w:rPr>
          <w:rFonts w:ascii="Times New Roman" w:hAnsi="Times New Roman"/>
          <w:b/>
          <w:sz w:val="20"/>
        </w:rPr>
        <w:t xml:space="preserve"> -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revenues are recognized under the guidance of ASC </w:t>
      </w:r>
      <w:r>
        <w:rPr>
          <w:rStyle w:val="Emphasis"/>
          <w:rFonts w:ascii="Times New Roman" w:hAnsi="Times New Roman"/>
          <w:caps w:val="false"/>
          <w:smallCaps w:val="false"/>
          <w:sz w:val="20"/>
        </w:rPr>
        <w:t>606.</w:t>
      </w:r>
      <w:r>
        <w:rPr>
          <w:rFonts w:ascii="Times New Roman" w:hAnsi="Times New Roman"/>
          <w:caps w:val="false"/>
          <w:smallCaps w:val="false"/>
          <w:sz w:val="20"/>
        </w:rPr>
        <w:t> The following table presents the Company's disaggregated revenue for the periods presented (in thousands):</w:t>
      </w:r>
    </w:p>
    <w:p>
      <w:pPr>
        <w:pStyle w:val="TextBody"/>
        <w:bidi w:val="0"/>
        <w:spacing w:before="0" w:after="0"/>
        <w:ind w:left="700" w:right="0" w:hanging="0"/>
        <w:jc w:val="both"/>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165"/>
        <w:gridCol w:w="60"/>
        <w:gridCol w:w="125"/>
        <w:gridCol w:w="695"/>
        <w:gridCol w:w="60"/>
        <w:gridCol w:w="60"/>
        <w:gridCol w:w="125"/>
        <w:gridCol w:w="695"/>
        <w:gridCol w:w="60"/>
        <w:gridCol w:w="60"/>
        <w:gridCol w:w="125"/>
        <w:gridCol w:w="695"/>
        <w:gridCol w:w="60"/>
      </w:tblGrid>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92,005</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140,153</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Milestone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Product revenue, net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disaggregated BRIUMVI revenue by geography for the periods presented:</w:t>
      </w:r>
    </w:p>
    <w:p>
      <w:pPr>
        <w:pStyle w:val="TextBody"/>
        <w:bidi w:val="0"/>
        <w:spacing w:before="0" w:after="0"/>
        <w:ind w:left="88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1175"/>
        <w:gridCol w:w="60"/>
        <w:gridCol w:w="125"/>
        <w:gridCol w:w="695"/>
        <w:gridCol w:w="60"/>
        <w:gridCol w:w="60"/>
        <w:gridCol w:w="125"/>
        <w:gridCol w:w="695"/>
        <w:gridCol w:w="60"/>
        <w:gridCol w:w="60"/>
        <w:gridCol w:w="125"/>
        <w:gridCol w:w="590"/>
        <w:gridCol w:w="60"/>
      </w:tblGrid>
      <w:tr>
        <w:trPr/>
        <w:tc>
          <w:tcPr>
            <w:tcW w:w="1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5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BRIUMVI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88,786</w:t>
            </w:r>
          </w:p>
        </w:tc>
        <w:tc>
          <w:tcPr>
            <w:tcW w:w="60"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p>
        </w:tc>
        <w:tc>
          <w:tcPr>
            <w:tcW w:w="60"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Worldwide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began shipping BRIUMVI to its U.S. customers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and BRIUMVI to its ex-U.S. licensing partner, Neuraxpharm, in </w:t>
      </w:r>
      <w:r>
        <w:rPr>
          <w:rStyle w:val="Emphasis"/>
          <w:rFonts w:ascii="Times New Roman" w:hAnsi="Times New Roman"/>
          <w:caps w:val="false"/>
          <w:smallCaps w:val="false"/>
          <w:sz w:val="20"/>
        </w:rPr>
        <w:t>November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gross-to-net accruals of approximately $20.5 million and $40.9 million are included on the consolidated balance sheets within accounts receivable, net, and accounts payable and accrued expenses, respectively.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gross-to-net accruals of approximately $11.1 million and $20.9 million were included on the consolidated balance sheets within accounts receivable, net, and accounts payable and accrued expenses,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primarily sells BRIUMVI through specialty distributors. The following table summarizes customers that represented </w:t>
      </w:r>
      <w:r>
        <w:rPr>
          <w:rStyle w:val="Emphasis"/>
          <w:rFonts w:ascii="Times New Roman" w:hAnsi="Times New Roman"/>
          <w:caps w:val="false"/>
          <w:smallCaps w:val="false"/>
          <w:sz w:val="20"/>
        </w:rPr>
        <w:t>10%</w:t>
      </w:r>
      <w:r>
        <w:rPr>
          <w:rFonts w:ascii="Times New Roman" w:hAnsi="Times New Roman"/>
          <w:caps w:val="false"/>
          <w:smallCaps w:val="false"/>
          <w:sz w:val="20"/>
        </w:rPr>
        <w:t> or more of gross product revenue for the years ended </w:t>
      </w:r>
      <w:r>
        <w:rPr>
          <w:rStyle w:val="Emphasis"/>
          <w:rFonts w:ascii="Times New Roman" w:hAnsi="Times New Roman"/>
          <w:caps w:val="false"/>
          <w:smallCaps w:val="false"/>
          <w:sz w:val="20"/>
        </w:rPr>
        <w:t xml:space="preserve"> 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950"/>
        <w:gridCol w:w="60"/>
        <w:gridCol w:w="130"/>
        <w:gridCol w:w="500"/>
        <w:gridCol w:w="402"/>
        <w:gridCol w:w="130"/>
        <w:gridCol w:w="130"/>
        <w:gridCol w:w="500"/>
        <w:gridCol w:w="402"/>
        <w:gridCol w:w="130"/>
        <w:gridCol w:w="130"/>
        <w:gridCol w:w="500"/>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4"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Twelve months ended December 31,</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40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40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4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4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4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4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4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4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4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4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customers with amounts due that represent </w:t>
      </w:r>
      <w:r>
        <w:rPr>
          <w:rStyle w:val="Emphasis"/>
          <w:rFonts w:ascii="Times New Roman" w:hAnsi="Times New Roman"/>
          <w:caps w:val="false"/>
          <w:smallCaps w:val="false"/>
          <w:sz w:val="20"/>
        </w:rPr>
        <w:t>10%</w:t>
      </w:r>
      <w:r>
        <w:rPr>
          <w:rFonts w:ascii="Times New Roman" w:hAnsi="Times New Roman"/>
          <w:caps w:val="false"/>
          <w:smallCaps w:val="false"/>
          <w:sz w:val="20"/>
        </w:rPr>
        <w:t> or more of the accounts receivable associated with the Company’s product sales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152" w:type="dxa"/>
        <w:jc w:val="left"/>
        <w:tblInd w:w="0" w:type="dxa"/>
        <w:tblLayout w:type="fixed"/>
        <w:tblCellMar>
          <w:top w:w="0" w:type="dxa"/>
          <w:left w:w="0" w:type="dxa"/>
          <w:bottom w:w="0" w:type="dxa"/>
          <w:right w:w="0" w:type="dxa"/>
        </w:tblCellMar>
      </w:tblPr>
      <w:tblGrid>
        <w:gridCol w:w="950"/>
        <w:gridCol w:w="60"/>
        <w:gridCol w:w="213"/>
        <w:gridCol w:w="823"/>
        <w:gridCol w:w="662"/>
        <w:gridCol w:w="213"/>
        <w:gridCol w:w="213"/>
        <w:gridCol w:w="833"/>
        <w:gridCol w:w="185"/>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Twelve months ended December 31,</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6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6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4</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6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License, Milestone, Royalty and Other Revenue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License, milestone, royalty and other revenue consist primarily of recognition of consideration received under the ex-U.S. commercialization agreement (the Commercialization Agreement) with Neuraxpharm.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 License Agreements for a description of the Commercialization Agreement and for further information of the accounting in accordance with ASC </w:t>
      </w:r>
      <w:r>
        <w:rPr>
          <w:rStyle w:val="Emphasis"/>
          <w:rFonts w:ascii="Times New Roman" w:hAnsi="Times New Roman"/>
          <w:i/>
          <w:caps w:val="false"/>
          <w:smallCaps w:val="false"/>
          <w:sz w:val="20"/>
        </w:rPr>
        <w:t>606.</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INVESTMENT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investments securities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primarily consist of government debt securities that are classified as held-to-maturity. Held-to-maturity securities are recorded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summarize the Company's held-to-maturity securities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2"/>
        <w:gridCol w:w="60"/>
        <w:gridCol w:w="133"/>
        <w:gridCol w:w="742"/>
        <w:gridCol w:w="60"/>
        <w:gridCol w:w="60"/>
        <w:gridCol w:w="275"/>
        <w:gridCol w:w="746"/>
        <w:gridCol w:w="60"/>
        <w:gridCol w:w="60"/>
        <w:gridCol w:w="335"/>
        <w:gridCol w:w="700"/>
        <w:gridCol w:w="60"/>
        <w:gridCol w:w="60"/>
        <w:gridCol w:w="131"/>
        <w:gridCol w:w="729"/>
        <w:gridCol w:w="62"/>
      </w:tblGrid>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obligations of domestic governmental agencies (maturing between January 2026 and December 2026)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62,952</w:t>
            </w:r>
          </w:p>
        </w:tc>
        <w:tc>
          <w:tcPr>
            <w:tcW w:w="62" w:type="dxa"/>
            <w:tcBorders/>
            <w:shd w:fill="CCEEFF" w:val="clear"/>
            <w:vAlign w:val="center"/>
          </w:tcPr>
          <w:p>
            <w:pPr>
              <w:pStyle w:val="TableContents"/>
              <w:bidi w:val="0"/>
              <w:spacing w:before="0" w:after="283"/>
              <w:jc w:val="left"/>
              <w:rPr/>
            </w:pPr>
            <w:r>
              <w:rPr/>
              <w:t> </w:t>
            </w:r>
          </w:p>
        </w:tc>
      </w:tr>
      <w:tr>
        <w:trPr/>
        <w:tc>
          <w:tcPr>
            <w:tcW w:w="593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obligations of domestic governmental agencies (maturing between January 2027 and November 2027)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57,742</w:t>
            </w:r>
          </w:p>
        </w:tc>
        <w:tc>
          <w:tcPr>
            <w:tcW w:w="62" w:type="dxa"/>
            <w:tcBorders/>
            <w:shd w:fill="FFFFFF" w:val="clear"/>
            <w:vAlign w:val="center"/>
          </w:tcPr>
          <w:p>
            <w:pPr>
              <w:pStyle w:val="TableContents"/>
              <w:bidi w:val="0"/>
              <w:spacing w:before="0" w:after="283"/>
              <w:jc w:val="left"/>
              <w:rPr/>
            </w:pPr>
            <w:r>
              <w:rPr/>
              <w:t> </w:t>
            </w:r>
          </w:p>
        </w:tc>
      </w:tr>
      <w:tr>
        <w:trPr/>
        <w:tc>
          <w:tcPr>
            <w:tcW w:w="593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120,694</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931"/>
        <w:gridCol w:w="60"/>
        <w:gridCol w:w="133"/>
        <w:gridCol w:w="742"/>
        <w:gridCol w:w="60"/>
        <w:gridCol w:w="60"/>
        <w:gridCol w:w="357"/>
        <w:gridCol w:w="664"/>
        <w:gridCol w:w="60"/>
        <w:gridCol w:w="60"/>
        <w:gridCol w:w="335"/>
        <w:gridCol w:w="701"/>
        <w:gridCol w:w="60"/>
        <w:gridCol w:w="60"/>
        <w:gridCol w:w="131"/>
        <w:gridCol w:w="729"/>
        <w:gridCol w:w="62"/>
      </w:tblGrid>
      <w:tr>
        <w:trPr/>
        <w:tc>
          <w:tcPr>
            <w:tcW w:w="5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2" w:type="dxa"/>
            <w:tcBorders/>
            <w:shd w:fill="FFFFFF"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9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obligations of domestic governmental agencies (maturing between January 2025 and December 2025) (held-to-maturity)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131,170</w:t>
            </w:r>
          </w:p>
        </w:tc>
        <w:tc>
          <w:tcPr>
            <w:tcW w:w="62" w:type="dxa"/>
            <w:tcBorders/>
            <w:shd w:fill="CCEEFF" w:val="clear"/>
            <w:vAlign w:val="center"/>
          </w:tcPr>
          <w:p>
            <w:pPr>
              <w:pStyle w:val="TableContents"/>
              <w:bidi w:val="0"/>
              <w:spacing w:before="0" w:after="283"/>
              <w:jc w:val="left"/>
              <w:rPr/>
            </w:pPr>
            <w:r>
              <w:rPr/>
              <w:t> </w:t>
            </w:r>
          </w:p>
        </w:tc>
      </w:tr>
      <w:tr>
        <w:trPr/>
        <w:tc>
          <w:tcPr>
            <w:tcW w:w="593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held-to-maturity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131,170</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Included in long-term investments on the consolidated balance sheets are the Company’s equity securities held in connection with the Precision License Agreement. See Note </w:t>
      </w:r>
      <w:r>
        <w:rPr>
          <w:rStyle w:val="Emphasis"/>
          <w:rFonts w:ascii="Times New Roman" w:hAnsi="Times New Roman"/>
          <w:caps w:val="false"/>
          <w:smallCaps w:val="false"/>
          <w:sz w:val="20"/>
        </w:rPr>
        <w:t>5</w:t>
      </w:r>
      <w:r>
        <w:rPr>
          <w:rFonts w:ascii="Times New Roman" w:hAnsi="Times New Roman"/>
          <w:caps w:val="false"/>
          <w:smallCaps w:val="false"/>
          <w:sz w:val="20"/>
        </w:rPr>
        <w:t> - Fair Value Measurements for a description of the Precision License Agreement and additional information on the Company's equity investments.</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4</w:t>
      </w:r>
      <w:r>
        <w:rPr>
          <w:rFonts w:ascii="Times New Roman;Times;serif" w:hAnsi="Times New Roman;Times;serif"/>
          <w:sz w:val="20"/>
        </w:rPr>
        <w:t xml:space="preserve"> – </w:t>
      </w:r>
      <w:r>
        <w:rPr>
          <w:rFonts w:ascii="Times New Roman;Times;serif" w:hAnsi="Times New Roman;Times;serif"/>
          <w:b/>
          <w:sz w:val="20"/>
        </w:rPr>
        <w:t>INVENTORY</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The following table presents the Company's inventory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1715"/>
        <w:gridCol w:w="60"/>
        <w:gridCol w:w="243"/>
        <w:gridCol w:w="1366"/>
        <w:gridCol w:w="80"/>
        <w:gridCol w:w="60"/>
        <w:gridCol w:w="243"/>
        <w:gridCol w:w="1366"/>
        <w:gridCol w:w="60"/>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28,151</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68,369</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13,938</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110,458</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110,458</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Reported As: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110,458</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110,458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in the period in which it is consumed.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Company's inventory was solely related to BRIUMVI. The work in process materials consist primarily of bulk drug substance, which has a multi-year shelf life. When the bulk drug substance is manufactured into BRIUMVI finished goods, those finished goods have a shelf life of </w:t>
      </w:r>
      <w:r>
        <w:rPr>
          <w:rStyle w:val="Emphasis"/>
          <w:rFonts w:ascii="Times New Roman" w:hAnsi="Times New Roman"/>
          <w:caps w:val="false"/>
          <w:smallCaps w:val="false"/>
          <w:sz w:val="20"/>
        </w:rPr>
        <w:t>three</w:t>
      </w:r>
      <w:r>
        <w:rPr>
          <w:rFonts w:ascii="Times New Roman" w:hAnsi="Times New Roman"/>
          <w:caps w:val="false"/>
          <w:smallCaps w:val="false"/>
          <w:sz w:val="20"/>
        </w:rPr>
        <w:t> years from the date of manufacture. The Company expects to sell finished goods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prior to expiration. The Company completed its evaluation of the length of our normal operating cycle and determined a portion of inventory will be utilized beyond our normal operating cycle. Therefore, during the quarter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$15.7 million of inventory comprised predominantly of raw materials is now classified as Long-term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a quarterly basis, the Company analyzes its inventory levels for excess quantities and obsolescence (expiration) by considering factors, such as historical and anticipated future sales relative to quantities on hand and the remaining shelf-life.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determined that a reserve related to BRIUMVI inventory for excess quantities and obsolescence was </w:t>
      </w:r>
      <w:r>
        <w:rPr>
          <w:rStyle w:val="Emphasis"/>
          <w:rFonts w:ascii="Times New Roman" w:hAnsi="Times New Roman"/>
          <w:caps w:val="false"/>
          <w:smallCaps w:val="false"/>
          <w:sz w:val="20"/>
        </w:rPr>
        <w:t>not</w:t>
      </w:r>
      <w:r>
        <w:rPr>
          <w:rFonts w:ascii="Times New Roman" w:hAnsi="Times New Roman"/>
          <w:caps w:val="false"/>
          <w:smallCaps w:val="false"/>
          <w:sz w:val="20"/>
        </w:rPr>
        <w:t> required. In addition, since FDA approval of BRIUMVI, the Company has not recognized any inventory write downs.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2025, </w:t>
      </w:r>
      <w:r>
        <w:rPr>
          <w:rFonts w:ascii="Times New Roman" w:hAnsi="Times New Roman"/>
          <w:caps w:val="false"/>
          <w:smallCaps w:val="false"/>
          <w:sz w:val="20"/>
        </w:rPr>
        <w:t>the Company identified a potential manufacturing deviation affecting </w:t>
      </w:r>
      <w:r>
        <w:rPr>
          <w:rStyle w:val="Emphasis"/>
          <w:rFonts w:ascii="Times New Roman" w:hAnsi="Times New Roman"/>
          <w:caps w:val="false"/>
          <w:smallCaps w:val="false"/>
          <w:sz w:val="20"/>
        </w:rPr>
        <w:t>one</w:t>
      </w:r>
      <w:r>
        <w:rPr>
          <w:rFonts w:ascii="Times New Roman" w:hAnsi="Times New Roman"/>
          <w:caps w:val="false"/>
          <w:smallCaps w:val="false"/>
          <w:sz w:val="20"/>
        </w:rPr>
        <w:t> batch of bulk drug substance. As a result of the Company’s continued evaluation of the impact of this deviation on product usability, it was determined that a loss was probable. Therefore,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recorded a $6.2 million inventory reserve related to this matter in accordance with ASC </w:t>
      </w:r>
      <w:r>
        <w:rPr>
          <w:rStyle w:val="Emphasis"/>
          <w:rFonts w:ascii="Times New Roman" w:hAnsi="Times New Roman"/>
          <w:caps w:val="false"/>
          <w:smallCaps w:val="false"/>
          <w:sz w:val="20"/>
        </w:rPr>
        <w:t>450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as management had determined that a loss was both probable and could be reasonably estimated.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United States and other countries have recently imposed,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continue to impose, new tariffs. Tariffs are an inventoriable cost, and the Company's sole supplier of bulk drug substance is located outside of the U.S. While the tariffs imposed to date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had a material effect on the Company's business or results of operations, the Company continues to evaluate their potential impact on its business and results of operations going forward.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5</w:t>
      </w:r>
      <w:r>
        <w:rPr>
          <w:rFonts w:ascii="Times New Roman;Times;serif" w:hAnsi="Times New Roman;Times;serif"/>
          <w:sz w:val="20"/>
        </w:rPr>
        <w:t xml:space="preserve"> – </w:t>
      </w:r>
      <w:r>
        <w:rPr>
          <w:rFonts w:ascii="Times New Roman;Times;serif" w:hAnsi="Times New Roman;Times;serif"/>
          <w:b/>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measures certain financial assets and liabilities at fair value on a recurring basis in its financial statements. The fair value hierarchy ranks the quality and reliability of inputs, or assumptions, used to determine fair value and requires financial assets and liabilities carried at fair value to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 quoted prices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quoted prices that are directly or indirectly observable; and</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 unobservable inputs for which market data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available.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Equity Investments and Forward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2024, </w:t>
      </w:r>
      <w:r>
        <w:rPr>
          <w:rFonts w:ascii="Times New Roman" w:hAnsi="Times New Roman"/>
          <w:caps w:val="false"/>
          <w:smallCaps w:val="false"/>
          <w:sz w:val="20"/>
        </w:rPr>
        <w:t>the Company and its wholly-owned subsidiary, TG Cell Therapy, Inc., (TG Cell) entered into a License Agreement (the Precision License Agreement) with Precision. Under the agreement, Precision granted the Company certain exclusive and non-exclusive license rights to develop, manufacture, and commercialize Precision’s allogeneic CAR T therapy, azer-cel, for the treatment of autoimmune and other non-oncology diseases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Upon execution of the Precision License Agreement, the Company made an upfront payment to Precision of $7.5 million, comprised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implemented a 30-to-</w:t>
      </w:r>
      <w:r>
        <w:rPr>
          <w:rStyle w:val="Emphasis"/>
          <w:rFonts w:ascii="Times New Roman" w:hAnsi="Times New Roman"/>
          <w:caps w:val="false"/>
          <w:smallCaps w:val="false"/>
          <w:sz w:val="20"/>
        </w:rPr>
        <w:t>1</w:t>
      </w:r>
      <w:r>
        <w:rPr>
          <w:rFonts w:ascii="Times New Roman" w:hAnsi="Times New Roman"/>
          <w:caps w:val="false"/>
          <w:smallCaps w:val="false"/>
          <w:sz w:val="20"/>
        </w:rPr>
        <w:t> reverse stock split in </w:t>
      </w:r>
      <w:r>
        <w:rPr>
          <w:rStyle w:val="Emphasis"/>
          <w:rFonts w:ascii="Times New Roman" w:hAnsi="Times New Roman"/>
          <w:caps w:val="false"/>
          <w:smallCaps w:val="false"/>
          <w:sz w:val="20"/>
        </w:rPr>
        <w:t xml:space="preserve"> February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7, 2025, </w:t>
      </w:r>
      <w:r>
        <w:rPr>
          <w:rFonts w:ascii="Times New Roman" w:hAnsi="Times New Roman"/>
          <w:caps w:val="false"/>
          <w:smallCaps w:val="false"/>
          <w:sz w:val="20"/>
        </w:rPr>
        <w:t>the Company made a </w:t>
      </w:r>
      <w:r>
        <w:rPr>
          <w:rStyle w:val="Emphasis"/>
          <w:rFonts w:ascii="Times New Roman" w:hAnsi="Times New Roman"/>
          <w:caps w:val="false"/>
          <w:smallCaps w:val="false"/>
          <w:sz w:val="20"/>
        </w:rPr>
        <w:t>one</w:t>
      </w:r>
      <w:r>
        <w:rPr>
          <w:rFonts w:ascii="Times New Roman" w:hAnsi="Times New Roman"/>
          <w:caps w:val="false"/>
          <w:smallCaps w:val="false"/>
          <w:sz w:val="20"/>
        </w:rPr>
        <w:t>-time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w:t>
      </w:r>
      <w:r>
        <w:rPr>
          <w:rStyle w:val="Emphasis"/>
          <w:rFonts w:ascii="Times New Roman" w:hAnsi="Times New Roman"/>
          <w:caps w:val="false"/>
          <w:smallCaps w:val="false"/>
          <w:sz w:val="20"/>
        </w:rPr>
        <w:t>thirty</w:t>
      </w:r>
      <w:r>
        <w:rPr>
          <w:rFonts w:ascii="Times New Roman" w:hAnsi="Times New Roman"/>
          <w:caps w:val="false"/>
          <w:smallCaps w:val="false"/>
          <w:sz w:val="20"/>
        </w:rPr>
        <w:t> (30) trading days preceding the payment date. The Deferred Precision Stock Payment, which had previously been classified as a forward contract liability in other current liabilities as of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was reclassified to equity investments at its fair market value of $1.4 million on the date the payment was made to Precision.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All Precision shares held are recognized at fair market value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are classified as an equity investment and included within long-term investments on the consolidated balance sheets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Precision License Agreement also includes a milestone payment upon the achievement of a clinical and regulatory milestone event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Upon achievement of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Company is required to make a </w:t>
      </w:r>
      <w:r>
        <w:rPr>
          <w:rStyle w:val="Emphasis"/>
          <w:rFonts w:ascii="Times New Roman" w:hAnsi="Times New Roman"/>
          <w:caps w:val="false"/>
          <w:smallCaps w:val="false"/>
          <w:sz w:val="20"/>
        </w:rPr>
        <w:t>one</w:t>
      </w:r>
      <w:r>
        <w:rPr>
          <w:rFonts w:ascii="Times New Roman" w:hAnsi="Times New Roman"/>
          <w:caps w:val="false"/>
          <w:smallCaps w:val="false"/>
          <w:sz w:val="20"/>
        </w:rPr>
        <w:t>-time payment to Precision equal to $2.3 million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Precision Stock Payment), in exchange for shares of Precision common stock (rounded down to the nearest whole share) calculated in the same manner as the Deferred Precision Stock Payment. While Milestone Event </w:t>
      </w:r>
      <w:r>
        <w:rPr>
          <w:rStyle w:val="Emphasis"/>
          <w:rFonts w:ascii="Times New Roman" w:hAnsi="Times New Roman"/>
          <w:caps w:val="false"/>
          <w:smallCaps w:val="false"/>
          <w:sz w:val="20"/>
        </w:rPr>
        <w:t>1</w:t>
      </w:r>
      <w:r>
        <w:rPr>
          <w:rFonts w:ascii="Times New Roman" w:hAnsi="Times New Roman"/>
          <w:caps w:val="false"/>
          <w:smallCaps w:val="false"/>
          <w:sz w:val="20"/>
        </w:rPr>
        <w: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achieved, the obligation was recognized in research and development license fees upon execution of the agreement and is classified as a forward contract liability measured at its fair market value. In accordance with ASC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the Milestone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forward liability was recorded at $1.4 million in other current liabilities on the Company’s consolidated balance sheets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hanging="0"/>
        <w:jc w:val="both"/>
        <w:rPr/>
      </w:pPr>
      <w:r>
        <w:rPr>
          <w:rStyle w:val="Emphasis"/>
          <w:rFonts w:ascii="Times New Roman" w:hAnsi="Times New Roman"/>
          <w:i/>
          <w:caps w:val="false"/>
          <w:smallCaps w:val="false"/>
          <w:sz w:val="20"/>
        </w:rPr>
        <w:t>5%</w:t>
      </w:r>
      <w:r>
        <w:rPr>
          <w:rFonts w:ascii="Times New Roman" w:hAnsi="Times New Roman"/>
          <w:i/>
          <w:caps w:val="false"/>
          <w:smallCaps w:val="false"/>
          <w:sz w:val="20"/>
        </w:rPr>
        <w:t xml:space="preserve"> Notes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the time of the Company's merger (the Company was then known as Manhattan Pharmaceuticals, Inc. (Manhattan)) with Ariston Pharmaceuticals, Inc. (Ariston) in </w:t>
      </w:r>
      <w:r>
        <w:rPr>
          <w:rStyle w:val="Emphasis"/>
          <w:rFonts w:ascii="Times New Roman" w:hAnsi="Times New Roman"/>
          <w:caps w:val="false"/>
          <w:smallCaps w:val="false"/>
          <w:sz w:val="20"/>
        </w:rPr>
        <w:t>March 2010,</w:t>
      </w:r>
      <w:r>
        <w:rPr>
          <w:rFonts w:ascii="Times New Roman" w:hAnsi="Times New Roman"/>
          <w:caps w:val="false"/>
          <w:smallCaps w:val="false"/>
          <w:sz w:val="20"/>
        </w:rPr>
        <w:t xml:space="preserve"> Ariston issued $15.5 million of five-year 5% notes payable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in satisfaction of several prior note payable issuances.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accrued and unpaid interest thereon are convertible at the option of the holder into common stock at the conversion price of $1,125 per share.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obligations associated with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other than the conversion feature. The 5% Notes are recognized in other current liabilities on the Company’s consolidated balance sheets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as the notes are currently convertible and therefore classified as short-term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financial instruments include cash, cash equivalents consisting of money market funds, accounts receivable, accounts payable and loan payable.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fair values of cash and cash equivalents, restricted cash, accounts receivable, and loan and interest payable approximated their carrying value due to their short term nature. The carrying value of the loan payable on the Company’s balance sheet is also estimated to approximate its fair value, as the interest rate is aligned with market rates for instruments with similar terms and risk characteristics.</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provide the fair value measurements of applicable financial assets and liabilities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31" w:type="dxa"/>
        <w:jc w:val="left"/>
        <w:tblInd w:w="0" w:type="dxa"/>
        <w:tblLayout w:type="fixed"/>
        <w:tblCellMar>
          <w:top w:w="0" w:type="dxa"/>
          <w:left w:w="0" w:type="dxa"/>
          <w:bottom w:w="0" w:type="dxa"/>
          <w:right w:w="0" w:type="dxa"/>
        </w:tblCellMar>
      </w:tblPr>
      <w:tblGrid>
        <w:gridCol w:w="2315"/>
        <w:gridCol w:w="60"/>
        <w:gridCol w:w="226"/>
        <w:gridCol w:w="879"/>
        <w:gridCol w:w="108"/>
        <w:gridCol w:w="108"/>
        <w:gridCol w:w="226"/>
        <w:gridCol w:w="879"/>
        <w:gridCol w:w="108"/>
        <w:gridCol w:w="108"/>
        <w:gridCol w:w="226"/>
        <w:gridCol w:w="607"/>
        <w:gridCol w:w="108"/>
        <w:gridCol w:w="108"/>
        <w:gridCol w:w="226"/>
        <w:gridCol w:w="879"/>
        <w:gridCol w:w="6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9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Financial liabilities at fair value as of December 31, 2025</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96" w:type="dxa"/>
            <w:gridSpan w:val="14"/>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1,323</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1,323</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1,323</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607" w:type="dxa"/>
            <w:tcBorders/>
            <w:shd w:fill="FFFFFF" w:val="clear"/>
            <w:vAlign w:val="center"/>
          </w:tcPr>
          <w:p>
            <w:pPr>
              <w:pStyle w:val="TableContents"/>
              <w:bidi w:val="0"/>
              <w:spacing w:before="0" w:after="283"/>
              <w:ind w:left="0" w:right="0" w:hanging="0"/>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9"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 Liabilities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Notes</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277" w:type="dxa"/>
        <w:jc w:val="left"/>
        <w:tblInd w:w="0" w:type="dxa"/>
        <w:tblLayout w:type="fixed"/>
        <w:tblCellMar>
          <w:top w:w="0" w:type="dxa"/>
          <w:left w:w="0" w:type="dxa"/>
          <w:bottom w:w="0" w:type="dxa"/>
          <w:right w:w="0" w:type="dxa"/>
        </w:tblCellMar>
      </w:tblPr>
      <w:tblGrid>
        <w:gridCol w:w="2315"/>
        <w:gridCol w:w="60"/>
        <w:gridCol w:w="242"/>
        <w:gridCol w:w="649"/>
        <w:gridCol w:w="116"/>
        <w:gridCol w:w="116"/>
        <w:gridCol w:w="242"/>
        <w:gridCol w:w="940"/>
        <w:gridCol w:w="116"/>
        <w:gridCol w:w="116"/>
        <w:gridCol w:w="242"/>
        <w:gridCol w:w="649"/>
        <w:gridCol w:w="116"/>
        <w:gridCol w:w="116"/>
        <w:gridCol w:w="242"/>
        <w:gridCol w:w="940"/>
        <w:gridCol w:w="60"/>
      </w:tblGrid>
      <w:tr>
        <w:trPr/>
        <w:tc>
          <w:tcPr>
            <w:tcW w:w="23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84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at fair value as of December 31, 2024</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91"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891"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1182"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Contract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FFFFFF" w:val="cle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FFFFFF" w:val="cle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Notes</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equity investments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were valued using their respective closing stock prices on the Nasdaq Stock Market, which represents unadjusted quoted prices in active markets for identical instruments.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 any transfers of financial instruments between the fair value hierarchy levels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forward contract liabilities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were valued using Precision's closing stock price on the Nasdaq Stock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instrument amounts represent the fair value of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related accrued interest, as certain inputs to determine fair value were unobservable.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change in the fair value of the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assets and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is recognized in other (income) expense in the accompanying consolidated statements of operations.</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xml:space="preserve"> –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amended and restated certificate of incorporation authorizes the issuance of up to 10,000,000 shares of preferred stock, $0.001 par value, with rights senior to those of the Company's common stock, issuable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Upon issuance, the Company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greater than the rights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amended and restated its certificate of incorporation authorizes the issuance of up to 190,000,000 shares of $0.001 par value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At-the-Market Issuance Sales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with Cantor Fitzgerald &amp; Co. and B. Riley Securities, Inc. relating to the sale of shares of the Company's common stock.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sold a total of 1,385,700  shares of common stock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for aggregate total gross proceeds of approximately $47.1 million at an average selling price of $34.01 per share, resulting in net proceeds of approximately $46.3 million after deducting commissions and other transactions costs. The Company had no activity on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during the years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8, 2025, </w:t>
      </w:r>
      <w:r>
        <w:rPr>
          <w:rFonts w:ascii="Times New Roman" w:hAnsi="Times New Roman"/>
          <w:caps w:val="false"/>
          <w:smallCaps w:val="false"/>
          <w:sz w:val="20"/>
        </w:rPr>
        <w:t>the Company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(the </w:t>
      </w:r>
      <w:r>
        <w:rPr>
          <w:rStyle w:val="Emphasis"/>
          <w:rFonts w:ascii="Times New Roman" w:hAnsi="Times New Roman"/>
          <w:caps w:val="false"/>
          <w:smallCaps w:val="false"/>
          <w:sz w:val="20"/>
        </w:rPr>
        <w:t>2025</w:t>
      </w:r>
      <w:r>
        <w:rPr>
          <w:rFonts w:ascii="Times New Roman" w:hAnsi="Times New Roman"/>
          <w:caps w:val="false"/>
          <w:smallCaps w:val="false"/>
          <w:sz w:val="20"/>
        </w:rPr>
        <w:t> WKSI Shelf) as a WKSI as defined in Rule </w:t>
      </w:r>
      <w:r>
        <w:rPr>
          <w:rStyle w:val="Emphasis"/>
          <w:rFonts w:ascii="Times New Roman" w:hAnsi="Times New Roman"/>
          <w:caps w:val="false"/>
          <w:smallCaps w:val="false"/>
          <w:sz w:val="20"/>
        </w:rPr>
        <w:t>405</w:t>
      </w:r>
      <w:r>
        <w:rPr>
          <w:rFonts w:ascii="Times New Roman" w:hAnsi="Times New Roman"/>
          <w:caps w:val="false"/>
          <w:smallCaps w:val="false"/>
          <w:sz w:val="20"/>
        </w:rPr>
        <w:t>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as amended. The </w:t>
      </w:r>
      <w:r>
        <w:rPr>
          <w:rStyle w:val="Emphasis"/>
          <w:rFonts w:ascii="Times New Roman" w:hAnsi="Times New Roman"/>
          <w:caps w:val="false"/>
          <w:smallCaps w:val="false"/>
          <w:sz w:val="20"/>
        </w:rPr>
        <w:t>2025</w:t>
      </w:r>
      <w:r>
        <w:rPr>
          <w:rFonts w:ascii="Times New Roman" w:hAnsi="Times New Roman"/>
          <w:caps w:val="false"/>
          <w:smallCaps w:val="false"/>
          <w:sz w:val="20"/>
        </w:rPr>
        <w:t> WKSI Shelf was declared effective upon filing and registers an unlimited amount of debt securities, equity securities, or other securities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issue and sell from time to time. Accordingly,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with Cantor Fitzgerald &amp; Co. and B. Riley Securities, Inc. has expired.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offer and sell securities registered under the </w:t>
      </w:r>
      <w:r>
        <w:rPr>
          <w:rStyle w:val="Emphasis"/>
          <w:rFonts w:ascii="Times New Roman" w:hAnsi="Times New Roman"/>
          <w:caps w:val="false"/>
          <w:smallCaps w:val="false"/>
          <w:sz w:val="20"/>
        </w:rPr>
        <w:t>2025</w:t>
      </w:r>
      <w:r>
        <w:rPr>
          <w:rFonts w:ascii="Times New Roman" w:hAnsi="Times New Roman"/>
          <w:caps w:val="false"/>
          <w:smallCaps w:val="false"/>
          <w:sz w:val="20"/>
        </w:rPr>
        <w:t> WKSI Shelf in </w:t>
      </w:r>
      <w:r>
        <w:rPr>
          <w:rStyle w:val="Emphasis"/>
          <w:rFonts w:ascii="Times New Roman" w:hAnsi="Times New Roman"/>
          <w:caps w:val="false"/>
          <w:smallCaps w:val="false"/>
          <w:sz w:val="20"/>
        </w:rPr>
        <w:t>one</w:t>
      </w:r>
      <w:r>
        <w:rPr>
          <w:rFonts w:ascii="Times New Roman" w:hAnsi="Times New Roman"/>
          <w:caps w:val="false"/>
          <w:smallCaps w:val="false"/>
          <w:sz w:val="20"/>
        </w:rPr>
        <w:t> or more offerings, from time to time, depending on market conditions and its capital needs.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also file additional registration statements in the future to maintain financing flexibility in support of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caps w:val="false"/>
          <w:smallCaps w:val="false"/>
        </w:rPr>
      </w:pPr>
      <w:r>
        <w:rPr>
          <w:caps w:val="false"/>
          <w:smallCaps w:val="false"/>
        </w:rPr>
        <w:t> </w:t>
      </w:r>
      <w:r>
        <w:rPr>
          <w:rFonts w:ascii="Times New Roman" w:hAnsi="Times New Roman"/>
          <w:b/>
          <w:i/>
          <w:caps w:val="false"/>
          <w:smallCaps w:val="false"/>
          <w:sz w:val="20"/>
        </w:rPr>
        <w:t>Share Repurchase Program and Treasury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Company’s Board of Directors (the Board) authorized a share repurchase program (the Prior Share Repurchase Program) pursuant to which the Company could repurchase up to $100 million of its outstanding common stock. 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Company announced the completion of the Prior Share Repurchase Program. Under this program, the Company repurchased an aggregate of 3,502,334 shares of common stock at an average price of $28.55 per share.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no amounts remained available for repurchases under the Prior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Board authorized a new share repurchase program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up to $100 million of its outstanding common stock. Repurchases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from time to time through open market purchases, privately negotiated transactions, or other methods in accordance with applicable federal securities laws, including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under the Exchange Act.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fixed expiration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or discontinued at any time,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 the Company to repurchase any specific number of shares. No shares were repurchased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Share Repurchase Program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repurchased 3,175,740 shares of common stock for an aggregate cost of $91.2 million.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3,543,643 shares of common stock were held in treasury at an aggregate cost of approximately $100.2 million, representing the fair value of the shares on the dates they were surrendered to the Company, primarily in connection with the Prior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repurchased 326,594 shares of common stock for an aggregate cost of $8.8 million. 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367,903 shares of common stock were held in treasury at an aggregate cost of approximately $9.0</w:t>
      </w:r>
      <w:r>
        <w:rPr>
          <w:rFonts w:ascii="Times New Roman" w:hAnsi="Times New Roman"/>
          <w:caps w:val="false"/>
          <w:smallCaps w:val="false"/>
          <w:sz w:val="20"/>
          <w:u w:val="single"/>
        </w:rPr>
        <w:t> </w:t>
      </w:r>
      <w:r>
        <w:rPr>
          <w:rFonts w:ascii="Times New Roman" w:hAnsi="Times New Roman"/>
          <w:caps w:val="false"/>
          <w:smallCaps w:val="false"/>
          <w:sz w:val="20"/>
        </w:rPr>
        <w:t>million, representing the fair value of the shares on the dates they were surrendered to the Company, primarily in connection with the Company’s share repurchase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TG Therapeutics, Inc. Amended and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was approved by stockholders in </w:t>
      </w:r>
      <w:r>
        <w:rPr>
          <w:rStyle w:val="Emphasis"/>
          <w:rFonts w:ascii="Times New Roman" w:hAnsi="Times New Roman"/>
          <w:caps w:val="false"/>
          <w:smallCaps w:val="false"/>
          <w:sz w:val="20"/>
        </w:rPr>
        <w:t>June 2020.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3,216,638 shares of restricted stock and 1,982,316 options were outstanding, and no additional shares were available to be issued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TG Therapeutics,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was approved by stockholders in </w:t>
      </w:r>
      <w:r>
        <w:rPr>
          <w:rStyle w:val="Emphasis"/>
          <w:rFonts w:ascii="Times New Roman" w:hAnsi="Times New Roman"/>
          <w:caps w:val="false"/>
          <w:smallCaps w:val="false"/>
          <w:sz w:val="20"/>
        </w:rPr>
        <w:t>June 2022 </w:t>
      </w:r>
      <w:r>
        <w:rPr>
          <w:rFonts w:ascii="Times New Roman" w:hAnsi="Times New Roman"/>
          <w:caps w:val="false"/>
          <w:smallCaps w:val="false"/>
          <w:sz w:val="20"/>
        </w:rPr>
        <w:t xml:space="preserve">with 17,000,000 shares available to be issued, and was amended to increase the shares available to be issued from 17,000,000 to 22,000,000 in </w:t>
      </w:r>
      <w:r>
        <w:rPr>
          <w:rStyle w:val="Emphasis"/>
          <w:rFonts w:ascii="Times New Roman" w:hAnsi="Times New Roman"/>
          <w:caps w:val="false"/>
          <w:smallCaps w:val="false"/>
          <w:sz w:val="20"/>
        </w:rPr>
        <w:t>June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Amendment).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8,795,243 shares of restricted stock and 2,222,500 options were outstanding, and up to an additional 6,650,149 shares were available to be issued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included in the consolidated statements of operations was $64.7 million, $42.5 million and $37.9 million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The $64.7 million, $42.5 million and $37.9 million are net of $3.5 million, $3.8 million, and $2.9 million of stock-based compensation expense that was capitalized into inventory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Certain employees, directors and consultants have been awarded restricted stock. The vesting terms associated with restricted stock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service, performance, or market conditions. The following table summarizes restricted share activity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160" w:right="0" w:firstLine="720"/>
        <w:jc w:val="both"/>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2840"/>
        <w:gridCol w:w="60"/>
        <w:gridCol w:w="86"/>
        <w:gridCol w:w="1373"/>
        <w:gridCol w:w="80"/>
        <w:gridCol w:w="60"/>
        <w:gridCol w:w="314"/>
        <w:gridCol w:w="1221"/>
        <w:gridCol w:w="6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 date fair</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8,732,286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12,011,881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related to restricted stock grants was $63.4 million, $40.1 million and $34.1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net of $3.5 million, $3.8 million and $2.9 million of expense capitalized into inventory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approximately $42.8 million of total unrecognized compensation expense related to unvested time-based restricted stock, expected to be recognized over a weighted-average period of 2.7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approximately $18.6 million of total unrecognized compensation expense related to unvested milestone-based restricted stock and approximately $39.0 million related to restricted stock with market conditions, which are expected to be recognized over a weighted-average period of 2.8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Milestone-based noncash compensation expense will be recognized if and when achievement of the related milestone becomes probable. Awards with market conditions are valued using advanced option-pricing models, such as a Monte Carlo simulation, with the effect of the market condition reflected in the grant-date fair value. Compensation expense for awards with market conditions is recognized over the requisite service period determined by the grant-date valuation, regardless of whether the market condition is ultimately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uses the Black-Scholes option-pricing model when estimating the grant date fair value for the options granted in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following table summarizes stock option activity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2840"/>
        <w:gridCol w:w="60"/>
        <w:gridCol w:w="60"/>
        <w:gridCol w:w="845"/>
        <w:gridCol w:w="80"/>
        <w:gridCol w:w="60"/>
        <w:gridCol w:w="237"/>
        <w:gridCol w:w="922"/>
        <w:gridCol w:w="60"/>
        <w:gridCol w:w="60"/>
        <w:gridCol w:w="133"/>
        <w:gridCol w:w="847"/>
        <w:gridCol w:w="60"/>
        <w:gridCol w:w="60"/>
        <w:gridCol w:w="127"/>
        <w:gridCol w:w="1077"/>
        <w:gridCol w:w="6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5,135,685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25,064,799</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47,607,209</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103,691,060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96,673,515</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9"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3,565,226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82,111,479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associated with stock options was approximately $1.2 million, $2.5 million and $3.9 million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was approximately $0.4 million of total unrecognized compensation cost related to unvested time-based stock options, which is expected to be recognized over a weighted-average period of 0.60 years.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stock options outstanding include options granted to both employees and non-employees and consist of both time-based and milestone-based awards. Stock-based compensation for milestone-based options will be recorded if and when a milestone becomes probable. The Company did not recognize stock-based compensation expense during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for these milestone-based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had outstanding warrants issued to Hercules Capital, Inc. (Hercules) to purchase 115,042 and 50,172 shares of its common stock with exercise prices of $17.95 and $14.70, respectively. The warrants were issued in connection with the Company's prior loan agreement with Hercules, which has been repaid and terminated. These Warrants shall be exercisable for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from their date of issuance, and will expire on  </w:t>
      </w:r>
      <w:r>
        <w:rPr>
          <w:rStyle w:val="Emphasis"/>
          <w:rFonts w:ascii="Times New Roman" w:hAnsi="Times New Roman"/>
          <w:caps w:val="false"/>
          <w:smallCaps w:val="false"/>
          <w:sz w:val="20"/>
        </w:rPr>
        <w:t xml:space="preserve">December 30, 2028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2030, </w:t>
      </w:r>
      <w:r>
        <w:rPr>
          <w:rFonts w:ascii="Times New Roman" w:hAnsi="Times New Roman"/>
          <w:caps w:val="false"/>
          <w:smallCaps w:val="false"/>
          <w:sz w:val="20"/>
        </w:rPr>
        <w:t>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jc w:val="left"/>
        <w:rPr/>
      </w:pPr>
      <w:r>
        <w:rPr/>
        <w:t xml:space="preserve"> ​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LOAN PAYABLE</w:t>
      </w:r>
    </w:p>
    <w:p>
      <w:pPr>
        <w:pStyle w:val="TextBody"/>
        <w:bidi w:val="0"/>
        <w:spacing w:before="0" w:after="0"/>
        <w:ind w:left="160" w:right="0" w:firstLine="5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August 2, 2024 (</w:t>
      </w:r>
      <w:r>
        <w:rPr>
          <w:rFonts w:ascii="Times New Roman" w:hAnsi="Times New Roman"/>
          <w:caps w:val="false"/>
          <w:smallCaps w:val="false"/>
          <w:sz w:val="20"/>
        </w:rPr>
        <w:t>the New Closing Date), the Company entered into a term loan facility of $250 million (the Initial Term Loan) with Blue Owl Capital Corporation, as administrative agent (the Administrative Agent), HealthCare Royalty and Blue Owl Capital under the Financing Agreement (as defined below) to repay all outstanding principal and accrued interest and fees under our prior loan agreement with Hercules.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Initial Term Loan is governed by a financing agreement (the Financing Agreement), which provides for (i) a single draw of the Initial Term Loan, which was funded on </w:t>
      </w:r>
      <w:r>
        <w:rPr>
          <w:rStyle w:val="Emphasis"/>
          <w:rFonts w:ascii="Times New Roman" w:hAnsi="Times New Roman"/>
          <w:caps w:val="false"/>
          <w:smallCaps w:val="false"/>
          <w:sz w:val="20"/>
        </w:rPr>
        <w:t xml:space="preserve"> August 2, 2024, </w:t>
      </w:r>
      <w:r>
        <w:rPr>
          <w:rFonts w:ascii="Times New Roman" w:hAnsi="Times New Roman"/>
          <w:caps w:val="false"/>
          <w:smallCaps w:val="false"/>
          <w:sz w:val="20"/>
        </w:rPr>
        <w:t>and (ii) an uncommitted additional facility in an aggregate principal amount of up to $100 million. The Initial Term Loan will mature on </w:t>
      </w:r>
      <w:r>
        <w:rPr>
          <w:rStyle w:val="Emphasis"/>
          <w:rFonts w:ascii="Times New Roman" w:hAnsi="Times New Roman"/>
          <w:caps w:val="false"/>
          <w:smallCaps w:val="false"/>
          <w:sz w:val="20"/>
        </w:rPr>
        <w:t xml:space="preserve"> August 2, 2029 (</w:t>
      </w:r>
      <w:r>
        <w:rPr>
          <w:rFonts w:ascii="Times New Roman" w:hAnsi="Times New Roman"/>
          <w:caps w:val="false"/>
          <w:smallCaps w:val="false"/>
          <w:sz w:val="20"/>
        </w:rPr>
        <w:t>the Term Loan Maturity Date). The Initial Term Loan accrues interest at a per annum rate of interest equal to an applicable margin plus, at the Company’s option, either (a) a base rate determined by reference to the highest of (</w:t>
      </w:r>
      <w:r>
        <w:rPr>
          <w:rStyle w:val="Emphasis"/>
          <w:rFonts w:ascii="Times New Roman" w:hAnsi="Times New Roman"/>
          <w:caps w:val="false"/>
          <w:smallCaps w:val="false"/>
          <w:sz w:val="20"/>
        </w:rPr>
        <w:t>1</w:t>
      </w:r>
      <w:r>
        <w:rPr>
          <w:rFonts w:ascii="Times New Roman" w:hAnsi="Times New Roman"/>
          <w:caps w:val="false"/>
          <w:smallCaps w:val="false"/>
          <w:sz w:val="20"/>
        </w:rPr>
        <w:t>) the prime rate published by the Wall Street Journal, (</w:t>
      </w:r>
      <w:r>
        <w:rPr>
          <w:rStyle w:val="Emphasis"/>
          <w:rFonts w:ascii="Times New Roman" w:hAnsi="Times New Roman"/>
          <w:caps w:val="false"/>
          <w:smallCaps w:val="false"/>
          <w:sz w:val="20"/>
        </w:rPr>
        <w:t>2</w:t>
      </w:r>
      <w:r>
        <w:rPr>
          <w:rFonts w:ascii="Times New Roman" w:hAnsi="Times New Roman"/>
          <w:caps w:val="false"/>
          <w:smallCaps w:val="false"/>
          <w:sz w:val="20"/>
        </w:rPr>
        <w:t>) the federal funds effective rate plus 0.50% and (</w:t>
      </w:r>
      <w:r>
        <w:rPr>
          <w:rStyle w:val="Emphasis"/>
          <w:rFonts w:ascii="Times New Roman" w:hAnsi="Times New Roman"/>
          <w:caps w:val="false"/>
          <w:smallCaps w:val="false"/>
          <w:sz w:val="20"/>
        </w:rPr>
        <w:t>3</w:t>
      </w:r>
      <w:r>
        <w:rPr>
          <w:rFonts w:ascii="Times New Roman" w:hAnsi="Times New Roman"/>
          <w:caps w:val="false"/>
          <w:smallCaps w:val="false"/>
          <w:sz w:val="20"/>
        </w:rPr>
        <w:t>) Term SOFR, plus 1.00% or (b) Term SOFR, which shall be </w:t>
      </w:r>
      <w:r>
        <w:rPr>
          <w:rStyle w:val="Emphasis"/>
          <w:rFonts w:ascii="Times New Roman" w:hAnsi="Times New Roman"/>
          <w:caps w:val="false"/>
          <w:smallCaps w:val="false"/>
          <w:sz w:val="20"/>
        </w:rPr>
        <w:t>no</w:t>
      </w:r>
      <w:r>
        <w:rPr>
          <w:rFonts w:ascii="Times New Roman" w:hAnsi="Times New Roman"/>
          <w:caps w:val="false"/>
          <w:smallCaps w:val="false"/>
          <w:sz w:val="20"/>
        </w:rPr>
        <w:t> less than 1.00%. The applicable margin for borrowings of the Initial Term Loan is determined on a quarterly basis by reference to a pricing grid based on the achievement of U.S. Net Sales (as defined in the Financing Agreement) for the most recently completed </w:t>
      </w:r>
      <w:r>
        <w:rPr>
          <w:rStyle w:val="Emphasis"/>
          <w:rFonts w:ascii="Times New Roman" w:hAnsi="Times New Roman"/>
          <w:caps w:val="false"/>
          <w:smallCaps w:val="false"/>
          <w:sz w:val="20"/>
        </w:rPr>
        <w:t>four</w:t>
      </w:r>
      <w:r>
        <w:rPr>
          <w:rFonts w:ascii="Times New Roman" w:hAnsi="Times New Roman"/>
          <w:caps w:val="false"/>
          <w:smallCaps w:val="false"/>
          <w:sz w:val="20"/>
        </w:rPr>
        <w:t> consecutive fiscal quarters.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w:t>
      </w:r>
      <w:r>
        <w:rPr>
          <w:rStyle w:val="Emphasis"/>
          <w:rFonts w:ascii="Times New Roman" w:hAnsi="Times New Roman"/>
          <w:caps w:val="false"/>
          <w:smallCaps w:val="false"/>
          <w:sz w:val="20"/>
        </w:rPr>
        <w:t xml:space="preserve"> June 30, 2028, </w:t>
      </w:r>
      <w:r>
        <w:rPr>
          <w:rFonts w:ascii="Times New Roman" w:hAnsi="Times New Roman"/>
          <w:caps w:val="false"/>
          <w:smallCaps w:val="false"/>
          <w:sz w:val="20"/>
        </w:rPr>
        <w:t>in an amount equal to $12.5 million, with the balance due and payable on the Term Loan Maturity Date; provided that such amortization payments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deferred to the Term Loan Maturity Date upon the achievement of a Total Net Leverage Ratio (as defined in the Financing Agreement) that is less than or equal to an agreed threshold.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Initial Term Loan is secured by a lien on substantially all of the assets of the Company and by guarantees from certain of the Company's subsidiaries and contains customary covenants and representations.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was in compliance with all financial covenants.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evaluated whether the Initial Term Loan represented a debt modification or extinguishment of the prior loan agreement with Hercules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Debt – Modifications and Extinguishments. As a result of the Initial Term Loan and effective termination of the prior loan agreement with Hercules, this transaction was accounted for by the Company under the extinguishment accounting model. The Company recorded a loss on extinguishment of debt of approximately $4.6 million in the Company’s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and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2024, </w:t>
      </w:r>
      <w:r>
        <w:rPr>
          <w:rFonts w:ascii="Times New Roman" w:hAnsi="Times New Roman"/>
          <w:caps w:val="false"/>
          <w:smallCaps w:val="false"/>
          <w:sz w:val="20"/>
        </w:rPr>
        <w:t>representing the write-off of unamortized debt issuance costs and a prepayment charge. The Company capitalized </w:t>
      </w:r>
      <w:r>
        <w:rPr>
          <w:rStyle w:val="Emphasis"/>
          <w:rFonts w:ascii="Times New Roman" w:hAnsi="Times New Roman"/>
          <w:caps w:val="false"/>
          <w:smallCaps w:val="false"/>
          <w:sz w:val="20"/>
        </w:rPr>
        <w:t>third</w:t>
      </w:r>
      <w:r>
        <w:rPr>
          <w:rFonts w:ascii="Times New Roman" w:hAnsi="Times New Roman"/>
          <w:caps w:val="false"/>
          <w:smallCaps w:val="false"/>
          <w:sz w:val="20"/>
        </w:rPr>
        <w:t> party fees incurred in connection with the Initial Term Loan to debt issuance costs and capitalized the facility fee incurred with the Administrative Agent as part of the Initial Term Loan to 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incurred total financing and upfront costs of $6.0 million related to the Initial Term Loan, which are recorded as debt issuance costs and debt discount costs and presented as an offset to loan payable on the Company’s consolidated balance sheet. The debt issuance and debt discount costs are being amortized over the term of the debt using the straight-line method, which approximates the effective interest method, and are included in interest expense in the Company’s consolidated statements of operations. Amortization of debt issuance and debt discount costs was $1.2 million, $2.0 million and $2.4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remaining unamortized balance of debt issuance and debt discount costs was $4.4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loan payable balance of the Initial Term Loan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is as follows:</w:t>
      </w:r>
    </w:p>
    <w:p>
      <w:pPr>
        <w:pStyle w:val="TextBody"/>
        <w:bidi w:val="0"/>
        <w:spacing w:before="0" w:after="0"/>
        <w:ind w:left="160" w:right="0" w:firstLine="720"/>
        <w:jc w:val="both"/>
        <w:rPr>
          <w:caps w:val="false"/>
          <w:smallCaps w:val="false"/>
        </w:rPr>
      </w:pPr>
      <w:r>
        <w:rPr>
          <w:caps w:val="false"/>
          <w:smallCaps w:val="false"/>
        </w:rPr>
        <w:t> </w:t>
      </w:r>
    </w:p>
    <w:tbl>
      <w:tblPr>
        <w:tblW w:w="7628" w:type="dxa"/>
        <w:jc w:val="left"/>
        <w:tblInd w:w="0" w:type="dxa"/>
        <w:tblLayout w:type="fixed"/>
        <w:tblCellMar>
          <w:top w:w="0" w:type="dxa"/>
          <w:left w:w="0" w:type="dxa"/>
          <w:bottom w:w="0" w:type="dxa"/>
          <w:right w:w="0" w:type="dxa"/>
        </w:tblCellMar>
      </w:tblPr>
      <w:tblGrid>
        <w:gridCol w:w="3620"/>
        <w:gridCol w:w="60"/>
        <w:gridCol w:w="284"/>
        <w:gridCol w:w="1580"/>
        <w:gridCol w:w="80"/>
        <w:gridCol w:w="60"/>
        <w:gridCol w:w="284"/>
        <w:gridCol w:w="1580"/>
        <w:gridCol w:w="80"/>
      </w:tblGrid>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The Initial Term Loan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The Initial Term Loan</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Accreted Liability of final payment fee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principal payments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 payable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5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 xml:space="preserve">the Company entered into an agreement (the Office Agreement) with Fortress Biotech, Inc. (FBIO) to occupy approximately 45% of the 24,000 square feet of New York City office space leased by FBIO. The Office Agreement requires the Company to pay its respective share of the average annual rent and other costs of the 15-year lease. The Company estimates an average annual rental obligation of $1.8 million under the Office Agreement. In connection with the Office Agreement, the Company pledged $1.3 million to secure a line of credit as a security deposit, which is recorded as restricted cash in the accompanying consolidated balance sheets. The Company began to occupy this office space in </w:t>
      </w:r>
      <w:r>
        <w:rPr>
          <w:rStyle w:val="Emphasis"/>
          <w:rFonts w:ascii="Times New Roman" w:hAnsi="Times New Roman"/>
          <w:caps w:val="false"/>
          <w:smallCaps w:val="false"/>
          <w:sz w:val="20"/>
        </w:rPr>
        <w:t xml:space="preserve">April 2016, </w:t>
      </w:r>
      <w:r>
        <w:rPr>
          <w:rFonts w:ascii="Times New Roman" w:hAnsi="Times New Roman"/>
          <w:caps w:val="false"/>
          <w:smallCaps w:val="false"/>
          <w:sz w:val="20"/>
        </w:rPr>
        <w:t xml:space="preserve">with rental payments beginning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FBIO entered into a sublease agreement with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for the entirety of the New York City office space subject to the Office Agreement. The Company remains obligated under the Office Agreement to pay its respective share of the rent and other related costs through the expiration of the lease term. Under the terms of the arrangement,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fund its proportionate share of any shortfall between the head lease obligations and sublease income. This transaction is expected to significantly reduce the Company’s net rent expense prospectively.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the Company finalized a five-year lease for office space in North Carolina (the NC Lease). The Company estimates an average annual rental obligation of $0.2 million under the NC Lease. The Company took possession of this space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with rental payments beginning in </w:t>
      </w:r>
      <w:r>
        <w:rPr>
          <w:rStyle w:val="Emphasis"/>
          <w:rFonts w:ascii="Times New Roman" w:hAnsi="Times New Roman"/>
          <w:caps w:val="false"/>
          <w:smallCaps w:val="false"/>
          <w:sz w:val="20"/>
        </w:rPr>
        <w:t>April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present values of the Company's lease liability and corresponding Right-of-Use (ROU) asset are $8.1 million and $6.3 million, respectively,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Company's leases have remaining lease terms of two to six years. One lease has a renewal option to extend the lease for an additional term of two years. The following components of lease expense are included in the consolidated statements of operations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Operating lease cost was $1.9 million, $2.3 million and $2.2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weighted-average remaining operating lease term was 5.2 years and the weighted-average discount rate for operating leases was 10.10%. Cash paid for amounts included in the measurement of operating lease liabilities during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$2.1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balance sheet classification of lease liabilities was as follows:</w:t>
      </w:r>
    </w:p>
    <w:p>
      <w:pPr>
        <w:pStyle w:val="TextBody"/>
        <w:bidi w:val="0"/>
        <w:spacing w:before="0" w:after="0"/>
        <w:ind w:left="0" w:right="0" w:hanging="0"/>
        <w:jc w:val="both"/>
        <w:rPr>
          <w:caps w:val="false"/>
          <w:smallCaps w:val="false"/>
        </w:rPr>
      </w:pPr>
      <w:r>
        <w:rPr>
          <w:caps w:val="false"/>
          <w:smallCaps w:val="false"/>
        </w:rPr>
        <w:t> </w:t>
      </w:r>
    </w:p>
    <w:tbl>
      <w:tblPr>
        <w:tblW w:w="4978" w:type="dxa"/>
        <w:jc w:val="left"/>
        <w:tblInd w:w="0" w:type="dxa"/>
        <w:tblLayout w:type="fixed"/>
        <w:tblCellMar>
          <w:top w:w="0" w:type="dxa"/>
          <w:left w:w="0" w:type="dxa"/>
          <w:bottom w:w="0" w:type="dxa"/>
          <w:right w:w="0" w:type="dxa"/>
        </w:tblCellMar>
      </w:tblPr>
      <w:tblGrid>
        <w:gridCol w:w="2450"/>
        <w:gridCol w:w="60"/>
        <w:gridCol w:w="234"/>
        <w:gridCol w:w="910"/>
        <w:gridCol w:w="60"/>
        <w:gridCol w:w="60"/>
        <w:gridCol w:w="234"/>
        <w:gridCol w:w="910"/>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8,133</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maturities of lease liabilities were as follows:</w:t>
      </w:r>
    </w:p>
    <w:p>
      <w:pPr>
        <w:pStyle w:val="TextBody"/>
        <w:bidi w:val="0"/>
        <w:spacing w:before="0" w:after="0"/>
        <w:ind w:left="0" w:right="0" w:firstLine="720"/>
        <w:jc w:val="both"/>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810"/>
        <w:gridCol w:w="60"/>
        <w:gridCol w:w="150"/>
        <w:gridCol w:w="710"/>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1,913</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2030</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2,889</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10,536</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 As the Company's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the Company uses its incremental borrowing rate based on the information available at commencement date and considering the term of the lease to determine the present value of lease payments. The Company used the incremental borrowing rate of 10.25% on </w:t>
      </w:r>
      <w:r>
        <w:rPr>
          <w:rStyle w:val="Emphasis"/>
          <w:rFonts w:ascii="Times New Roman" w:hAnsi="Times New Roman"/>
          <w:caps w:val="false"/>
          <w:smallCaps w:val="false"/>
          <w:sz w:val="20"/>
        </w:rPr>
        <w:t xml:space="preserve">February 28, 2019, </w:t>
      </w:r>
      <w:r>
        <w:rPr>
          <w:rFonts w:ascii="Times New Roman" w:hAnsi="Times New Roman"/>
          <w:caps w:val="false"/>
          <w:smallCaps w:val="false"/>
          <w:sz w:val="20"/>
        </w:rPr>
        <w:t xml:space="preserve">for operating leases that commenced prior to that date through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used an incremental borrowing rate of 5.65% for the NC lease.</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9</w:t>
      </w:r>
      <w:r>
        <w:rPr>
          <w:rFonts w:ascii="Times New Roman;Times;serif" w:hAnsi="Times New Roman;Times;serif"/>
          <w:sz w:val="20"/>
        </w:rPr>
        <w:t xml:space="preserve"> – </w:t>
      </w:r>
      <w:r>
        <w:rPr>
          <w:rFonts w:ascii="Times New Roman;Times;serif" w:hAnsi="Times New Roman;Times;serif"/>
          <w:b/>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components of net income before taxes are as follows:</w:t>
      </w:r>
    </w:p>
    <w:p>
      <w:pPr>
        <w:pStyle w:val="TextBody"/>
        <w:bidi w:val="0"/>
        <w:spacing w:before="0" w:after="0"/>
        <w:ind w:left="160" w:right="0" w:firstLine="54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970"/>
        <w:gridCol w:w="60"/>
        <w:gridCol w:w="135"/>
        <w:gridCol w:w="755"/>
        <w:gridCol w:w="86"/>
        <w:gridCol w:w="65"/>
        <w:gridCol w:w="135"/>
        <w:gridCol w:w="641"/>
        <w:gridCol w:w="86"/>
        <w:gridCol w:w="65"/>
        <w:gridCol w:w="135"/>
        <w:gridCol w:w="641"/>
        <w:gridCol w:w="8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107,739</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26,470</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13,583</w:t>
            </w:r>
          </w:p>
        </w:tc>
        <w:tc>
          <w:tcPr>
            <w:tcW w:w="8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107,390</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Income tax (benefit) expense consists of the following:</w:t>
      </w:r>
    </w:p>
    <w:p>
      <w:pPr>
        <w:pStyle w:val="TextBody"/>
        <w:bidi w:val="0"/>
        <w:spacing w:before="0" w:after="0"/>
        <w:ind w:left="160" w:right="0" w:firstLine="540"/>
        <w:jc w:val="left"/>
        <w:rPr>
          <w:caps w:val="false"/>
          <w:smallCaps w:val="false"/>
        </w:rPr>
      </w:pPr>
      <w:r>
        <w:rPr>
          <w:caps w:val="false"/>
          <w:smallCaps w:val="false"/>
        </w:rPr>
        <w:t> </w:t>
      </w:r>
    </w:p>
    <w:tbl>
      <w:tblPr>
        <w:tblW w:w="5764" w:type="dxa"/>
        <w:jc w:val="left"/>
        <w:tblInd w:w="0" w:type="dxa"/>
        <w:tblLayout w:type="fixed"/>
        <w:tblCellMar>
          <w:top w:w="0" w:type="dxa"/>
          <w:left w:w="0" w:type="dxa"/>
          <w:bottom w:w="0" w:type="dxa"/>
          <w:right w:w="0" w:type="dxa"/>
        </w:tblCellMar>
      </w:tblPr>
      <w:tblGrid>
        <w:gridCol w:w="2900"/>
        <w:gridCol w:w="60"/>
        <w:gridCol w:w="155"/>
        <w:gridCol w:w="939"/>
        <w:gridCol w:w="99"/>
        <w:gridCol w:w="74"/>
        <w:gridCol w:w="155"/>
        <w:gridCol w:w="603"/>
        <w:gridCol w:w="74"/>
        <w:gridCol w:w="74"/>
        <w:gridCol w:w="155"/>
        <w:gridCol w:w="416"/>
        <w:gridCol w:w="6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5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FFFFFF" w:val="cle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8,211</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8,211</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(335,077</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4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(348,000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283"/>
              <w:ind w:left="0" w:right="0" w:hanging="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(339,789</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caps w:val="false"/>
          <w:smallCaps w:val="false"/>
        </w:rPr>
        <w:t> </w:t>
      </w:r>
      <w:r>
        <w:rPr>
          <w:rFonts w:ascii="Times New Roman" w:hAnsi="Times New Roman"/>
          <w:caps w:val="false"/>
          <w:smallCaps w:val="false"/>
          <w:sz w:val="20"/>
        </w:rPr>
        <w:t xml:space="preserve">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(“IRA”) was enacted on </w:t>
      </w:r>
      <w:r>
        <w:rPr>
          <w:rStyle w:val="Emphasis"/>
          <w:rFonts w:ascii="Times New Roman" w:hAnsi="Times New Roman"/>
          <w:caps w:val="false"/>
          <w:smallCaps w:val="false"/>
          <w:sz w:val="20"/>
        </w:rPr>
        <w:t xml:space="preserve">August 16, 2022. </w:t>
      </w:r>
      <w:r>
        <w:rPr>
          <w:rFonts w:ascii="Times New Roman" w:hAnsi="Times New Roman"/>
          <w:caps w:val="false"/>
          <w:smallCaps w:val="false"/>
          <w:sz w:val="20"/>
        </w:rPr>
        <w:t xml:space="preserve">The IRA provided for a Corporate Alternative Minimum Tax (“Corp AMT”), applicable to tax years beginning after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Corp AMT will impose a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tax on companies with adjusted financial statement income of over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billion for U.S. based organizations. At this time,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anticipated that the Corp AMT will be applicable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(the OBBBA) was enacted in the United States. Among other changes, the OBBBA modifies key business tax provisions, including restoring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bonus depreciation under Section </w:t>
      </w:r>
      <w:r>
        <w:rPr>
          <w:rStyle w:val="Emphasis"/>
          <w:rFonts w:ascii="Times New Roman" w:hAnsi="Times New Roman"/>
          <w:caps w:val="false"/>
          <w:smallCaps w:val="false"/>
          <w:sz w:val="20"/>
        </w:rPr>
        <w:t>168</w:t>
      </w:r>
      <w:r>
        <w:rPr>
          <w:rFonts w:ascii="Times New Roman" w:hAnsi="Times New Roman"/>
          <w:caps w:val="false"/>
          <w:smallCaps w:val="false"/>
          <w:sz w:val="20"/>
        </w:rPr>
        <w:t xml:space="preserve">(k), reverting to the higher, EBITDA-based, business interest expense limitation under Section </w:t>
      </w:r>
      <w:r>
        <w:rPr>
          <w:rStyle w:val="Emphasis"/>
          <w:rFonts w:ascii="Times New Roman" w:hAnsi="Times New Roman"/>
          <w:caps w:val="false"/>
          <w:smallCaps w:val="false"/>
          <w:sz w:val="20"/>
        </w:rPr>
        <w:t>163</w:t>
      </w:r>
      <w:r>
        <w:rPr>
          <w:rFonts w:ascii="Times New Roman" w:hAnsi="Times New Roman"/>
          <w:caps w:val="false"/>
          <w:smallCaps w:val="false"/>
          <w:sz w:val="20"/>
        </w:rPr>
        <w:t xml:space="preserve">(j) and reinstatement of expensing domestic research and development costs including those previously capitalized under Section </w:t>
      </w:r>
      <w:r>
        <w:rPr>
          <w:rStyle w:val="Emphasis"/>
          <w:rFonts w:ascii="Times New Roman" w:hAnsi="Times New Roman"/>
          <w:caps w:val="false"/>
          <w:smallCaps w:val="false"/>
          <w:sz w:val="20"/>
        </w:rPr>
        <w:t>174.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Beginning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reporting, 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prospectively. See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Organization and Summary of Significant Accounting Policies - Recently Issued Accounting Standards for additional details on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A reconciliation of the U.S. federal statutory income tax rate to our effective tax rate for the year ending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tbl>
      <w:tblPr>
        <w:tblW w:w="7711" w:type="dxa"/>
        <w:jc w:val="left"/>
        <w:tblInd w:w="0" w:type="dxa"/>
        <w:tblLayout w:type="fixed"/>
        <w:tblCellMar>
          <w:top w:w="0" w:type="dxa"/>
          <w:left w:w="0" w:type="dxa"/>
          <w:bottom w:w="0" w:type="dxa"/>
          <w:right w:w="0" w:type="dxa"/>
        </w:tblCellMar>
      </w:tblPr>
      <w:tblGrid>
        <w:gridCol w:w="4760"/>
        <w:gridCol w:w="60"/>
        <w:gridCol w:w="127"/>
        <w:gridCol w:w="768"/>
        <w:gridCol w:w="81"/>
        <w:gridCol w:w="61"/>
        <w:gridCol w:w="157"/>
        <w:gridCol w:w="1452"/>
        <w:gridCol w:w="245"/>
      </w:tblGrid>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Tax Effect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Effective Tax Rate </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income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22,552</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 net of federal income tax effect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(R&amp;D) tax credit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(357,904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compensation limit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6,213</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tax benefit on stock-based compensation</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adjustments: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to tax attribute utilization</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and effective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(339,789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Income tax expense differed from amounts computed by applying the US federal income tax rate of 21% for the years ending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to pretax income as follows:</w:t>
      </w:r>
    </w:p>
    <w:p>
      <w:pPr>
        <w:pStyle w:val="TextBody"/>
        <w:bidi w:val="0"/>
        <w:spacing w:before="0" w:after="0"/>
        <w:ind w:left="160" w:right="0" w:firstLine="540"/>
        <w:jc w:val="both"/>
        <w:rPr>
          <w:caps w:val="false"/>
          <w:smallCaps w:val="false"/>
        </w:rPr>
      </w:pPr>
      <w:r>
        <w:rPr>
          <w:caps w:val="false"/>
          <w:smallCaps w:val="false"/>
        </w:rPr>
        <w:t> </w:t>
      </w:r>
    </w:p>
    <w:tbl>
      <w:tblPr>
        <w:tblW w:w="9822" w:type="dxa"/>
        <w:jc w:val="left"/>
        <w:tblInd w:w="0" w:type="dxa"/>
        <w:tblLayout w:type="fixed"/>
        <w:tblCellMar>
          <w:top w:w="0" w:type="dxa"/>
          <w:left w:w="0" w:type="dxa"/>
          <w:bottom w:w="0" w:type="dxa"/>
          <w:right w:w="0" w:type="dxa"/>
        </w:tblCellMar>
      </w:tblPr>
      <w:tblGrid>
        <w:gridCol w:w="6875"/>
        <w:gridCol w:w="60"/>
        <w:gridCol w:w="215"/>
        <w:gridCol w:w="1017"/>
        <w:gridCol w:w="137"/>
        <w:gridCol w:w="103"/>
        <w:gridCol w:w="215"/>
        <w:gridCol w:w="1120"/>
        <w:gridCol w:w="80"/>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ended December 31,</w:t>
            </w:r>
          </w:p>
        </w:tc>
        <w:tc>
          <w:tcPr>
            <w:tcW w:w="8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 as reported in the consolidated statements of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25,594</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13,062</w:t>
            </w:r>
          </w:p>
        </w:tc>
        <w:tc>
          <w:tcPr>
            <w:tcW w:w="8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3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Computed “expected” 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income taxes resulting from:</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taxes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(4,637</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Compensation Limitation</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Provision-to-return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11,733</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period state tax benefit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state tax rates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80"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the balance of the valuation allowance for deferred tax assets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17,954</w:t>
            </w:r>
          </w:p>
        </w:tc>
        <w:tc>
          <w:tcPr>
            <w:tcW w:w="80"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2,211</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160" w:right="0" w:firstLine="540"/>
        <w:jc w:val="both"/>
        <w:rPr/>
      </w:pPr>
      <w:r>
        <w:rPr>
          <w:rFonts w:ascii="Times New Roman" w:hAnsi="Times New Roman"/>
          <w:caps w:val="false"/>
          <w:smallCaps w:val="false"/>
          <w:sz w:val="20"/>
        </w:rPr>
        <w:t xml:space="preserve">Cash paid for income taxes, net of refunds received, by jurisdiction for the years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are as follows:</w:t>
      </w:r>
    </w:p>
    <w:p>
      <w:pPr>
        <w:pStyle w:val="TextBody"/>
        <w:bidi w:val="0"/>
        <w:spacing w:before="0" w:after="0"/>
        <w:ind w:left="160" w:right="0" w:hanging="0"/>
        <w:jc w:val="both"/>
        <w:rPr>
          <w:caps w:val="false"/>
          <w:smallCaps w:val="false"/>
        </w:rPr>
      </w:pPr>
      <w:r>
        <w:rPr>
          <w:caps w:val="false"/>
          <w:smallCaps w:val="false"/>
        </w:rPr>
        <w:t> </w:t>
      </w:r>
    </w:p>
    <w:tbl>
      <w:tblPr>
        <w:tblW w:w="7059" w:type="dxa"/>
        <w:jc w:val="left"/>
        <w:tblInd w:w="0" w:type="dxa"/>
        <w:tblLayout w:type="fixed"/>
        <w:tblCellMar>
          <w:top w:w="0" w:type="dxa"/>
          <w:left w:w="0" w:type="dxa"/>
          <w:bottom w:w="0" w:type="dxa"/>
          <w:right w:w="0" w:type="dxa"/>
        </w:tblCellMar>
      </w:tblPr>
      <w:tblGrid>
        <w:gridCol w:w="4145"/>
        <w:gridCol w:w="60"/>
        <w:gridCol w:w="572"/>
        <w:gridCol w:w="2222"/>
        <w:gridCol w:w="6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For the year ended December 31, </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7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2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ind w:left="0" w:right="0" w:hanging="0"/>
              <w:jc w:val="left"/>
              <w:rPr/>
            </w:pPr>
            <w:r>
              <w:rPr/>
              <w:t> </w:t>
            </w:r>
          </w:p>
        </w:tc>
        <w:tc>
          <w:tcPr>
            <w:tcW w:w="2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Kentucky</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ind w:left="0" w:right="0" w:hanging="0"/>
              <w:jc w:val="left"/>
              <w:rPr/>
            </w:pPr>
            <w:r>
              <w:rPr/>
              <w:t> </w:t>
            </w:r>
          </w:p>
        </w:tc>
        <w:tc>
          <w:tcPr>
            <w:tcW w:w="2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Mississippi</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ind w:left="0" w:right="0" w:hanging="0"/>
              <w:jc w:val="left"/>
              <w:rPr/>
            </w:pPr>
            <w:r>
              <w:rPr/>
              <w:t> </w:t>
            </w:r>
          </w:p>
        </w:tc>
        <w:tc>
          <w:tcPr>
            <w:tcW w:w="2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Tennessee</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ind w:left="0" w:right="0" w:hanging="0"/>
              <w:jc w:val="left"/>
              <w:rPr/>
            </w:pPr>
            <w:r>
              <w:rPr/>
              <w:t> </w:t>
            </w:r>
          </w:p>
        </w:tc>
        <w:tc>
          <w:tcPr>
            <w:tcW w:w="22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4,519</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ind w:left="0" w:right="0" w:hanging="0"/>
              <w:jc w:val="left"/>
              <w:rPr/>
            </w:pPr>
            <w:r>
              <w:rPr/>
              <w:t> </w:t>
            </w:r>
          </w:p>
        </w:tc>
        <w:tc>
          <w:tcPr>
            <w:tcW w:w="22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ind w:left="0" w:right="0" w:hanging="0"/>
              <w:jc w:val="left"/>
              <w:rPr/>
            </w:pPr>
            <w:r>
              <w:rPr/>
              <w:t> </w:t>
            </w:r>
          </w:p>
        </w:tc>
        <w:tc>
          <w:tcPr>
            <w:tcW w:w="22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2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 received</w:t>
            </w:r>
          </w:p>
        </w:tc>
        <w:tc>
          <w:tcPr>
            <w:tcW w:w="60" w:type="dxa"/>
            <w:tcBorders/>
            <w:shd w:fill="FFFFFF" w:val="clear"/>
            <w:vAlign w:val="center"/>
          </w:tcPr>
          <w:p>
            <w:pPr>
              <w:pStyle w:val="TableContents"/>
              <w:bidi w:val="0"/>
              <w:spacing w:before="0" w:after="283"/>
              <w:ind w:left="0" w:right="0" w:hanging="0"/>
              <w:jc w:val="left"/>
              <w:rPr/>
            </w:pPr>
            <w:r>
              <w:rPr/>
              <w:t> </w:t>
            </w:r>
          </w:p>
        </w:tc>
        <w:tc>
          <w:tcPr>
            <w:tcW w:w="5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deferred tax assets (liabilities) are as follows:</w:t>
      </w:r>
    </w:p>
    <w:p>
      <w:pPr>
        <w:pStyle w:val="TextBody"/>
        <w:bidi w:val="0"/>
        <w:spacing w:before="0" w:after="0"/>
        <w:ind w:left="0" w:right="0" w:hanging="0"/>
        <w:jc w:val="both"/>
        <w:rPr>
          <w:caps w:val="false"/>
          <w:smallCaps w:val="false"/>
        </w:rPr>
      </w:pPr>
      <w:r>
        <w:rPr>
          <w:caps w:val="false"/>
          <w:smallCaps w:val="false"/>
        </w:rPr>
        <w:t> ​</w:t>
      </w:r>
    </w:p>
    <w:tbl>
      <w:tblPr>
        <w:tblW w:w="6350" w:type="dxa"/>
        <w:jc w:val="left"/>
        <w:tblInd w:w="0" w:type="dxa"/>
        <w:tblLayout w:type="fixed"/>
        <w:tblCellMar>
          <w:top w:w="0" w:type="dxa"/>
          <w:left w:w="0" w:type="dxa"/>
          <w:bottom w:w="0" w:type="dxa"/>
          <w:right w:w="0" w:type="dxa"/>
        </w:tblCellMar>
      </w:tblPr>
      <w:tblGrid>
        <w:gridCol w:w="4430"/>
        <w:gridCol w:w="60"/>
        <w:gridCol w:w="125"/>
        <w:gridCol w:w="695"/>
        <w:gridCol w:w="80"/>
        <w:gridCol w:w="60"/>
        <w:gridCol w:w="125"/>
        <w:gridCol w:w="695"/>
        <w:gridCol w:w="80"/>
      </w:tblGrid>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$294,046</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Research and development credit</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50,693</w:t>
            </w:r>
          </w:p>
        </w:tc>
        <w:tc>
          <w:tcPr>
            <w:tcW w:w="8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Noncash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12,267</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Capitalized R&amp;D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49,681</w:t>
            </w:r>
          </w:p>
        </w:tc>
        <w:tc>
          <w:tcPr>
            <w:tcW w:w="8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10,335</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417,022</w:t>
            </w:r>
          </w:p>
        </w:tc>
        <w:tc>
          <w:tcPr>
            <w:tcW w:w="8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 excluding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414,614</w:t>
            </w:r>
          </w:p>
        </w:tc>
        <w:tc>
          <w:tcPr>
            <w:tcW w:w="8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(414,614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has U.S. federal net operating loss (NOL) carryforwards of approximately $1.1 billion and research and development credit carryforwards (R&amp;D credits) of approximately $58.0 million. For income tax purposes, these NOLs and R&amp;D credits will expire in various amounts starting in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and through </w:t>
      </w:r>
      <w:r>
        <w:rPr>
          <w:rStyle w:val="Emphasis"/>
          <w:rFonts w:ascii="Times New Roman" w:hAnsi="Times New Roman"/>
          <w:caps w:val="false"/>
          <w:smallCaps w:val="false"/>
          <w:sz w:val="20"/>
        </w:rPr>
        <w:t>2046</w:t>
      </w:r>
      <w:r>
        <w:rPr>
          <w:rFonts w:ascii="Times New Roman" w:hAnsi="Times New Roman"/>
          <w:caps w:val="false"/>
          <w:smallCaps w:val="false"/>
          <w:sz w:val="20"/>
        </w:rPr>
        <w:t xml:space="preserve">, respectively. NOLs generated after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The Tax Reform Act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contains provisions which limit the ability to utilize net operating loss carryforwards and R&amp;D credit carryforwards in the case of certain events including significant changes in ownership interests. Stock issuance activities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resulted in a “change in ownership” as defined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Accordingly, a portion of the Company’s NOLs have been identified as subject to annual limitations in reducing any future year’s taxable income. The Company has recorded approximately $9.5 million of tax expense to reflect this limitation. In addition, a portion of the R&amp;D Credit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annual limitations in reducing any future year’s tax. </w:t>
      </w:r>
    </w:p>
    <w:p>
      <w:pPr>
        <w:pStyle w:val="TextBody"/>
        <w:bidi w:val="0"/>
        <w:spacing w:before="0" w:after="0"/>
        <w:ind w:left="0" w:right="0" w:firstLine="720"/>
        <w:jc w:val="both"/>
        <w:rPr/>
      </w:pPr>
      <w:r>
        <w:rPr/>
        <w:t> </w:t>
      </w:r>
    </w:p>
    <w:p>
      <w:pPr>
        <w:pStyle w:val="TextBody"/>
        <w:bidi w:val="0"/>
        <w:ind w:left="0" w:right="0" w:firstLine="720"/>
        <w:jc w:val="both"/>
        <w:rPr/>
      </w:pPr>
      <w:r>
        <w:rPr>
          <w:rFonts w:ascii="Times New Roman" w:hAnsi="Times New Roman"/>
          <w:caps w:val="false"/>
          <w:smallCaps w:val="false"/>
          <w:sz w:val="20"/>
        </w:rPr>
        <w:t xml:space="preserve">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on the relevant weight of positive and negative evidence, including improved and sustained profitability trends as well as consideration of the Company's expected future taxable earnings,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its U.S. federal and certain state deferred tax assets are realizable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continues to maintain a full or partial valuation allowance against certain state attributes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because the Company concluded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realized, as the Company expects certain state attribute generation in future years to exceed its ability to use these deferred tax assets. The valuation allowance for deferred tax assets was approximately $40.0 million and $414.6 million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w:t>
      </w:r>
    </w:p>
    <w:p>
      <w:pPr>
        <w:pStyle w:val="TextBody"/>
        <w:bidi w:val="0"/>
        <w:spacing w:before="0" w:after="0"/>
        <w:ind w:left="165" w:right="0" w:firstLine="540"/>
        <w:jc w:val="both"/>
        <w:rPr/>
      </w:pPr>
      <w:r>
        <w:rPr/>
        <w:t> </w:t>
      </w:r>
    </w:p>
    <w:p>
      <w:pPr>
        <w:pStyle w:val="TextBody"/>
        <w:bidi w:val="0"/>
        <w:ind w:left="0" w:right="0" w:firstLine="720"/>
        <w:jc w:val="both"/>
        <w:rPr/>
      </w:pPr>
      <w:r>
        <w:rPr>
          <w:rFonts w:ascii="Times New Roman" w:hAnsi="Times New Roman"/>
          <w:caps w:val="false"/>
          <w:smallCaps w:val="false"/>
          <w:sz w:val="20"/>
        </w:rPr>
        <w:t xml:space="preserve">The Company files income tax returns in the U.S Federal and various state and local jurisdictions. With certain exceptions,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and state income tax examinations by tax authorities for years prior to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However, NOLs and tax credits generated from those prior years could still be adjusted upon audit. </w:t>
      </w:r>
    </w:p>
    <w:p>
      <w:pPr>
        <w:pStyle w:val="TextBody"/>
        <w:bidi w:val="0"/>
        <w:spacing w:before="0" w:after="0"/>
        <w:ind w:left="165" w:right="0" w:firstLine="540"/>
        <w:jc w:val="both"/>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would recognize interest and penalties, if any, to uncertain tax position in income tax expense in the statement of operations.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accrual for interest and penalties related to uncertain tax positions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xml:space="preserve"> – </w:t>
      </w:r>
      <w:r>
        <w:rPr>
          <w:rFonts w:ascii="Times New Roman" w:hAnsi="Times New Roman"/>
          <w:b/>
          <w:caps w:val="false"/>
          <w:smallCaps w:val="false"/>
          <w:sz w:val="20"/>
        </w:rPr>
        <w:t>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BRIUMVI (Ublituximab)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2012, </w:t>
      </w:r>
      <w:r>
        <w:rPr>
          <w:rFonts w:ascii="Times New Roman" w:hAnsi="Times New Roman"/>
          <w:caps w:val="false"/>
          <w:smallCaps w:val="false"/>
          <w:sz w:val="20"/>
        </w:rPr>
        <w:t>the Company entered into an exclusive license agreement with LFB Biotechnologies, GTC Biotherapeutics and LFB/GTC LLC, all wholly-owned subsidiaries of LFB Group, relating to the development of ublituximab (the LFB License Agreement). Under the terms of the LFB License Agreement, the Company acquired the exclusive worldwide rights (exclusive of France/Belgium) for the development and commercialization of ublituximab. From the inception of the LFB License Agreement, the Company incurred expenses of approximately $31.0 million related to the achievement of certain milestones under the LFB License Agreement. These expenses are included in other research and development expenses in the accompanying consolidated statements of operations. No further milestone payments remain payable under the LFB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$61.3 million, $30.7 million, and $8.7 million, respectively, related to the worldwide royalty due under the LFB License Agreement in cost of revenue based on U.S. sales of BRIUMVI.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approximately $19.2 million in royalties payable under the LFB License Agreement remained outstanding in accounts payable and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2012, </w:t>
      </w:r>
      <w:r>
        <w:rPr>
          <w:rFonts w:ascii="Times New Roman" w:hAnsi="Times New Roman"/>
          <w:caps w:val="false"/>
          <w:smallCaps w:val="false"/>
          <w:sz w:val="20"/>
        </w:rPr>
        <w:t>the Company entered into an exclusive (within the territory) sublicense agreement with Ildong Pharmaceutical Co. Ltd. (Ildong) relating to the development and commercialization of ublituximab in South Korea and Southeast Asia. Under the terms of the sublicense agreement, Ildong was granted a royalty bearing, exclusive right, including the right to grant sublicenses, to develop and commercialize ublituximab in South Korea, Taiwan, Singapore, Indonesia, Malaysia, Thailand, Philippines, Vietnam, and Myanmar.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An upfront payment of $2.0 million, which was received in </w:t>
      </w:r>
      <w:r>
        <w:rPr>
          <w:rStyle w:val="Emphasis"/>
          <w:rFonts w:ascii="Times New Roman" w:hAnsi="Times New Roman"/>
          <w:caps w:val="false"/>
          <w:smallCaps w:val="false"/>
          <w:sz w:val="20"/>
        </w:rPr>
        <w:t xml:space="preserve">December 2012, </w:t>
      </w:r>
      <w:r>
        <w:rPr>
          <w:rFonts w:ascii="Times New Roman" w:hAnsi="Times New Roman"/>
          <w:caps w:val="false"/>
          <w:smallCaps w:val="false"/>
          <w:sz w:val="20"/>
        </w:rPr>
        <w:t xml:space="preserve">net of $0.3 million of income tax withholdings, is recognized as license revenue on a straight-line basis over the life of the agreement, which is through the expiration of the last licensed patent right or fifteen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and represents the estimated period over which the Company has certain ongoing responsibilities under the sublicense agreement. The Company recorded license revenue of approximately $0.2 million for each of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had deferred revenue of zero and $0.2 million, respectively, associated with this $2 million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receive up to an additional $5.0 million in payments upon the achievement of pre-specified milestones. In addition, upon commercialization, Ildong will be required to make royalty payments to the Company on net sales of ublituximab in the sublicense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Neuraxpharm Commercialization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July 2023, </w:t>
      </w:r>
      <w:r>
        <w:rPr>
          <w:rFonts w:ascii="Times New Roman" w:hAnsi="Times New Roman"/>
          <w:caps w:val="false"/>
          <w:smallCaps w:val="false"/>
          <w:sz w:val="20"/>
        </w:rPr>
        <w:t>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w:t>
      </w:r>
      <w:r>
        <w:rPr>
          <w:rStyle w:val="Emphasis"/>
          <w:rFonts w:ascii="Times New Roman" w:hAnsi="Times New Roman"/>
          <w:caps w:val="false"/>
          <w:smallCaps w:val="false"/>
          <w:sz w:val="20"/>
        </w:rPr>
        <w:t>one</w:t>
      </w:r>
      <w:r>
        <w:rPr>
          <w:rFonts w:ascii="Times New Roman" w:hAnsi="Times New Roman"/>
          <w:caps w:val="false"/>
          <w:smallCaps w:val="false"/>
          <w:sz w:val="20"/>
        </w:rPr>
        <w:t>-time, non-refundable payment of $140.0 million upon contract execution and a $12.5 million milestone payment upon the </w:t>
      </w:r>
      <w:r>
        <w:rPr>
          <w:rStyle w:val="Emphasis"/>
          <w:rFonts w:ascii="Times New Roman" w:hAnsi="Times New Roman"/>
          <w:caps w:val="false"/>
          <w:smallCaps w:val="false"/>
          <w:sz w:val="20"/>
        </w:rPr>
        <w:t>first</w:t>
      </w:r>
      <w:r>
        <w:rPr>
          <w:rFonts w:ascii="Times New Roman" w:hAnsi="Times New Roman"/>
          <w:caps w:val="false"/>
          <w:smallCaps w:val="false"/>
          <w:sz w:val="20"/>
        </w:rPr>
        <w:t> key market commercial launch in the EU. The Company is eligible to receive up to an additional $492.5 million in milestone-based payments upon achievement of certain launch and commercial milestones. In addition, the Company will receive tiered double-digit royalties on net product sales up to 30%. During the years ended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royalty revenue of $5.6 million and $0.8 million, respectively, was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evaluated the Commercialization Agreement under ASC </w:t>
      </w:r>
      <w:r>
        <w:rPr>
          <w:rStyle w:val="Emphasis"/>
          <w:rFonts w:ascii="Times New Roman" w:hAnsi="Times New Roman"/>
          <w:caps w:val="false"/>
          <w:smallCaps w:val="false"/>
          <w:sz w:val="20"/>
        </w:rPr>
        <w:t>606</w:t>
      </w:r>
      <w:r>
        <w:rPr>
          <w:rFonts w:ascii="Times New Roman" w:hAnsi="Times New Roman"/>
          <w:caps w:val="false"/>
          <w:smallCaps w:val="false"/>
          <w:sz w:val="20"/>
        </w:rPr>
        <w:t>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(the Development and Regulatory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approximates a market-based price for BRIUMVI by Neuraxpharm in the Territory. The consideration received for optional purchases is generally received in advance of shipment and is recognized by the Company as deferred revenue until the related performance obligation is met. The performance obligation is met when control of the product passes to Neuraxpharm, at which time the optional purchases are recognized as a component of product revenue, net.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$30.0 million of deferred revenue related to optional purchases for which the performance obligation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met. This includes $1.8 million recorded in accounts receivable, net for consideration the Company has an unconditional right to receive from Neuraxpharm under the Commercialization Agreement. The Company reevaluates the consideration received, and performance obligations satisfied, at the end of each reporting period. Such reevaluations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result in a change to the amount of product revenue, net, recognized and deferred revenue.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Azer-cel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2024,</w:t>
      </w:r>
      <w:r>
        <w:rPr>
          <w:rFonts w:ascii="Times New Roman" w:hAnsi="Times New Roman"/>
          <w:caps w:val="false"/>
          <w:smallCaps w:val="false"/>
          <w:sz w:val="20"/>
        </w:rPr>
        <w:t>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Precision License Agreement, the Company made an upfront payment to Precision of $7.5 million, consisting of (i) $5.25 million in cash and (ii) $2.25 million, as an equity investment, for the purchase of 2,920,816 shares of Precision’s common stock.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Company made a deferred payment of $2.5 million to Precision consisting of an equity investment in Precision’s common stock at a 100% premium to the 30-day volume-weighted average price (the </w:t>
      </w:r>
      <w:r>
        <w:rPr>
          <w:rStyle w:val="Emphasis"/>
          <w:rFonts w:ascii="Times New Roman" w:hAnsi="Times New Roman"/>
          <w:caps w:val="false"/>
          <w:smallCaps w:val="false"/>
          <w:sz w:val="20"/>
        </w:rPr>
        <w:t>30</w:t>
      </w:r>
      <w:r>
        <w:rPr>
          <w:rFonts w:ascii="Times New Roman" w:hAnsi="Times New Roman"/>
          <w:caps w:val="false"/>
          <w:smallCaps w:val="false"/>
          <w:sz w:val="20"/>
        </w:rPr>
        <w:t>-day VWAP) prior to purchase. Upon achievement of certain near-term clinical or time-based milestones, the Company will make a $7.5 million payment to Precision, a portion of which will also be an equity investment in Precision’s common stock at a 100% premium to the 30-day VWAP prior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the licensed product in such country. As of </w:t>
      </w:r>
      <w:r>
        <w:rPr>
          <w:rStyle w:val="Emphasis"/>
          <w:rFonts w:ascii="Times New Roman" w:hAnsi="Times New Roman"/>
          <w:caps w:val="false"/>
          <w:smallCaps w:val="false"/>
          <w:sz w:val="20"/>
        </w:rPr>
        <w:t>December 31, 2025, none</w:t>
      </w:r>
      <w:r>
        <w:rPr>
          <w:rFonts w:ascii="Times New Roman" w:hAnsi="Times New Roman"/>
          <w:caps w:val="false"/>
          <w:smallCaps w:val="false"/>
          <w:sz w:val="20"/>
        </w:rPr>
        <w:t xml:space="preserve"> of the near-term clinical milestones have been achieved.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MaxCyte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10, 2025, </w:t>
      </w:r>
      <w:r>
        <w:rPr>
          <w:rFonts w:ascii="Times New Roman" w:hAnsi="Times New Roman"/>
          <w:caps w:val="false"/>
          <w:smallCaps w:val="false"/>
          <w:sz w:val="20"/>
        </w:rPr>
        <w:t>the Company entered into the Strategic Platform License Agreement with MaxCyte, Inc (MaxCyte). which granted a non-exclusive, non-transferable license for the Company to use MaxCyte’s cell loading technology (licensed technology) to develop and commercialize products for the treatment of autoimmune and other non-oncology diseases and conditions, including azer-cel, licensed by the Company from Precision in </w:t>
      </w:r>
      <w:r>
        <w:rPr>
          <w:rStyle w:val="Emphasis"/>
          <w:rFonts w:ascii="Times New Roman" w:hAnsi="Times New Roman"/>
          <w:caps w:val="false"/>
          <w:smallCaps w:val="false"/>
          <w:sz w:val="20"/>
        </w:rPr>
        <w:t xml:space="preserve"> January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MaxCyte is eligible to receive royalty payments on net sales of approved products developed with the licensed technology at a royalty rate in the low-single digits. Upon the achievement of the </w:t>
      </w:r>
      <w:r>
        <w:rPr>
          <w:rStyle w:val="Emphasis"/>
          <w:rFonts w:ascii="Times New Roman" w:hAnsi="Times New Roman"/>
          <w:caps w:val="false"/>
          <w:smallCaps w:val="false"/>
          <w:sz w:val="20"/>
        </w:rPr>
        <w:t>first</w:t>
      </w:r>
      <w:r>
        <w:rPr>
          <w:rFonts w:ascii="Times New Roman" w:hAnsi="Times New Roman"/>
          <w:caps w:val="false"/>
          <w:smallCaps w:val="false"/>
          <w:sz w:val="20"/>
        </w:rPr>
        <w:t> dosing of a human subject in a pivotal trial for a product developed with the licensed technology the Company will make a $1.0 million payment to MaxCyte. MaxCyte is also eligible to receive up to $13.0 million in additional milestone payments based on the achievement of certain regulatory marketing approvals. The Company is required to pay an annual licensing fee of approximately $0.2 million for access to the licensed technology.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Strategic Platform License Agreement expires on the ten-year anniversary unless the Company achieves at least </w:t>
      </w:r>
      <w:r>
        <w:rPr>
          <w:rStyle w:val="Emphasis"/>
          <w:rFonts w:ascii="Times New Roman" w:hAnsi="Times New Roman"/>
          <w:caps w:val="false"/>
          <w:smallCaps w:val="false"/>
          <w:sz w:val="20"/>
        </w:rPr>
        <w:t>one</w:t>
      </w:r>
      <w:r>
        <w:rPr>
          <w:rFonts w:ascii="Times New Roman" w:hAnsi="Times New Roman"/>
          <w:caps w:val="false"/>
          <w:smallCaps w:val="false"/>
          <w:sz w:val="20"/>
        </w:rPr>
        <w:t> of the milestone events prior to that date. The Company has the option, at its sole discretion, to extend the term of the Strategic Platform License Agreement beyond the initial ten years for successive renewal terms of five years each, as long as all applicable licensing fees and milestone payments are paid timely and the Company provides MaxCyte at least ninety days written notice prior to the expiration of the then-current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TG Therapeutics, Inc. and Subsidiaries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1701:</w:t>
      </w:r>
      <w:r>
        <w:rPr>
          <w:rFonts w:ascii="Times New Roman" w:hAnsi="Times New Roman"/>
          <w:caps w:val="false"/>
          <w:smallCaps w:val="false"/>
          <w:sz w:val="20"/>
        </w:rPr>
        <w:t> </w:t>
      </w:r>
      <w:r>
        <w:rPr>
          <w:rFonts w:ascii="Times New Roman" w:hAnsi="Times New Roman"/>
          <w:b/>
          <w:i/>
          <w:caps w:val="false"/>
          <w:smallCaps w:val="false"/>
          <w:sz w:val="20"/>
        </w:rPr>
        <w:t>BTK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2018,</w:t>
      </w:r>
      <w:r>
        <w:rPr>
          <w:rFonts w:ascii="Times New Roman" w:hAnsi="Times New Roman"/>
          <w:caps w:val="false"/>
          <w:smallCaps w:val="false"/>
          <w:sz w:val="20"/>
        </w:rPr>
        <w:t> the Company entered into a global exclusive license agreement with Jiangsu Hengrui Medicine Co. (Hengrui), to acquire worldwide intellectual property rights, excluding Asia but including Japan, for the research, development, manufacturing, and commercialization of products containing or comprising any of Hengrui’s Brutons Tyrosine Kinase inhibitors, containing the compounds of TG-</w:t>
      </w:r>
      <w:r>
        <w:rPr>
          <w:rStyle w:val="Emphasis"/>
          <w:rFonts w:ascii="Times New Roman" w:hAnsi="Times New Roman"/>
          <w:caps w:val="false"/>
          <w:smallCaps w:val="false"/>
          <w:sz w:val="20"/>
        </w:rPr>
        <w:t>1701.</w:t>
      </w:r>
      <w:r>
        <w:rPr>
          <w:rFonts w:ascii="Times New Roman" w:hAnsi="Times New Roman"/>
          <w:caps w:val="false"/>
          <w:smallCaps w:val="false"/>
          <w:sz w:val="20"/>
        </w:rPr>
        <w:t> In </w:t>
      </w:r>
      <w:r>
        <w:rPr>
          <w:rStyle w:val="Emphasis"/>
          <w:rFonts w:ascii="Times New Roman" w:hAnsi="Times New Roman"/>
          <w:caps w:val="false"/>
          <w:smallCaps w:val="false"/>
          <w:sz w:val="20"/>
        </w:rPr>
        <w:t xml:space="preserve"> September 2025, </w:t>
      </w:r>
      <w:r>
        <w:rPr>
          <w:rFonts w:ascii="Times New Roman" w:hAnsi="Times New Roman"/>
          <w:caps w:val="false"/>
          <w:smallCaps w:val="false"/>
          <w:sz w:val="20"/>
        </w:rPr>
        <w:t>the Company and Jiangsu mutually agreed to terminate the license agreement for TG-</w:t>
      </w:r>
      <w:r>
        <w:rPr>
          <w:rStyle w:val="Emphasis"/>
          <w:rFonts w:ascii="Times New Roman" w:hAnsi="Times New Roman"/>
          <w:caps w:val="false"/>
          <w:smallCaps w:val="false"/>
          <w:sz w:val="20"/>
        </w:rPr>
        <w:t>1701.</w:t>
      </w:r>
      <w:r>
        <w:rPr>
          <w:rFonts w:ascii="Times New Roman" w:hAnsi="Times New Roman"/>
          <w:caps w:val="false"/>
          <w:smallCaps w:val="false"/>
          <w:sz w:val="20"/>
        </w:rPr>
        <w:t> As a result, all rights to the program reverted to Jiangsu,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further obligations for milestone or royalty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1801:</w:t>
      </w:r>
      <w:r>
        <w:rPr>
          <w:rFonts w:ascii="Times New Roman" w:hAnsi="Times New Roman"/>
          <w:caps w:val="false"/>
          <w:smallCaps w:val="false"/>
          <w:sz w:val="20"/>
        </w:rPr>
        <w:t> </w:t>
      </w:r>
      <w:r>
        <w:rPr>
          <w:rFonts w:ascii="Times New Roman" w:hAnsi="Times New Roman"/>
          <w:b/>
          <w:i/>
          <w:caps w:val="false"/>
          <w:smallCaps w:val="false"/>
          <w:sz w:val="20"/>
        </w:rPr>
        <w:t>anti-</w:t>
      </w:r>
      <w:r>
        <w:rPr>
          <w:rStyle w:val="Emphasis"/>
          <w:rFonts w:ascii="Times New Roman" w:hAnsi="Times New Roman"/>
          <w:b/>
          <w:i/>
          <w:caps w:val="false"/>
          <w:smallCaps w:val="false"/>
          <w:sz w:val="20"/>
        </w:rPr>
        <w:t>CD47/anti</w:t>
      </w:r>
      <w:r>
        <w:rPr>
          <w:rFonts w:ascii="Times New Roman" w:hAnsi="Times New Roman"/>
          <w:b/>
          <w:i/>
          <w:caps w:val="false"/>
          <w:smallCaps w:val="false"/>
          <w:sz w:val="20"/>
        </w:rPr>
        <w:t>-</w:t>
      </w:r>
      <w:r>
        <w:rPr>
          <w:rStyle w:val="Emphasis"/>
          <w:rFonts w:ascii="Times New Roman" w:hAnsi="Times New Roman"/>
          <w:b/>
          <w:i/>
          <w:caps w:val="false"/>
          <w:smallCaps w:val="false"/>
          <w:sz w:val="20"/>
        </w:rPr>
        <w:t>CD19</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2018,</w:t>
      </w:r>
      <w:r>
        <w:rPr>
          <w:rFonts w:ascii="Times New Roman" w:hAnsi="Times New Roman"/>
          <w:caps w:val="false"/>
          <w:smallCaps w:val="false"/>
          <w:sz w:val="20"/>
        </w:rPr>
        <w:t> the Company entered into a Joint Venture and License Option Agreement with Novimmune SA (Novimmune) to collaborate on the development and commercialization of Novimmune’s novel </w:t>
      </w:r>
      <w:r>
        <w:rPr>
          <w:rStyle w:val="Emphasis"/>
          <w:rFonts w:ascii="Times New Roman" w:hAnsi="Times New Roman"/>
          <w:caps w:val="false"/>
          <w:smallCaps w:val="false"/>
          <w:sz w:val="20"/>
        </w:rPr>
        <w:t>first</w:t>
      </w:r>
      <w:r>
        <w:rPr>
          <w:rFonts w:ascii="Times New Roman" w:hAnsi="Times New Roman"/>
          <w:caps w:val="false"/>
          <w:smallCaps w:val="false"/>
          <w:sz w:val="20"/>
        </w:rPr>
        <w:t>-in-class anti-</w:t>
      </w:r>
      <w:r>
        <w:rPr>
          <w:rStyle w:val="Emphasis"/>
          <w:rFonts w:ascii="Times New Roman" w:hAnsi="Times New Roman"/>
          <w:caps w:val="false"/>
          <w:smallCaps w:val="false"/>
          <w:sz w:val="20"/>
        </w:rPr>
        <w:t>CD47/anti</w:t>
      </w:r>
      <w:r>
        <w:rPr>
          <w:rFonts w:ascii="Times New Roman" w:hAnsi="Times New Roman"/>
          <w:caps w:val="false"/>
          <w:smallCaps w:val="false"/>
          <w:sz w:val="20"/>
        </w:rPr>
        <w:t>-</w:t>
      </w:r>
      <w:r>
        <w:rPr>
          <w:rStyle w:val="Emphasis"/>
          <w:rFonts w:ascii="Times New Roman" w:hAnsi="Times New Roman"/>
          <w:caps w:val="false"/>
          <w:smallCaps w:val="false"/>
          <w:sz w:val="20"/>
        </w:rPr>
        <w:t>CD19</w:t>
      </w:r>
      <w:r>
        <w:rPr>
          <w:rFonts w:ascii="Times New Roman" w:hAnsi="Times New Roman"/>
          <w:caps w:val="false"/>
          <w:smallCaps w:val="false"/>
          <w:sz w:val="20"/>
        </w:rPr>
        <w:t> bispecific antibody known as TG-</w:t>
      </w:r>
      <w:r>
        <w:rPr>
          <w:rStyle w:val="Emphasis"/>
          <w:rFonts w:ascii="Times New Roman" w:hAnsi="Times New Roman"/>
          <w:caps w:val="false"/>
          <w:smallCaps w:val="false"/>
          <w:sz w:val="20"/>
        </w:rPr>
        <w:t>1801</w:t>
      </w:r>
      <w:r>
        <w:rPr>
          <w:rFonts w:ascii="Times New Roman" w:hAnsi="Times New Roman"/>
          <w:caps w:val="false"/>
          <w:smallCaps w:val="false"/>
          <w:sz w:val="20"/>
        </w:rPr>
        <w:t> (previously NI-</w:t>
      </w:r>
      <w:r>
        <w:rPr>
          <w:rStyle w:val="Emphasis"/>
          <w:rFonts w:ascii="Times New Roman" w:hAnsi="Times New Roman"/>
          <w:caps w:val="false"/>
          <w:smallCaps w:val="false"/>
          <w:sz w:val="20"/>
        </w:rPr>
        <w:t>1701</w:t>
      </w:r>
      <w:r>
        <w:rPr>
          <w:rFonts w:ascii="Times New Roman" w:hAnsi="Times New Roman"/>
          <w:caps w:val="false"/>
          <w:smallCaps w:val="false"/>
          <w:sz w:val="20"/>
        </w:rPr>
        <w:t>). In </w:t>
      </w:r>
      <w:r>
        <w:rPr>
          <w:rStyle w:val="Emphasis"/>
          <w:rFonts w:ascii="Times New Roman" w:hAnsi="Times New Roman"/>
          <w:caps w:val="false"/>
          <w:smallCaps w:val="false"/>
          <w:sz w:val="20"/>
        </w:rPr>
        <w:t xml:space="preserve"> April 2025, </w:t>
      </w:r>
      <w:r>
        <w:rPr>
          <w:rFonts w:ascii="Times New Roman" w:hAnsi="Times New Roman"/>
          <w:caps w:val="false"/>
          <w:smallCaps w:val="false"/>
          <w:sz w:val="20"/>
        </w:rPr>
        <w:t>the Company and Novimmune mutually agreed to terminate the Joint Venture and License Option Agreement. As a result, all rights to the program reverted to Novimmune,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further obligations for milestone or royalty payments.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2015,</w:t>
      </w:r>
      <w:r>
        <w:rPr>
          <w:rFonts w:ascii="Times New Roman" w:hAnsi="Times New Roman"/>
          <w:caps w:val="false"/>
          <w:smallCaps w:val="false"/>
          <w:sz w:val="20"/>
        </w:rPr>
        <w:t xml:space="preserve"> the Company entered into a Shared Services Agreement (the Shared Services Agreement) with FBIO to share the cost of certain services, such as facilities use, personnel costs and other overhead and administrative costs. The Shared Services Agreement requires the Company to pay its respective share of services utilized. In connection with the Shared Services Agreement, the Company incurred expenses of approximately $1.2 million, $1.3 million, and $0.9 million for shared services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 primarily related to shared personnel. Mr. Weiss, the Company's Chairman and Chief Executive Officer, also serves as a director and Executive Vice Chairman, Strategic Development of FBIO.</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Please refer to Note </w:t>
      </w:r>
      <w:r>
        <w:rPr>
          <w:rStyle w:val="Emphasis"/>
          <w:rFonts w:ascii="Times New Roman" w:hAnsi="Times New Roman"/>
          <w:caps w:val="false"/>
          <w:smallCaps w:val="false"/>
          <w:sz w:val="20"/>
        </w:rPr>
        <w:t>8</w:t>
      </w:r>
      <w:r>
        <w:rPr>
          <w:rFonts w:ascii="Times New Roman" w:hAnsi="Times New Roman"/>
          <w:caps w:val="false"/>
          <w:smallCaps w:val="false"/>
          <w:sz w:val="20"/>
        </w:rPr>
        <w:t> - Leases for details regarding the Office Agreement with FBIO.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contracts with various </w:t>
      </w:r>
      <w:r>
        <w:rPr>
          <w:rStyle w:val="Emphasis"/>
          <w:rFonts w:ascii="Times New Roman" w:hAnsi="Times New Roman"/>
          <w:caps w:val="false"/>
          <w:smallCaps w:val="false"/>
          <w:sz w:val="20"/>
        </w:rPr>
        <w:t>third</w:t>
      </w:r>
      <w:r>
        <w:rPr>
          <w:rFonts w:ascii="Times New Roman" w:hAnsi="Times New Roman"/>
          <w:caps w:val="false"/>
          <w:smallCaps w:val="false"/>
          <w:sz w:val="20"/>
        </w:rPr>
        <w:t> parties to conduct certain activities including clinical operations and contract manufacturing, and for the clinical and commercial supply of BRIUMVI. Certain contracts contain non-cancelable features or require the Company to make binding forecasts for future purchases.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Company had aggregate non-cancelable purchase commitments of $327.9 million, of which $102.3 million, $109.1 million, and $116.5 million are expected to be incurred in the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and </w:t>
      </w:r>
      <w:r>
        <w:rPr>
          <w:rStyle w:val="Emphasis"/>
          <w:rFonts w:ascii="Times New Roman" w:hAnsi="Times New Roman"/>
          <w:caps w:val="false"/>
          <w:smallCaps w:val="false"/>
          <w:sz w:val="20"/>
        </w:rPr>
        <w:t>2028</w:t>
      </w:r>
      <w:r>
        <w:rPr>
          <w:rFonts w:ascii="Times New Roman" w:hAnsi="Times New Roman"/>
          <w:caps w:val="false"/>
          <w:smallCaps w:val="false"/>
          <w:sz w:val="20"/>
        </w:rPr>
        <w:t>, respectively. These amounts do </w:t>
      </w:r>
      <w:r>
        <w:rPr>
          <w:rStyle w:val="Emphasis"/>
          <w:rFonts w:ascii="Times New Roman" w:hAnsi="Times New Roman"/>
          <w:caps w:val="false"/>
          <w:smallCaps w:val="false"/>
          <w:sz w:val="20"/>
        </w:rPr>
        <w:t>not</w:t>
      </w:r>
      <w:r>
        <w:rPr>
          <w:rFonts w:ascii="Times New Roman" w:hAnsi="Times New Roman"/>
          <w:caps w:val="false"/>
          <w:smallCaps w:val="false"/>
          <w:sz w:val="20"/>
        </w:rPr>
        <w:t> represent the Company's entire anticipated purchase requirements, as the amounts of such obligations will ultimately be dependent on the timing of future orders and the terms of the existing and future agreements, which cannot be reasonably estimated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 for a detail description of the Company's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 for a detailed description of the Company's lease arrangements in New York and North Carolina.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1985"/>
        <w:gridCol w:w="410"/>
        <w:gridCol w:w="3125"/>
      </w:tblGrid>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February 27, 2026</w:t>
            </w:r>
          </w:p>
        </w:tc>
        <w:tc>
          <w:tcPr>
            <w:tcW w:w="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 Weiss </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6" w:name="poa"/>
      <w:bookmarkEnd w:id="36"/>
      <w:r>
        <w:rPr>
          <w:rFonts w:ascii="Times New Roman" w:hAnsi="Times New Roman"/>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this Form 10-K has been signed by the following persons on behalf of the Registrant on February 27, 2026, and in the capacities indicated:</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1970"/>
        <w:gridCol w:w="60"/>
        <w:gridCol w:w="4715"/>
      </w:tblGrid>
      <w:tr>
        <w:trPr/>
        <w:tc>
          <w:tcPr>
            <w:tcW w:w="19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47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r>
      <w:tr>
        <w:trPr/>
        <w:tc>
          <w:tcPr>
            <w:tcW w:w="1970" w:type="dxa"/>
            <w:tcBorders/>
            <w:tcMar>
              <w:bottom w:w="0" w:type="dxa"/>
            </w:tcMar>
            <w:vAlign w:val="center"/>
          </w:tcPr>
          <w:p>
            <w:pPr>
              <w:pStyle w:val="TableContents"/>
              <w:bidi w:val="0"/>
              <w:spacing w:before="0" w:after="0"/>
              <w:ind w:left="40" w:right="0" w:hanging="0"/>
              <w:jc w:val="center"/>
              <w:rPr>
                <w:rFonts w:ascii="Times New Roman" w:hAnsi="Times New Roman"/>
                <w:caps w:val="false"/>
                <w:smallCaps w:val="false"/>
                <w:sz w:val="20"/>
              </w:rPr>
            </w:pPr>
            <w:r>
              <w:rPr>
                <w:rFonts w:ascii="Times New Roman" w:hAnsi="Times New Roman"/>
                <w:caps w:val="false"/>
                <w:smallCaps w:val="false"/>
                <w:sz w:val="20"/>
              </w:rPr>
              <w:t>/s/ Michael S. Weiss</w:t>
              <w:br/>
              <w:t>Michael S. Weiss</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Sean A. Power</w:t>
              <w:br/>
              <w:t>Sean A. Power</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Treasurer and Corporate Secretary</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Laurence N. Charney</w:t>
              <w:br/>
              <w:t>Laurence N. Charney</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Yann Echelard</w:t>
              <w:br/>
              <w:t>Yann Echelard</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Kenneth Hoberman</w:t>
              <w:br/>
              <w:t>Kenneth Hoberman</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Daniel Hume</w:t>
              <w:br/>
              <w:t>Daniel Hume</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Sagar Lonial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Sagar Lonial</w:t>
            </w:r>
          </w:p>
        </w:tc>
        <w:tc>
          <w:tcPr>
            <w:tcW w:w="6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F-26 </w:t>
      </w:r>
    </w:p>
    <w:p>
      <w:pPr>
        <w:pStyle w:val="TextBody"/>
        <w:bidi w:val="0"/>
        <w:spacing w:before="0" w:after="0"/>
        <w:ind w:left="0" w:right="0" w:hanging="0"/>
        <w:jc w:val="right"/>
        <w:rPr>
          <w:rFonts w:ascii="Times New Roman;Times;serif" w:hAnsi="Times New Roman;Times;serif"/>
          <w:b/>
          <w:sz w:val="20"/>
        </w:rPr>
      </w:pPr>
      <w:bookmarkStart w:id="37" w:name="ex_925369.htm"/>
      <w:bookmarkStart w:id="38" w:name="ksex_925369"/>
      <w:bookmarkEnd w:id="37"/>
      <w:bookmarkEnd w:id="38"/>
      <w:r>
        <w:rPr>
          <w:rFonts w:ascii="Times New Roman;Times;serif" w:hAnsi="Times New Roman;Times;serif"/>
          <w:b/>
          <w:sz w:val="20"/>
        </w:rPr>
        <w:t>Exhibit 10.25</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STOCK TRACKING UNIT AWARD CERTIFICATE</w:t>
        <w:br/>
        <w:t>CASH ONLY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Non-transferable</w:t>
        <w:br/>
        <w:t>GRANT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TG Therapeutics, Inc. (the "Company") of an Award of [             ] Stock Tracking Units (which qualifies as an “Other- Stock Based Award” under the TG Therapeutics, Inc. 2022 Incentive Plan (the "Plan")), each of which represents the right to receive an amount payable solely in cash equal to the Fair Market Value of one (1) share of the Company's common stock, $0.001 par value, pursuant to and subject to the provisions of the Plan and to the terms and conditions set forth on the following page (the "Terms and Conditions"). By accepting the grant of Stock Tracking Units, Grantee shall be deemed to have agreed to the terms and conditions set forth in this Certificate and the Plan. Capitalized terms used herein and not otherwise defined shall have the meanings assigned to such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vesting is accelerated in accordance with the Plan, the Stock Tracking Units shall vest (become non-forfeitable) in accordance with the following schedule, provided that Grantee remains in Continuous Service on each applicable vesting date:</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7" w:type="dxa"/>
        <w:tblLayout w:type="fixed"/>
        <w:tblCellMar>
          <w:top w:w="28" w:type="dxa"/>
          <w:left w:w="28" w:type="dxa"/>
          <w:bottom w:w="28" w:type="dxa"/>
          <w:right w:w="28" w:type="dxa"/>
        </w:tblCellMar>
      </w:tblPr>
      <w:tblGrid>
        <w:gridCol w:w="1085"/>
        <w:gridCol w:w="60"/>
        <w:gridCol w:w="2720"/>
      </w:tblGrid>
      <w:tr>
        <w:trPr/>
        <w:tc>
          <w:tcPr>
            <w:tcW w:w="10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Vesting Date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27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Stock Tracking Units Vested</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TG Therapeutics, Inc., acting by and through its duly authorized officers, has caused this Certificate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335"/>
        <w:gridCol w:w="60"/>
        <w:gridCol w:w="75"/>
      </w:tblGrid>
      <w:tr>
        <w:trPr/>
        <w:tc>
          <w:tcPr>
            <w:tcW w:w="3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49"/>
        <w:gridCol w:w="60"/>
        <w:gridCol w:w="5596"/>
      </w:tblGrid>
      <w:tr>
        <w:trPr/>
        <w:tc>
          <w:tcPr>
            <w:tcW w:w="45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TERMS AND CONDITIONS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1.    </w:t>
            </w:r>
            <w:r>
              <w:rPr>
                <w:rFonts w:ascii="Times New Roman" w:hAnsi="Times New Roman"/>
                <w:sz w:val="20"/>
                <w:u w:val="single"/>
              </w:rPr>
              <w:t>Restrictions</w:t>
            </w:r>
            <w:r>
              <w:rPr>
                <w:rFonts w:ascii="Times New Roman" w:hAnsi="Times New Roman"/>
                <w:sz w:val="20"/>
              </w:rPr>
              <w:t>. The Stock Tracking Units are subject to each of the following restrictions. Stock Tracking Units may not be sold, transferred, exchanged, assigned, pledged, hypothecated or otherwise encumbered. If Grantee's Continuous Service terminates for any reason, then Grantee shall forfeit all of Grantee's right, title and interest in and to any unvested Stock Tracking Units as of the date of termination, and such Stock Tracking Units shall revert to the Company immediately following the event of forfeiture. The restrictions imposed under this Paragraph 1 shall apply to all securities issued with respect to the Stock Tracking Units hereunder in connection with any merger, reorganization, consolidation, recapitalization, stock dividend or other change in corporate structure affecting the Stock Tracking Units.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Expiration and Termination of Restrictions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caps w:val="false"/>
                <w:smallCaps w:val="false"/>
                <w:sz w:val="20"/>
              </w:rPr>
              <w:t>The time-based vesting restrictions imposed with respect to the Stock Tracking Units will expire on the earliest to occur of the following: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as to the number of the Stock Tracking Units specified on the cover page hereof, on the respective dates specified on such cover page, provided that Grantee remains in Continuous Service on each applicable vesting date; 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if the Stock Tracking Units are not assumed by the surviving entity or otherwise equitably converted or substituted in connection with a Change in Control in a manner approved by the Committee or the Board, then as to 100% of the Stock Tracking Units on the occurrence of such Change in Control, provided Grantee remains in Continuous Service through the date of such change in Control;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if the Stock Tracking Units are assumed by the surviving entity or otherwise equitably converted or substituted in connection with a Change in Control in a manner approved by the Committee or the Board, then as to 100% of the Stock Tracking Units on the occurrence of Grantee's termination of employment without Cause or resignation for Good Reason within two years following such Change in Control.</w:t>
            </w:r>
          </w:p>
        </w:tc>
        <w:tc>
          <w:tcPr>
            <w:tcW w:w="60" w:type="dxa"/>
            <w:tcBorders/>
            <w:vAlign w:val="center"/>
          </w:tcPr>
          <w:p>
            <w:pPr>
              <w:pStyle w:val="TableContents"/>
              <w:bidi w:val="0"/>
              <w:spacing w:before="0" w:after="283"/>
              <w:jc w:val="left"/>
              <w:rPr/>
            </w:pPr>
            <w:r>
              <w:rPr/>
              <w:t> </w:t>
            </w:r>
          </w:p>
        </w:tc>
        <w:tc>
          <w:tcPr>
            <w:tcW w:w="559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3.     </w:t>
            </w:r>
            <w:r>
              <w:rPr>
                <w:rFonts w:ascii="Times New Roman" w:hAnsi="Times New Roman"/>
                <w:sz w:val="20"/>
                <w:u w:val="single"/>
              </w:rPr>
              <w:t>Cash Payment</w:t>
            </w:r>
            <w:r>
              <w:rPr>
                <w:rFonts w:ascii="Times New Roman" w:hAnsi="Times New Roman"/>
                <w:sz w:val="20"/>
              </w:rPr>
              <w:t>. Subject to the other terms of the Plan and this Certificate, with respect to each Stock Tracking Unit that becomes vested in accordance with vesting schedule set forth on the cover page, you shall receive a payment, solely in cash, equal to the Fair Market Value of one (1) share of the Company's common stock, $0.001 par value, as determined by the Committee, no later than thirty (30) days after the applicable Vesting Date specified in the cover page.</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Stockholder Rights</w:t>
            </w:r>
            <w:r>
              <w:rPr>
                <w:rFonts w:ascii="Times New Roman" w:hAnsi="Times New Roman"/>
                <w:caps w:val="false"/>
                <w:smallCaps w:val="false"/>
                <w:sz w:val="20"/>
              </w:rPr>
              <w:t>. Grantee shall have none of the voting rights or other rights of a stockholder with respect to Stock Tracking Units.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Limitation of Rights</w:t>
            </w:r>
            <w:r>
              <w:rPr>
                <w:rFonts w:ascii="Times New Roman" w:hAnsi="Times New Roman"/>
                <w:caps w:val="false"/>
                <w:smallCaps w:val="false"/>
                <w:sz w:val="20"/>
              </w:rPr>
              <w:t>. Nothing in this Certificate shall interfere with or limit in any way the right of the Company or any Affiliate to terminate Grantee's service at any time, nor confer upon Grantee any right to continue in the service of the Company or any Affiliate.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Payment of Taxes</w:t>
            </w:r>
            <w:r>
              <w:rPr>
                <w:rFonts w:ascii="Times New Roman" w:hAnsi="Times New Roman"/>
                <w:caps w:val="false"/>
                <w:smallCaps w:val="false"/>
                <w:sz w:val="20"/>
              </w:rPr>
              <w:t>. Grantee will, no later than the date as of which any amount related to the Stock Tracking Units first becomes includable in Grantee's gross income for federal income tax purposes, be required to pay to the Company, or make other arrangements satisfactory to the Committee regarding payment of, any federal, state, local and international taxes (including Grantee's FICA obligation) required by law to be withheld with respect to such amount. The obligations of the Company under this Certificate will be conditional on such payment or arrangements, and the Company or any employer Affiliate has the authority and the right to deduct or withhold a number of Stock Tracking Units, sufficient to satisfy amounts required by law to be withheld with respect to any taxable event related to the Stock Tracking Units. If Stock Tracking Units are withheld, such number shall be determined based on the Fair Market Value on the date of withholding equal to the amount required to be withheld in accordance with applicable tax requirements, all in accordance with such procedures as the Company establishes.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170"/>
        <w:gridCol w:w="60"/>
        <w:gridCol w:w="3975"/>
      </w:tblGrid>
      <w:tr>
        <w:trPr/>
        <w:tc>
          <w:tcPr>
            <w:tcW w:w="617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7.     </w:t>
            </w:r>
            <w:r>
              <w:rPr>
                <w:rFonts w:ascii="Times New Roman" w:hAnsi="Times New Roman"/>
                <w:sz w:val="20"/>
                <w:u w:val="single"/>
              </w:rPr>
              <w:t>Code Section 409A</w:t>
            </w:r>
            <w:r>
              <w:rPr>
                <w:rFonts w:ascii="Times New Roman" w:hAnsi="Times New Roman"/>
                <w:sz w:val="20"/>
              </w:rPr>
              <w:t>. It is the intent that the terms relating to the vesting and payment of the Stock Tracking Units as set forth in this Certificate shall qualify for exemption from or comply with the requirements of Section 409A of the Code, and any ambiguities herein will be interpreted to so qualify or comply. The Company reserves the right, in addition to all of its rights pursuant to the Plan, to the extent the Company deems necessary or advisable in its sole discretion, to unilaterally amend or modify this Certificate as may be necessary to ensure that all payments provided for with respect to the Stock Tracking Units are made in a manner that qualifies for exemption from or complies with Section 409A of the Code; provided, however, that tax treatment with respect to the Stock Tracking Units is not warranted or guaranteed. Neither the Company, its Affiliates nor their respective directors, officers, employees or advisers (other than in his or her capacity as a Participant) shall be held liable for any taxes, interest, penalties or other monetary amounts owed as a result of the Plan or the Stock Tracking Units.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8.     Clawback. The Stock Tracking Units and any payments made in settlement thereof shall be subject to any compensation recoupment policy of the Company that is applicable by its terms to Grantee and to awards of this type.</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9.    </w:t>
            </w:r>
            <w:r>
              <w:rPr>
                <w:rFonts w:ascii="Times New Roman" w:hAnsi="Times New Roman"/>
                <w:sz w:val="20"/>
                <w:u w:val="single"/>
              </w:rPr>
              <w:t>Plan Controls</w:t>
            </w:r>
            <w:r>
              <w:rPr>
                <w:rFonts w:ascii="Times New Roman" w:hAnsi="Times New Roman"/>
                <w:sz w:val="20"/>
              </w:rPr>
              <w:t>. The terms contained in the Plan are incorporated into and made a part of this Certificate, and this Certificate shall be governed by and construed in accordance with the Plan. In the event of any actual or alleged conflict between the provisions of the Plan and the provisions of this Certificate, the provisions of the Plan shall be controlling and determinative.</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Successors</w:t>
            </w:r>
            <w:r>
              <w:rPr>
                <w:rFonts w:ascii="Times New Roman" w:hAnsi="Times New Roman"/>
                <w:caps w:val="false"/>
                <w:smallCaps w:val="false"/>
                <w:sz w:val="20"/>
              </w:rPr>
              <w:t>. This Certificate shall be binding upon any successor of the Company, in accordance with the terms of this Certificate and the Plan.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Severability</w:t>
            </w:r>
            <w:r>
              <w:rPr>
                <w:rFonts w:ascii="Times New Roman" w:hAnsi="Times New Roman"/>
                <w:caps w:val="false"/>
                <w:smallCaps w:val="false"/>
                <w:sz w:val="20"/>
              </w:rPr>
              <w:t>. If any one or more of the provisions contained in this Certificate is invalid, illegal or unenforceable, the other provisions of this Certificate will be construed and enforced as if the invalid, illegal or unenforceable provision had never been included.</w:t>
            </w:r>
          </w:p>
        </w:tc>
        <w:tc>
          <w:tcPr>
            <w:tcW w:w="60" w:type="dxa"/>
            <w:tcBorders/>
            <w:vAlign w:val="center"/>
          </w:tcPr>
          <w:p>
            <w:pPr>
              <w:pStyle w:val="TableContents"/>
              <w:bidi w:val="0"/>
              <w:spacing w:before="0" w:after="283"/>
              <w:jc w:val="left"/>
              <w:rPr/>
            </w:pPr>
            <w:r>
              <w:rPr/>
              <w:t> </w:t>
            </w:r>
          </w:p>
        </w:tc>
        <w:tc>
          <w:tcPr>
            <w:tcW w:w="3975" w:type="dxa"/>
            <w:tcBorders/>
            <w:vAlign w:val="center"/>
          </w:tcPr>
          <w:p>
            <w:pPr>
              <w:pStyle w:val="TableContents"/>
              <w:bidi w:val="0"/>
              <w:spacing w:lineRule="auto" w:line="288" w:before="0" w:after="283"/>
              <w:jc w:val="both"/>
              <w:rPr>
                <w:rFonts w:ascii="Times New Roman;Times;serif" w:hAnsi="Times New Roman;Times;serif"/>
                <w:sz w:val="20"/>
              </w:rPr>
            </w:pPr>
            <w:r>
              <w:rPr>
                <w:rFonts w:ascii="Times New Roman;Times;serif" w:hAnsi="Times New Roman;Times;serif"/>
                <w:sz w:val="20"/>
              </w:rPr>
              <w:t>12.    </w:t>
            </w:r>
            <w:r>
              <w:rPr>
                <w:rFonts w:ascii="Times New Roman;Times;serif" w:hAnsi="Times New Roman;Times;serif"/>
                <w:sz w:val="20"/>
                <w:u w:val="single"/>
              </w:rPr>
              <w:t>Notice</w:t>
            </w:r>
            <w:r>
              <w:rPr>
                <w:rFonts w:ascii="Times New Roman;Times;serif" w:hAnsi="Times New Roman;Times;serif"/>
                <w:sz w:val="20"/>
              </w:rPr>
              <w:t>. Notices and communications under this Certificate must be in writing and either personally delivered or sent by registered or certified United States mail, return receipt requested, postage prepaid. Notices to the Company must be addressed to TG Therapeutics, Inc., 2 Gansevoort St., 9th Floor, New York, NY 10014,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9" w:name="ex_925370.htm"/>
      <w:bookmarkStart w:id="40" w:name="ksex_925370"/>
      <w:bookmarkEnd w:id="39"/>
      <w:bookmarkEnd w:id="40"/>
      <w:r>
        <w:rPr>
          <w:rFonts w:ascii="Times New Roman;Times;serif" w:hAnsi="Times New Roman;Times;serif"/>
          <w:b/>
          <w:sz w:val="20"/>
        </w:rPr>
        <w:t>Exhibit 10.26</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STOCK TRACKING UNIT</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AWARD CERTIFICATE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OR STOCK FORM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Non-transferable</w:t>
      </w:r>
      <w:r>
        <w:rPr>
          <w:rFonts w:ascii="Times New Roman" w:hAnsi="Times New Roman"/>
          <w:caps w:val="false"/>
          <w:smallCaps w:val="false"/>
          <w:sz w:val="20"/>
        </w:rPr>
        <w:br/>
        <w:t>GRANT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w:t>
        <w:br/>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Grantee</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TG Therapeutics, Inc. (the “Company”) of an Award of [              ] Stock Tracking Units (which qualifies as an “Other-Stock Based Award” under the TG Therapeutics, Inc. 2022 Incentive Plan (the "Plan")), each of which represents the right to receive one (1) share of the Company’s common stock, $0.001 par value or the equivalent Fair Market Value of such share in cash, pursuant to and subject to the provisions of the Plan and to the terms and conditions set forth on the following page (the “Terms and Conditions”). By accepting the grant of Stock Tracking Units, Grantee shall be deemed to have agreed to the terms and conditions set forth in this Certificate and the Plan. Capitalized terms used herein and not otherwise defined shall have the meanings assigned to such terms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vesting is accelerated in accordance with the Plan, the Stock Tracking Units shall vest (become non-forfeitable) in accordance with the following schedule, provided that Grantee remains in Continuous Service on each applicable vesting date:</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7" w:type="dxa"/>
        <w:tblLayout w:type="fixed"/>
        <w:tblCellMar>
          <w:top w:w="28" w:type="dxa"/>
          <w:left w:w="28" w:type="dxa"/>
          <w:bottom w:w="28" w:type="dxa"/>
          <w:right w:w="28" w:type="dxa"/>
        </w:tblCellMar>
      </w:tblPr>
      <w:tblGrid>
        <w:gridCol w:w="1085"/>
        <w:gridCol w:w="60"/>
        <w:gridCol w:w="2165"/>
      </w:tblGrid>
      <w:tr>
        <w:trPr/>
        <w:tc>
          <w:tcPr>
            <w:tcW w:w="10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Vesting Date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21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 of Stock Tracking Units </w:t>
            </w:r>
          </w:p>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Vested</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0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216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TG Therapeutics, Inc., acting by and through its duly authorized officers, has caused this Certificate to be duly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THERAPEUTICS, INC.</w:t>
      </w:r>
    </w:p>
    <w:tbl>
      <w:tblPr>
        <w:tblW w:w="1420" w:type="dxa"/>
        <w:jc w:val="left"/>
        <w:tblInd w:w="0" w:type="dxa"/>
        <w:tblLayout w:type="fixed"/>
        <w:tblCellMar>
          <w:top w:w="0" w:type="dxa"/>
          <w:left w:w="0" w:type="dxa"/>
          <w:bottom w:w="0" w:type="dxa"/>
          <w:right w:w="0" w:type="dxa"/>
        </w:tblCellMar>
      </w:tblPr>
      <w:tblGrid>
        <w:gridCol w:w="335"/>
        <w:gridCol w:w="60"/>
        <w:gridCol w:w="60"/>
        <w:gridCol w:w="965"/>
      </w:tblGrid>
      <w:tr>
        <w:trPr/>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Michael S . Weiss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91"/>
        <w:gridCol w:w="60"/>
        <w:gridCol w:w="5754"/>
      </w:tblGrid>
      <w:tr>
        <w:trPr/>
        <w:tc>
          <w:tcPr>
            <w:tcW w:w="4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TERMS AND CONDITIONS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Restrictions</w:t>
            </w:r>
            <w:r>
              <w:rPr>
                <w:rFonts w:ascii="Times New Roman" w:hAnsi="Times New Roman"/>
                <w:caps w:val="false"/>
                <w:smallCaps w:val="false"/>
                <w:sz w:val="20"/>
              </w:rPr>
              <w:t>. The Stock Tracking Units are subject to each of the following restrictions. Stock Tracking Units may not be sold, transferred, exchanged, assigned, pledged, hypothecated or otherwise encumbered. If Grantee’s Continuous Service terminates for any reason, then Grantee shall forfeit all of Grantee’s right, title and interest in and to any unvested Stock Tracking Units as of the date of termination, and such Stock Tracking Units shall revert to the Company immediately following the event of forfeiture. The restrictions imposed under this Paragraph 1 shall apply to all securities issued with respect to the Stock Tracking Units hereunder in connection with any merger, reorganization, consolidation, recapitalization, stock dividend or other change in corporate structure affecting the Stock Tracking Units.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Expiration and Termination of Restrictions</w:t>
            </w:r>
            <w:r>
              <w:rPr>
                <w:rFonts w:ascii="Times New Roman" w:hAnsi="Times New Roman"/>
                <w:caps w:val="false"/>
                <w:smallCaps w:val="false"/>
                <w:sz w:val="20"/>
              </w:rPr>
              <w:t>. The time-based vesting restrictions imposed with respect to the Stock Tracking Units will expire on the earliest to occur of the following: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as to the number of the Stock Tracking Units specified on the cover page hereof, on the respective dates specified on such cover page, provided that Grantee remains in Continuous Service on each applicable vesting date; 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    if the Stock Tracking Units are not assumed by the surviving entity or otherwise equitably converted or substituted in connection with a Change in Control in a manner approved by the Committee or the Board, then as to 100% of the Stock Tracking Units on the occurrence of such Change in Control, provided Grantee remains in Continuous Service through the date of such Change in Control;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    if the Stock Tracking Units are assumed by the surviving entity or otherwise equitably converted or substituted in connection with a Change in Control in a manner approved by the Committee or the Board, then as to 100% of the Stock Tracking Units on the occurrence of Grantee’s termination of employment without Cause or resignation for Good Reason within two years following such Change in Control.</w:t>
            </w:r>
          </w:p>
        </w:tc>
        <w:tc>
          <w:tcPr>
            <w:tcW w:w="60" w:type="dxa"/>
            <w:tcBorders/>
            <w:vAlign w:val="center"/>
          </w:tcPr>
          <w:p>
            <w:pPr>
              <w:pStyle w:val="TableContents"/>
              <w:bidi w:val="0"/>
              <w:spacing w:before="0" w:after="283"/>
              <w:jc w:val="left"/>
              <w:rPr/>
            </w:pPr>
            <w:r>
              <w:rPr/>
              <w:t> </w:t>
            </w:r>
          </w:p>
        </w:tc>
        <w:tc>
          <w:tcPr>
            <w:tcW w:w="57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Payment</w:t>
            </w:r>
            <w:r>
              <w:rPr>
                <w:rFonts w:ascii="Times New Roman" w:hAnsi="Times New Roman"/>
                <w:caps w:val="false"/>
                <w:smallCaps w:val="false"/>
                <w:sz w:val="20"/>
              </w:rPr>
              <w:t>. Subject to the other terms of the Plan and this Certificate, with respect to any Stock Tracking Units that become vested in accordance with vesting schedule set forth on the cover page, you shall receive a payment via either (as determined in the sole discretion of the Committee) an issuance of shares or a cash payment equal to the Fair Market Value of such shares no later than thirty (30) days after the applicable Vesting Date specified in the Grant Notice. Shares of the Company’s common stock issued pursuant to the vesting and payment of any Stock Tracking Units may be subject to such restrictions upon the sale, pledge or other transfer of the stock as the Company and the Company’s counsel deem necessary under applicable law or pursuant to the Plan or this Certificate. The delivery of any shares of stock issuable pursuant to the vesting and payment of any Stock Tracking Units may be postponed for such period as may be required for the Company with reasonable diligence to comply, if deemed advisable by the Company, with registration requirements under the 1933 Act, listing requirements of any Exchange, and requirements under any other law or regulation applicable to the issuance the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Stockholder Rights</w:t>
            </w:r>
            <w:r>
              <w:rPr>
                <w:rFonts w:ascii="Times New Roman" w:hAnsi="Times New Roman"/>
                <w:caps w:val="false"/>
                <w:smallCaps w:val="false"/>
                <w:sz w:val="20"/>
              </w:rPr>
              <w:t>. Grantee shall have none of the voting rights or other rights of a stockholder with respect to Stock Tracking Units until such time, if any, as shares of the Company’s common stock are paid in settlement of such Stock Tracking Units.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Limitation of Rights</w:t>
            </w:r>
            <w:r>
              <w:rPr>
                <w:rFonts w:ascii="Times New Roman" w:hAnsi="Times New Roman"/>
                <w:caps w:val="false"/>
                <w:smallCaps w:val="false"/>
                <w:sz w:val="20"/>
              </w:rPr>
              <w:t>. Nothing in this Certificate shall interfere with or limit in any way the right of the Company or any Affiliate to terminate Grantee’s service at any time, nor confer upon Grantee any right to continue in the service of the Company or any Affiliate.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656"/>
        <w:gridCol w:w="60"/>
        <w:gridCol w:w="3489"/>
      </w:tblGrid>
      <w:tr>
        <w:trPr/>
        <w:tc>
          <w:tcPr>
            <w:tcW w:w="66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Payment of Taxes</w:t>
            </w:r>
            <w:r>
              <w:rPr>
                <w:rFonts w:ascii="Times New Roman" w:hAnsi="Times New Roman"/>
                <w:caps w:val="false"/>
                <w:smallCaps w:val="false"/>
                <w:sz w:val="20"/>
              </w:rPr>
              <w:t>. Grantee will, no later than the date as of which any amount related to the Stock Tracking Units first becomes includable in Grantee’s gross income for federal income tax purposes, be required to pay to the Company, or make other arrangements satisfactory to the Committee regarding payment of, any federal, state, local and international taxes (including Grantee’s FICA obligation) required by law to be withheld with respect to such amount. The obligations of the Company under this Certificate will be conditional on such payment or arrangements, and the Company or any employer Affiliate has the authority and the right to deduct or withhold, or require Grantee to remit to the employer, an amount or a number of Stock Tracking Units, sufficient to satisfy amounts required by law to be withheld with respect to any taxable event related to the Stock Tracking Units. These withholding requirements may be satisfied, in whole or in part, at the election of the Company, by withholding from the shares of Company common stock that may otherwise be payable in settlement of such Stock Tracking Units, a number of shares having a Fair Market Value on the date of withholding equal to the amount required to be withheld in accordance with applicable tax requirements (up to the maximum individual statutory rate in the applicable jurisdiction as may be permitted under then-current accounting principles to qualify for equity classification), all in accordance with such procedures as the Company establishes.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Code Section 409A</w:t>
            </w:r>
            <w:r>
              <w:rPr>
                <w:rFonts w:ascii="Times New Roman" w:hAnsi="Times New Roman"/>
                <w:caps w:val="false"/>
                <w:smallCaps w:val="false"/>
                <w:sz w:val="20"/>
              </w:rPr>
              <w:t>. It is the intent that the terms relating to the vesting and payment of the Stock Tracking Units as set forth in this Certificate shall qualify for exemption from or comply with the requirements of Section 409A of the Code, and any ambiguities herein will be interpreted to so qualify or comply. The Company reserves the right, in addition to all of its rights pursuant to the Plan, to the extent the Company deems necessary or advisable in its sole discretion, to unilaterally amend or modify this Certificate as may be necessary to ensure that all payments provided for with respect to the Stock Tracking Units are made in a manner that qualifies for exemption from or complies with Section 409A of the Code; provided, however, that tax treatment with respect to the Stock Tracking Units is not warranted or guaranteed. Neither the Company, its Affiliates nor their respective directors, officers, employees or advisers (other than in his or her capacity as a Participant) shall be held liable for any taxes, interest, penalties or other monetary amounts owed as a result of the Plan or the Stock Tracking Units.</w:t>
            </w:r>
          </w:p>
        </w:tc>
        <w:tc>
          <w:tcPr>
            <w:tcW w:w="60" w:type="dxa"/>
            <w:tcBorders/>
            <w:vAlign w:val="center"/>
          </w:tcPr>
          <w:p>
            <w:pPr>
              <w:pStyle w:val="TableContents"/>
              <w:bidi w:val="0"/>
              <w:spacing w:before="0" w:after="283"/>
              <w:jc w:val="left"/>
              <w:rPr/>
            </w:pPr>
            <w:r>
              <w:rPr/>
              <w:t> </w:t>
            </w:r>
          </w:p>
        </w:tc>
        <w:tc>
          <w:tcPr>
            <w:tcW w:w="34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Clawback</w:t>
            </w:r>
            <w:r>
              <w:rPr>
                <w:rFonts w:ascii="Times New Roman" w:hAnsi="Times New Roman"/>
                <w:caps w:val="false"/>
                <w:smallCaps w:val="false"/>
                <w:sz w:val="20"/>
              </w:rPr>
              <w:t>. The Stock Tracking Units and any shares of Company common stock paid in settlement thereof shall be subject to any compensation recoupment policy of the Company that is applicable by its terms to Grantee and to awards of this type.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Plan Controls</w:t>
            </w:r>
            <w:r>
              <w:rPr>
                <w:rFonts w:ascii="Times New Roman" w:hAnsi="Times New Roman"/>
                <w:caps w:val="false"/>
                <w:smallCaps w:val="false"/>
                <w:sz w:val="20"/>
              </w:rPr>
              <w:t>. The terms contained in the Plan are incorporated into and made a part of this Certificate, and this Certificate shall be governed by and construed in accordance with the Plan. In the event of any actual or alleged conflict between the provisions of the Plan and the provisions of this Certificate, the provisions of the Plan shall be controlling and determinative.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Successors</w:t>
            </w:r>
            <w:r>
              <w:rPr>
                <w:rFonts w:ascii="Times New Roman" w:hAnsi="Times New Roman"/>
                <w:caps w:val="false"/>
                <w:smallCaps w:val="false"/>
                <w:sz w:val="20"/>
              </w:rPr>
              <w:t>. This Certificate shall be binding upon any successor of the Company, in accordance with the terms of this Certificate and the Plan.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Severability</w:t>
            </w:r>
            <w:r>
              <w:rPr>
                <w:rFonts w:ascii="Times New Roman" w:hAnsi="Times New Roman"/>
                <w:caps w:val="false"/>
                <w:smallCaps w:val="false"/>
                <w:sz w:val="20"/>
              </w:rPr>
              <w:t>. If any one or more of the provisions contained in this Certificate is invalid, illegal or unenforceable, the other provisions of this Certificate will be construed and enforced as if the invalid, illegal or unenforceable provision had never been included.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Notice</w:t>
            </w:r>
            <w:r>
              <w:rPr>
                <w:rFonts w:ascii="Times New Roman" w:hAnsi="Times New Roman"/>
                <w:caps w:val="false"/>
                <w:smallCaps w:val="false"/>
                <w:sz w:val="20"/>
              </w:rPr>
              <w:t>. Notices and communications under this Certificate must be in writing and either personally delivered or sent by registered or certified United States mail, return receipt requested, postage prepaid. Notices to the Company must be addressed to TG Therapeutics, Inc., 2 Gansevoort St., 9th Floor, New York, NY 10014,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1" w:name="ex_874096.htm"/>
      <w:bookmarkStart w:id="42" w:name="ksex_874096"/>
      <w:bookmarkEnd w:id="41"/>
      <w:bookmarkEnd w:id="42"/>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Subsidiaries of TG Therapeutics, Inc.</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35"/>
        <w:gridCol w:w="60"/>
      </w:tblGrid>
      <w:tr>
        <w:trPr/>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Ariston Pharmaceuticals, Inc.</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Biologics, Inc.</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Therapeutics AUS Pty Ltd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both"/>
              <w:rPr/>
            </w:pPr>
            <w:r>
              <w:rPr/>
              <w:t>TG Cell Therapy, Inc.</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3" w:name="ex_874097.htm"/>
      <w:bookmarkStart w:id="44" w:name="ksex_874097"/>
      <w:bookmarkEnd w:id="43"/>
      <w:bookmarkEnd w:id="44"/>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(No. 333-289478) on Form S-8 and (No. 333-289454) on Form S-3ASR of our reports dated February 27, 2026, with respect to the consolidated financial statements of TG Therapeutics, Inc. and the effectiveness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w:t>
      </w:r>
    </w:p>
    <w:p>
      <w:pPr>
        <w:pStyle w:val="TextBody"/>
        <w:bidi w:val="0"/>
        <w:spacing w:before="0" w:after="0"/>
        <w:ind w:left="0" w:right="0" w:hanging="0"/>
        <w:jc w:val="both"/>
        <w:rPr>
          <w:rFonts w:ascii="Times New Roman" w:hAnsi="Times New Roman"/>
          <w:caps w:val="false"/>
          <w:smallCaps w:val="false"/>
          <w:sz w:val="20"/>
        </w:rPr>
      </w:pPr>
      <w:bookmarkStart w:id="45" w:name="led492022F20261251772031550368"/>
      <w:bookmarkEnd w:id="45"/>
      <w:r>
        <w:rPr>
          <w:rFonts w:ascii="Times New Roman" w:hAnsi="Times New Roman"/>
          <w:caps w:val="false"/>
          <w:smallCaps w:val="false"/>
          <w:sz w:val="20"/>
        </w:rPr>
        <w:t>February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6" w:name="ex_874098.htm"/>
      <w:bookmarkStart w:id="47" w:name="ksex_874098"/>
      <w:bookmarkEnd w:id="46"/>
      <w:bookmarkEnd w:id="47"/>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Michael S. Weiss, certify that:</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70"/>
        <w:gridCol w:w="59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TG Therapeutics,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85"/>
        <w:gridCol w:w="3965"/>
      </w:tblGrid>
      <w:tr>
        <w:trPr/>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48" w:name="led492022F20261251772031593215"/>
            <w:bookmarkEnd w:id="48"/>
            <w:r>
              <w:rPr>
                <w:rFonts w:ascii="Times New Roman" w:hAnsi="Times New Roman"/>
                <w:caps w:val="false"/>
                <w:smallCaps w:val="false"/>
                <w:sz w:val="20"/>
              </w:rPr>
              <w:t>February 27, 2026</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9" w:name="ex_874099.htm"/>
      <w:bookmarkStart w:id="50" w:name="ksex_874099"/>
      <w:bookmarkEnd w:id="49"/>
      <w:bookmarkEnd w:id="5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Sean A. Power, certify that:</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70"/>
        <w:gridCol w:w="59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TG Therapeutics,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51" w:name="led492022F20261251772031617935"/>
            <w:bookmarkEnd w:id="51"/>
            <w:r>
              <w:rPr>
                <w:rFonts w:ascii="Times New Roman" w:hAnsi="Times New Roman"/>
                <w:caps w:val="false"/>
                <w:smallCaps w:val="false"/>
                <w:sz w:val="20"/>
              </w:rPr>
              <w:t>February 27,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2" w:name="ex_874100.htm"/>
      <w:bookmarkStart w:id="53" w:name="ksex_874100"/>
      <w:bookmarkEnd w:id="52"/>
      <w:bookmarkEnd w:id="5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EXECUTIVE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TG Therapeutics, Inc. (the “Company”) on Form 10-K for the year ended </w:t>
      </w:r>
      <w:bookmarkStart w:id="54" w:name="led492022F2024041704328262033"/>
      <w:bookmarkEnd w:id="54"/>
      <w:r>
        <w:rPr>
          <w:rFonts w:ascii="Times New Roman" w:hAnsi="Times New Roman"/>
          <w:caps w:val="false"/>
          <w:smallCaps w:val="false"/>
          <w:sz w:val="20"/>
        </w:rPr>
        <w:t>December 31, 2025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both"/>
              <w:rPr/>
            </w:pPr>
            <w:r>
              <w:rPr/>
              <w:t> </w:t>
            </w:r>
          </w:p>
        </w:tc>
        <w:tc>
          <w:tcPr>
            <w:tcW w:w="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both"/>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85"/>
        <w:gridCol w:w="3965"/>
      </w:tblGrid>
      <w:tr>
        <w:trPr/>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55" w:name="led492022F20261251772031656807"/>
            <w:bookmarkEnd w:id="55"/>
            <w:r>
              <w:rPr>
                <w:rFonts w:ascii="Times New Roman" w:hAnsi="Times New Roman"/>
                <w:caps w:val="false"/>
                <w:smallCaps w:val="false"/>
                <w:sz w:val="20"/>
              </w:rPr>
              <w:t>February 27, 2026</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6" w:name="ex_874101.htm"/>
      <w:bookmarkStart w:id="57" w:name="ksex_874101"/>
      <w:bookmarkEnd w:id="56"/>
      <w:bookmarkEnd w:id="57"/>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FINANCIAL OFFICER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TG Therapeutics, Inc. (the “Company”) on Form 10-K for the year ended </w:t>
      </w:r>
      <w:bookmarkStart w:id="58" w:name="led492022F2024041704328320644"/>
      <w:bookmarkEnd w:id="58"/>
      <w:r>
        <w:rPr>
          <w:rFonts w:ascii="Times New Roman" w:hAnsi="Times New Roman"/>
          <w:caps w:val="false"/>
          <w:smallCaps w:val="false"/>
          <w:sz w:val="20"/>
        </w:rPr>
        <w:t>December 31, 2025 as filed with the Securities and Exchange Commission (the “Report”), I, Sean A. Power, Chief Financial Officer of the Company, certify, pursuant to 18 U.S.C. §1350, as adopted pursuant to §906 of the Sarbanes-Oxley Act of 2002, that, based on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both"/>
              <w:rPr/>
            </w:pPr>
            <w:r>
              <w:rPr/>
              <w:t> </w:t>
            </w:r>
          </w:p>
        </w:tc>
        <w:tc>
          <w:tcPr>
            <w:tcW w:w="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both"/>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59" w:name="led492022F20261251772031710463"/>
            <w:bookmarkEnd w:id="59"/>
            <w:r>
              <w:rPr>
                <w:rFonts w:ascii="Times New Roman" w:hAnsi="Times New Roman"/>
                <w:caps w:val="false"/>
                <w:smallCaps w:val="false"/>
                <w:sz w:val="20"/>
              </w:rPr>
              <w:t>February 27, 2026</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01316/000114420412044111/v320662_ex3-1.htm" TargetMode="External"/><Relationship Id="rId4" Type="http://schemas.openxmlformats.org/officeDocument/2006/relationships/hyperlink" Target="http://www.sec.gov/Archives/edgar/data/1001316/000114420414044721/v383699_ex3-2.htm" TargetMode="External"/><Relationship Id="rId5" Type="http://schemas.openxmlformats.org/officeDocument/2006/relationships/hyperlink" Target="http://www.sec.gov/Archives/edgar/data/1001316/000155837021008482/tgtx-20210616xex3d1.htm" TargetMode="External"/><Relationship Id="rId6" Type="http://schemas.openxmlformats.org/officeDocument/2006/relationships/hyperlink" Target="http://www.sec.gov/Archives/edgar/data/1001316/000155837021008482/tgtx-20210616xex3d1.htm" TargetMode="External"/><Relationship Id="rId7" Type="http://schemas.openxmlformats.org/officeDocument/2006/relationships/hyperlink" Target="http://www.sec.gov/Archives/edgar/data/1001316/000143774924020510/ex_688590.htm" TargetMode="External"/><Relationship Id="rId8" Type="http://schemas.openxmlformats.org/officeDocument/2006/relationships/hyperlink" Target="http://www.sec.gov/Archives/edgar/data/1001316/000114420414043936/v384259_ex3-1.htm" TargetMode="External"/><Relationship Id="rId9" Type="http://schemas.openxmlformats.org/officeDocument/2006/relationships/hyperlink" Target="http://www.sec.gov/Archives/edgar/data/1001316/000114420414043936/v384259_ex3-1.htm" TargetMode="External"/><Relationship Id="rId10" Type="http://schemas.openxmlformats.org/officeDocument/2006/relationships/hyperlink" Target="http://www.sec.gov/Archives/edgar/data/1001316/000114420412014947/v305275_ex4-1.htm" TargetMode="External"/><Relationship Id="rId11" Type="http://schemas.openxmlformats.org/officeDocument/2006/relationships/hyperlink" Target="http://www.sec.gov/Archives/edgar/data/1001316/000155837021002149/tgtx-20201231xex4d5.htm" TargetMode="External"/><Relationship Id="rId12" Type="http://schemas.openxmlformats.org/officeDocument/2006/relationships/hyperlink" Target="http://www.sec.gov/Archives/edgar/data/1001316/000114420412014947/v305275_ex10-31.htm" TargetMode="External"/><Relationship Id="rId13" Type="http://schemas.openxmlformats.org/officeDocument/2006/relationships/hyperlink" Target="http://www.sec.gov/Archives/edgar/data/1001316/000114420413039748/v350136_ex10-1.htm" TargetMode="External"/><Relationship Id="rId14" Type="http://schemas.openxmlformats.org/officeDocument/2006/relationships/hyperlink" Target="http://www.sec.gov/Archives/edgar/data/1001316/000114420415001128/v398294_ex10-1.htm" TargetMode="External"/><Relationship Id="rId15" Type="http://schemas.openxmlformats.org/officeDocument/2006/relationships/hyperlink" Target="http://www.sec.gov/Archives/edgar/data/1001316/000114420412014947/v305275_ex10-32.htm" TargetMode="External"/><Relationship Id="rId16" Type="http://schemas.openxmlformats.org/officeDocument/2006/relationships/hyperlink" Target="http://www.sec.gov/Archives/edgar/data/1001316/000114420412014947/v305275_ex10-33.htm" TargetMode="External"/><Relationship Id="rId17" Type="http://schemas.openxmlformats.org/officeDocument/2006/relationships/hyperlink" Target="http://www.sec.gov/Archives/edgar/data/1001316/000114420413039748/v350136_ex10-2.htm" TargetMode="External"/><Relationship Id="rId18" Type="http://schemas.openxmlformats.org/officeDocument/2006/relationships/hyperlink" Target="http://www.sec.gov/Archives/edgar/data/1001316/000114420415001128/v398294_ex10-2.htm" TargetMode="External"/><Relationship Id="rId19" Type="http://schemas.openxmlformats.org/officeDocument/2006/relationships/hyperlink" Target="http://www.sec.gov/Archives/edgar/data/1001316/000114420412014947/v305275_ex10-35.htm" TargetMode="External"/><Relationship Id="rId20" Type="http://schemas.openxmlformats.org/officeDocument/2006/relationships/hyperlink" Target="http://www.sec.gov/Archives/edgar/data/1001316/000114420413016691/v335518_ex10-37.htm" TargetMode="External"/><Relationship Id="rId21" Type="http://schemas.openxmlformats.org/officeDocument/2006/relationships/hyperlink" Target="http://www.sec.gov/Archives/edgar/data/1001316/000114420414044721/v383699_ex10-1.htm" TargetMode="External"/><Relationship Id="rId22" Type="http://schemas.openxmlformats.org/officeDocument/2006/relationships/hyperlink" Target="http://www.sec.gov/Archives/edgar/data/1001316/000114420415002790/v399000_ex10-1.htm" TargetMode="External"/><Relationship Id="rId23" Type="http://schemas.openxmlformats.org/officeDocument/2006/relationships/hyperlink" Target="http://www.sec.gov/Archives/edgar/data/1001316/000165495416001302/Exhibit10-1_Sublicense.htm" TargetMode="External"/><Relationship Id="rId24" Type="http://schemas.openxmlformats.org/officeDocument/2006/relationships/hyperlink" Target="http://www.sec.gov/Archives/edgar/data/1001316/000165495417002229/v032117_EX1018.htm" TargetMode="External"/><Relationship Id="rId25" Type="http://schemas.openxmlformats.org/officeDocument/2006/relationships/hyperlink" Target="http://www.sec.gov/Archives/edgar/data/1001316/000165495419009176/tgtx_ex102.htm" TargetMode="External"/><Relationship Id="rId26" Type="http://schemas.openxmlformats.org/officeDocument/2006/relationships/hyperlink" Target="http://www.sec.gov/Archives/edgar/data/1001316/000165495419002276/v030519_ex103.htm" TargetMode="External"/><Relationship Id="rId27" Type="http://schemas.openxmlformats.org/officeDocument/2006/relationships/hyperlink" Target="http://www.sec.gov/Archives/edgar/data/1001316/000165495419002276/v030519_ex104.htm" TargetMode="External"/><Relationship Id="rId28" Type="http://schemas.openxmlformats.org/officeDocument/2006/relationships/hyperlink" Target="http://www.sec.gov/Archives/edgar/data/1001316/000165495419009176/tgtx_ex101.htm" TargetMode="External"/><Relationship Id="rId29" Type="http://schemas.openxmlformats.org/officeDocument/2006/relationships/hyperlink" Target="http://www.sec.gov/Archives/edgar/data/1001316/000155837021010837/tgtx-20210630xex10d1.htm" TargetMode="External"/><Relationship Id="rId30" Type="http://schemas.openxmlformats.org/officeDocument/2006/relationships/hyperlink" Target="http://www.sec.gov/Archives/edgar/data/1001316/000155837022010227/tgtx-20220616xex10d1.htm" TargetMode="External"/><Relationship Id="rId31" Type="http://schemas.openxmlformats.org/officeDocument/2006/relationships/hyperlink" Target="http://www.sec.gov/Archives/edgar/data/1001316/000143774924020510/ex_688591.htm" TargetMode="External"/><Relationship Id="rId32" Type="http://schemas.openxmlformats.org/officeDocument/2006/relationships/hyperlink" Target="http://www.sec.gov/Archives/edgar/data/1001316/000143774925025745/ex_841384.htm" TargetMode="External"/><Relationship Id="rId33" Type="http://schemas.openxmlformats.org/officeDocument/2006/relationships/hyperlink" Target="http://www.sec.gov/Archives/edgar/data/0001001316/000155837023008385/tgtx-20230331xex10d2.htm" TargetMode="External"/><Relationship Id="rId34" Type="http://schemas.openxmlformats.org/officeDocument/2006/relationships/hyperlink" Target="http://www.sec.gov/Archives/edgar/data/0001001316/000155837023008385/tgtx-20230331xex10d3.htm" TargetMode="External"/><Relationship Id="rId35" Type="http://schemas.openxmlformats.org/officeDocument/2006/relationships/hyperlink" Target="http://www.sec.gov/Archives/edgar/data/0001001316/000155837023008385/tgtx-20230331xex10d4.htm" TargetMode="External"/><Relationship Id="rId36" Type="http://schemas.openxmlformats.org/officeDocument/2006/relationships/hyperlink" Target="http://www.sec.gov/Archives/edgar/data/0001001316/000155837023008385/tgtx-20230331xex10d5.htm" TargetMode="External"/><Relationship Id="rId37" Type="http://schemas.openxmlformats.org/officeDocument/2006/relationships/hyperlink" Target="http://www.sec.gov/Archives/edgar/data/0001001316/000155837023008385/tgtx-20230331xex10d6.htm" TargetMode="External"/><Relationship Id="rId38" Type="http://schemas.openxmlformats.org/officeDocument/2006/relationships/hyperlink" Target="http://www.sec.gov/Archives/edgar/data/0001001316/000155837023008385/tgtx-20230331xex10d7.htm" TargetMode="External"/><Relationship Id="rId39" Type="http://schemas.openxmlformats.org/officeDocument/2006/relationships/hyperlink" Target="http://www.sec.gov/Archives/edgar/data/1001316/000155837023008385/tgtx-20230331xex10d8.htm" TargetMode="External"/><Relationship Id="rId40" Type="http://schemas.openxmlformats.org/officeDocument/2006/relationships/hyperlink" Target="http://www.sec.gov/Archives/edgar/data/1001316/000155837023013429/tgtx-20230630xex10d1.htm" TargetMode="External"/><Relationship Id="rId41" Type="http://schemas.openxmlformats.org/officeDocument/2006/relationships/hyperlink" Target="http://www.sec.gov/Archives/edgar/data/1001316/000143774924006144/ex_631839.htm" TargetMode="External"/><Relationship Id="rId42" Type="http://schemas.openxmlformats.org/officeDocument/2006/relationships/hyperlink" Target="http://www.sec.gov/Archives/edgar/data/1001316/000143774924025853/ex_711621.htm" TargetMode="External"/><Relationship Id="rId43" Type="http://schemas.openxmlformats.org/officeDocument/2006/relationships/hyperlink" Target="http://www.sec.gov/Archives/edgar/data/1001316/000143774924033948/ex_741510.htm" TargetMode="External"/><Relationship Id="rId44" Type="http://schemas.openxmlformats.org/officeDocument/2006/relationships/hyperlink" Target="http://www.sec.gov/Archives/edgar/data/1001316/000143774924006144/ex_632901.htm" TargetMode="External"/><Relationship Id="rId45" Type="http://schemas.openxmlformats.org/officeDocument/2006/relationships/hyperlink" Target="http://www.sec.gov/Archives/edgar/data/1001316/000143774924006144/ex_632982.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90461</Words>
  <Characters>510370</Characters>
  <CharactersWithSpaces>603405</CharactersWithSpaces>
  <Paragraphs>9577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