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4060" w:right="2720" w:hanging="1338"/>
        <w:spacing w:after="0" w:line="282" w:lineRule="auto"/>
        <w:tabs>
          <w:tab w:leader="none" w:pos="289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79"/>
        <w:spacing w:after="0" w:line="282" w:lineRule="auto"/>
        <w:tabs>
          <w:tab w:leader="none" w:pos="29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3239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22" w:right="239" w:bottom="1440" w:gutter="0" w:footer="0" w:header="0"/>
        </w:sectPr>
      </w:pPr>
    </w:p>
    <w:p>
      <w:pPr>
        <w:spacing w:after="0" w:line="20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60" w:space="720"/>
            <w:col w:w="4140"/>
          </w:cols>
          <w:pgMar w:left="240" w:top="42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 Gansevoort Street, 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780" w:type="dxa"/>
            <w:vAlign w:val="bottom"/>
          </w:tcPr>
          <w:p>
            <w:pPr>
              <w:jc w:val="right"/>
              <w:ind w:right="7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83"/>
        </w:trPr>
        <w:tc>
          <w:tcPr>
            <w:tcW w:w="864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80" w:type="dxa"/>
            <w:vAlign w:val="bottom"/>
          </w:tcPr>
          <w:p>
            <w:pPr>
              <w:jc w:val="right"/>
              <w:ind w:right="7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65"/>
        </w:trPr>
        <w:tc>
          <w:tcPr>
            <w:tcW w:w="8640" w:type="dxa"/>
            <w:vAlign w:val="bottom"/>
          </w:tcPr>
          <w:p>
            <w:pPr>
              <w:spacing w:after="0"/>
              <w:rPr>
                <w:sz w:val="20"/>
                <w:szCs w:val="20"/>
                <w:color w:val="auto"/>
              </w:rPr>
            </w:pPr>
            <w:r>
              <w:rPr>
                <w:rFonts w:ascii="Arial" w:cs="Arial" w:eastAsia="Arial" w:hAnsi="Arial"/>
                <w:sz w:val="18"/>
                <w:szCs w:val="18"/>
                <w:color w:val="auto"/>
                <w:w w:val="96"/>
              </w:rPr>
              <w:t>Indicate by checkmark whether the registrant is a shell company (as defined in Rule 12b-2 of the Exchange Act).</w:t>
            </w:r>
          </w:p>
        </w:tc>
        <w:tc>
          <w:tcPr>
            <w:tcW w:w="2780" w:type="dxa"/>
            <w:vAlign w:val="bottom"/>
          </w:tcPr>
          <w:p>
            <w:pPr>
              <w:spacing w:after="0"/>
              <w:rPr>
                <w:sz w:val="24"/>
                <w:szCs w:val="24"/>
                <w:color w:val="auto"/>
              </w:rPr>
            </w:pPr>
          </w:p>
        </w:tc>
      </w:tr>
      <w:tr>
        <w:trPr>
          <w:trHeight w:val="283"/>
        </w:trPr>
        <w:tc>
          <w:tcPr>
            <w:tcW w:w="864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780" w:type="dxa"/>
            <w:vAlign w:val="bottom"/>
          </w:tcPr>
          <w:p>
            <w:pPr>
              <w:spacing w:after="0"/>
              <w:rPr>
                <w:sz w:val="24"/>
                <w:szCs w:val="24"/>
                <w:color w:val="auto"/>
              </w:rPr>
            </w:pPr>
          </w:p>
        </w:tc>
      </w:tr>
      <w:tr>
        <w:trPr>
          <w:trHeight w:val="412"/>
        </w:trPr>
        <w:tc>
          <w:tcPr>
            <w:tcW w:w="8640" w:type="dxa"/>
            <w:vAlign w:val="bottom"/>
          </w:tcPr>
          <w:p>
            <w:pPr>
              <w:spacing w:after="0"/>
              <w:rPr>
                <w:sz w:val="20"/>
                <w:szCs w:val="20"/>
                <w:color w:val="auto"/>
              </w:rPr>
            </w:pPr>
            <w:r>
              <w:rPr>
                <w:rFonts w:ascii="Arial" w:cs="Arial" w:eastAsia="Arial" w:hAnsi="Arial"/>
                <w:sz w:val="18"/>
                <w:szCs w:val="18"/>
                <w:color w:val="auto"/>
                <w:w w:val="94"/>
              </w:rPr>
              <w:t>There were 54,339,123 shares of the registrant’s common stock, $0.001 par value, outstanding as of May 5, 2016.</w:t>
            </w:r>
          </w:p>
        </w:tc>
        <w:tc>
          <w:tcPr>
            <w:tcW w:w="2780" w:type="dxa"/>
            <w:vAlign w:val="bottom"/>
          </w:tcPr>
          <w:p>
            <w:pPr>
              <w:spacing w:after="0"/>
              <w:rPr>
                <w:sz w:val="24"/>
                <w:szCs w:val="24"/>
                <w:color w:val="auto"/>
              </w:rPr>
            </w:pPr>
          </w:p>
        </w:tc>
      </w:tr>
      <w:tr>
        <w:trPr>
          <w:trHeight w:val="675"/>
        </w:trPr>
        <w:tc>
          <w:tcPr>
            <w:tcW w:w="86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5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890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2016 (unaudited) and December 31, 2015</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6"/>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Operations for the three months ended March 31, 2016 and 2015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6"/>
            <w:shd w:val="clear" w:color="auto" w:fill="CCEEFF"/>
          </w:tcPr>
          <w:p>
            <w:pPr>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 of Stockholders’ Equity for the three months ended March 31, 2016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6"/>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for the three months ended March 31, 2016 and 2015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890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00" w:type="dxa"/>
            <w:vAlign w:val="bottom"/>
            <w:gridSpan w:val="1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280" w:type="dxa"/>
            <w:vAlign w:val="bottom"/>
            <w:tcBorders>
              <w:top w:val="single" w:sz="8" w:color="CCEEFF"/>
              <w:bottom w:val="single" w:sz="8" w:color="auto"/>
            </w:tcBorders>
            <w:gridSpan w:val="8"/>
          </w:tcPr>
          <w:p>
            <w:pPr>
              <w:jc w:val="right"/>
              <w:ind w:right="500"/>
              <w:spacing w:after="0"/>
              <w:rPr>
                <w:sz w:val="20"/>
                <w:szCs w:val="20"/>
                <w:color w:val="auto"/>
              </w:rPr>
            </w:pPr>
            <w:r>
              <w:rPr>
                <w:rFonts w:ascii="Arial" w:cs="Arial" w:eastAsia="Arial" w:hAnsi="Arial"/>
                <w:sz w:val="18"/>
                <w:szCs w:val="18"/>
                <w:color w:val="auto"/>
              </w:rPr>
              <w:t>2</w:t>
            </w:r>
          </w:p>
        </w:tc>
        <w:tc>
          <w:tcPr>
            <w:tcW w:w="4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2"/>
              </w:rPr>
              <w:t>TG Therapeutics,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color w:val="auto"/>
                <w:w w:val="88"/>
              </w:rPr>
              <w:t>Condensed Consolidated Balance Sheets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March 31, 2016</w:t>
            </w:r>
          </w:p>
        </w:tc>
        <w:tc>
          <w:tcPr>
            <w:tcW w:w="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36,478,420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55,061,329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Short-term investment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22,224,258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22,166,512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164,106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10,979,437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9,151,142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730,523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308,327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70,576,744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86,873,331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580,151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26,458,226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25,003,032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1,151,163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323,003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173,841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171,182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100,062,519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113,473,201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8,139,440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9,346,068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449,126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818,472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152,917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211,549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8,893,864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10,528,470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389,554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1,371,429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10,616,751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11,899,899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$0.001 par value per share (10,000,000 shares authorized, none issued and outstanding as of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31, 2016 and December 31, 2015)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89"/>
              </w:rPr>
              <w:t>Common stock, $0.001 par value per share (150,000,000 shares authorized, 54,118,722 and 54,095,110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w w:val="99"/>
              </w:rPr>
              <w:t>issued, 54,077,413 and 54,053,801 shares outstanding at March 31, 2016 and December 31, 2015,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54,119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54,095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Contingently issuable shares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261,608,568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259,887,464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March 31, 2016 and December 31, 2015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(234,337)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(171,982,588)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(158,133,926)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89,445,768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101,573,302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100,062,519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113,473,201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38,095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386,925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Other research and development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11,230,415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8,279,431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11,617,340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9,617,339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1,312,040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4,019,120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general and administrative</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1,100,871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1,004,487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general and administrative</w:t>
            </w:r>
          </w:p>
        </w:tc>
        <w:tc>
          <w:tcPr>
            <w:tcW w:w="8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2,412,911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5,023,607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14,030,251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14,640,946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Operating loss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(13,992,156)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(14,602,851)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242,405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237,657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notes payable</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(301,037)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8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(143,494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(13,848,662)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(14,577,735)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Weighted average shares used in computing basic and diluted net loss per common share</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48,908,278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41,088,752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2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5"/>
              </w:rPr>
              <w:t>Contingently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2240" w:type="dxa"/>
            <w:vAlign w:val="bottom"/>
            <w:gridSpan w:val="5"/>
            <w:vMerge w:val="restart"/>
          </w:tcPr>
          <w:p>
            <w:pPr>
              <w:jc w:val="right"/>
              <w:ind w:right="719"/>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gridSpan w:val="3"/>
            <w:vMerge w:val="restart"/>
          </w:tcPr>
          <w:p>
            <w:pPr>
              <w:jc w:val="right"/>
              <w:ind w:right="219"/>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rPr>
              <w:t>issuable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2240" w:type="dxa"/>
            <w:vAlign w:val="bottom"/>
            <w:gridSpan w:val="5"/>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940" w:type="dxa"/>
            <w:vAlign w:val="bottom"/>
            <w:tcBorders>
              <w:top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84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1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19"/>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2016</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54,095,110</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54,095</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259,887,464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41,309</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w w:val="83"/>
              </w:rPr>
              <w:t>(234,337)</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(158,133,926)</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101,573,302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common stock in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rPr>
              <w:t>connection with exercise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160"/>
              <w:spacing w:after="0"/>
              <w:rPr>
                <w:sz w:val="20"/>
                <w:szCs w:val="20"/>
                <w:color w:val="auto"/>
              </w:rPr>
            </w:pPr>
            <w:r>
              <w:rPr>
                <w:rFonts w:ascii="Arial" w:cs="Arial" w:eastAsia="Arial" w:hAnsi="Arial"/>
                <w:sz w:val="14"/>
                <w:szCs w:val="14"/>
                <w:color w:val="auto"/>
              </w:rPr>
              <w:t>of warrants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9,612</w:t>
            </w:r>
          </w:p>
        </w:tc>
        <w:tc>
          <w:tcPr>
            <w:tcW w:w="44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22,153</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22,163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14,000</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Compensation in respect of restricted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w w:val="96"/>
              </w:rPr>
              <w:t>stock granted to employees, directors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160"/>
              <w:spacing w:after="0"/>
              <w:rPr>
                <w:sz w:val="20"/>
                <w:szCs w:val="20"/>
                <w:color w:val="auto"/>
              </w:rPr>
            </w:pPr>
            <w:r>
              <w:rPr>
                <w:rFonts w:ascii="Arial" w:cs="Arial" w:eastAsia="Arial" w:hAnsi="Arial"/>
                <w:sz w:val="14"/>
                <w:szCs w:val="14"/>
                <w:color w:val="auto"/>
              </w:rPr>
              <w:t>and consultants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1,698,965</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1,698,965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(13,848,662)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(13,848,662)</w:t>
            </w:r>
          </w:p>
        </w:tc>
        <w:tc>
          <w:tcPr>
            <w:tcW w:w="0" w:type="dxa"/>
            <w:vAlign w:val="bottom"/>
          </w:tcPr>
          <w:p>
            <w:pPr>
              <w:spacing w:after="0"/>
              <w:rPr>
                <w:sz w:val="1"/>
                <w:szCs w:val="1"/>
                <w:color w:val="auto"/>
              </w:rPr>
            </w:pPr>
          </w:p>
        </w:tc>
      </w:tr>
      <w:tr>
        <w:trPr>
          <w:trHeight w:val="156"/>
        </w:trPr>
        <w:tc>
          <w:tcPr>
            <w:tcW w:w="2420" w:type="dxa"/>
            <w:vAlign w:val="bottom"/>
          </w:tcPr>
          <w:p>
            <w:pPr>
              <w:spacing w:after="0" w:line="155" w:lineRule="exact"/>
              <w:rPr>
                <w:sz w:val="20"/>
                <w:szCs w:val="20"/>
                <w:color w:val="auto"/>
              </w:rPr>
            </w:pPr>
            <w:r>
              <w:rPr>
                <w:rFonts w:ascii="Arial" w:cs="Arial" w:eastAsia="Arial" w:hAnsi="Arial"/>
                <w:sz w:val="14"/>
                <w:szCs w:val="14"/>
                <w:color w:val="auto"/>
              </w:rPr>
              <w:t>Balance at March 31, 2016</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54,118,722</w:t>
            </w:r>
          </w:p>
        </w:tc>
        <w:tc>
          <w:tcPr>
            <w:tcW w:w="24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54,119</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261,608,568</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41,309</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color w:val="auto"/>
                <w:w w:val="90"/>
              </w:rPr>
              <w:t>(234,337</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(171,982,588</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89,445,768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(13,848,662)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(14,577,735)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1,698,965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5,357,028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128,329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389,554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Change in fair value of notes payable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(58,632)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Increase in restricted cash</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other current assets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Increase in prepaid rent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(1,151,163)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accrued interest receivable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Decrease in other assets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accounts payable and accrued expenses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(1,575,974)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4,434,813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Decrease in deferred revenue</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(38,096)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(16,673,541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(8,882,353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(282,261)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held-to-maturity securities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(10,641,270)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(1,923,531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22,163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34,941,049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Financing costs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(19,438)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35,329,897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(18,582,909)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30,290,661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55,061,329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55,713,784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36,478,420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86,004,445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(formerly known as Manhattan Pharmaceuticals, Inc., or Manhattan)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2015. The accompanying condensed December 31, 2015 balance sheet has been derived from these statements. The results of operations for the three months ended March 31, 2016 are not necessarily indicative of the results that may be expected for the entire fiscal year or any other interim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March 31, 2016, we have an accumulated deficit of approximately $172.0 million.</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in partnership. We may continue to incur substantial operating losses even if we begin to generate revenues from our drug candidates.</w:t>
      </w:r>
    </w:p>
    <w:p>
      <w:pPr>
        <w:spacing w:after="0" w:line="15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As of March 31, 2016, we had approximately $85.3 million in cash, cash equivalents, investment securities, and interest receivable. We anticipate that our cash and cash equivalents and investments will be sufficient to fund our anticipated operating cash requirements for more than 24 months from March 31, 2016.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March 2016, the Financial Accounting Standards Board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March 31, 2016 and December 31, 2015, we have approximately $0.6 million of restricted cash pledged to secure a line of credit as a security deposit for an Office Agreement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Investment securities at March 31, 2016 and December 31, 2015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short-term investments and long-term investments. The Company maintains its cash and cash equivalents with high-credit quality financial institutions. At times, such amounts may exceed federally-insured limits.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460" w:firstLine="648"/>
        <w:spacing w:after="0" w:line="302" w:lineRule="auto"/>
        <w:rPr>
          <w:sz w:val="20"/>
          <w:szCs w:val="20"/>
          <w:color w:val="auto"/>
        </w:rPr>
      </w:pPr>
      <w:r>
        <w:rPr>
          <w:rFonts w:ascii="Arial" w:cs="Arial" w:eastAsia="Arial" w:hAnsi="Arial"/>
          <w:sz w:val="16"/>
          <w:szCs w:val="16"/>
          <w:color w:val="auto"/>
        </w:rPr>
        <w:t>Prepaid research and development in our consolidated balance sheets includes, among other things, certain costs related to development and manufacturing services. These development and manufacturing agreements often require payments in advance of services performed or goods received. Accordingly, as of March 31, 2016 and December 31, 2015, we recorded approximately $9.8 million and $7.7 million of prepaid development and manufacturing services, respectively, in prepaid research and development related to such advance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if any, related to uncertain income tax positions in income tax expense.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88"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6,869,500 and 8,382,986 at March 31, 2016 and 2015, respectively. The following outstanding shares of common stock equivalents were excluded from the computation of net loss per share attributable to common stockholders for the periods presented because including them would have been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4180" w:type="dxa"/>
            <w:vAlign w:val="bottom"/>
            <w:gridSpan w:val="5"/>
          </w:tcPr>
          <w:p>
            <w:pPr>
              <w:ind w:left="166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43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5,674,415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4,405,834</w:t>
            </w: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Warrants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1,177,137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3,959,416</w:t>
            </w: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note conversion</w:t>
            </w:r>
          </w:p>
        </w:tc>
        <w:tc>
          <w:tcPr>
            <w:tcW w:w="2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17,948</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17,584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Options</w:t>
            </w:r>
          </w:p>
        </w:tc>
        <w:tc>
          <w:tcPr>
            <w:tcW w:w="16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6,869,500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8,382,986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March 31,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180" w:type="dxa"/>
            <w:vAlign w:val="bottom"/>
            <w:gridSpan w:val="4"/>
          </w:tcPr>
          <w:p>
            <w:pPr>
              <w:ind w:left="1820"/>
              <w:spacing w:after="0"/>
              <w:rPr>
                <w:sz w:val="20"/>
                <w:szCs w:val="20"/>
                <w:color w:val="auto"/>
              </w:rPr>
            </w:pPr>
            <w:r>
              <w:rPr>
                <w:rFonts w:ascii="Arial" w:cs="Arial" w:eastAsia="Arial" w:hAnsi="Arial"/>
                <w:sz w:val="18"/>
                <w:szCs w:val="18"/>
                <w:b w:val="1"/>
                <w:bCs w:val="1"/>
                <w:color w:val="auto"/>
              </w:rPr>
              <w:t>March 31, 2016</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6,841,860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29,636,560</w:t>
            </w: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46,795,746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36,478,420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55,061,329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investments as of March 31, 2016 and December 31, 2015 are classified as held-to-maturity. Held-to-maturity investments are recorded at amortized cost.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March 31,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w w:val="99"/>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as adjusted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holding gains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holding losses</w:t>
            </w:r>
          </w:p>
        </w:tc>
        <w:tc>
          <w:tcPr>
            <w:tcW w:w="180" w:type="dxa"/>
            <w:vAlign w:val="bottom"/>
          </w:tcPr>
          <w:p>
            <w:pPr>
              <w:spacing w:after="0"/>
              <w:rPr>
                <w:sz w:val="20"/>
                <w:szCs w:val="20"/>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April 2016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March 2017) (held-to-maturity)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22,224,258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2,191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22,225,079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April 2017 and</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January 2018) (held-to-maturity)</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26,458,226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48,451</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4,828</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26,501,849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Total short-term and long-term investment securities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48,682,484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51,463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48,726,928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w w:val="99"/>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as adjusted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holding gains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holding losses</w:t>
            </w:r>
          </w:p>
        </w:tc>
        <w:tc>
          <w:tcPr>
            <w:tcW w:w="180" w:type="dxa"/>
            <w:vAlign w:val="bottom"/>
          </w:tcPr>
          <w:p>
            <w:pPr>
              <w:spacing w:after="0"/>
              <w:rPr>
                <w:sz w:val="20"/>
                <w:szCs w:val="20"/>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1"/>
              </w:rPr>
              <w:t>Obligations of domestic governmental agencies (maturing between January 2016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December 2016) (held-to-maturity)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22,166,512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22,143,690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Obligations of domestic governmental agencies (maturing between January 2017 and</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December 2017) (held-to-maturity)</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25,003,032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85,846</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24,917,186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Total short-term and long-term investment securities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47,169,544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108,668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47,060,876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right="220" w:firstLine="648"/>
        <w:spacing w:after="0" w:line="277" w:lineRule="auto"/>
        <w:rPr>
          <w:sz w:val="20"/>
          <w:szCs w:val="20"/>
          <w:color w:val="auto"/>
        </w:rPr>
      </w:pPr>
      <w:r>
        <w:rPr>
          <w:rFonts w:ascii="Arial" w:cs="Arial" w:eastAsia="Arial" w:hAnsi="Arial"/>
          <w:sz w:val="18"/>
          <w:szCs w:val="18"/>
          <w:color w:val="auto"/>
        </w:rPr>
        <w:t>As of March 31, 2016 and December 31, 2015, the fair values of cash and cash equivalents, restricted cash, and notes and interest payable, current portion approximate their carrying value.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cumulative liability including accrued and unpaid interest of the 5% Notes was approximately $20.2 million at March 31, 2016 and $19.9 million at December 31, 2015. No payments have been made on the 5% Notes as of March 31, 2016.</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2016 and December 31, 2015.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the fair value measurements of applicable financial liabilities as of March 31, 2016 and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1"/>
              </w:rPr>
              <w:t>as of March 31, 2016</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jc w:val="center"/>
              <w:ind w:right="4810"/>
              <w:spacing w:after="0"/>
              <w:rPr>
                <w:sz w:val="20"/>
                <w:szCs w:val="20"/>
                <w:color w:val="auto"/>
              </w:rPr>
            </w:pPr>
            <w:r>
              <w:rPr>
                <w:rFonts w:ascii="Arial" w:cs="Arial" w:eastAsia="Arial" w:hAnsi="Arial"/>
                <w:sz w:val="18"/>
                <w:szCs w:val="18"/>
                <w:color w:val="auto"/>
                <w:w w:val="89"/>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152,917</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152,917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jc w:val="center"/>
              <w:ind w:right="483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jc w:val="center"/>
              <w:ind w:right="4810"/>
              <w:spacing w:after="0"/>
              <w:rPr>
                <w:sz w:val="20"/>
                <w:szCs w:val="20"/>
                <w:color w:val="auto"/>
              </w:rPr>
            </w:pPr>
            <w:r>
              <w:rPr>
                <w:rFonts w:ascii="Arial" w:cs="Arial" w:eastAsia="Arial" w:hAnsi="Arial"/>
                <w:sz w:val="18"/>
                <w:szCs w:val="18"/>
                <w:color w:val="auto"/>
                <w:w w:val="89"/>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211,549</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jc w:val="center"/>
              <w:ind w:right="483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three months ended March 31, 2016:</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211,549</w:t>
            </w:r>
          </w:p>
        </w:tc>
        <w:tc>
          <w:tcPr>
            <w:tcW w:w="4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4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242,405</w:t>
            </w:r>
          </w:p>
        </w:tc>
        <w:tc>
          <w:tcPr>
            <w:tcW w:w="40" w:type="dxa"/>
            <w:vAlign w:val="bottom"/>
          </w:tcPr>
          <w:p>
            <w:pPr>
              <w:spacing w:after="0"/>
              <w:rPr>
                <w:sz w:val="18"/>
                <w:szCs w:val="18"/>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liabilities</w:t>
            </w:r>
          </w:p>
        </w:tc>
        <w:tc>
          <w:tcPr>
            <w:tcW w:w="4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(301,037)</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Fair value at March 31, 2016</w:t>
            </w: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150,000,000 shares of $0.001 par value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TG Therapeutics, Inc. Amended and Restated 2012 Incentive Plan (“2012 Incentive Plan”) was approved by stockholders in June 2015. As of March 31, 2016, no options were outstanding and up to an additional 4,150,631 shares may be issued under the 2012 Incentive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three months ended March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740" w:type="dxa"/>
            <w:vAlign w:val="bottom"/>
          </w:tcPr>
          <w:p>
            <w:pPr>
              <w:spacing w:after="0"/>
              <w:rPr>
                <w:sz w:val="20"/>
                <w:szCs w:val="20"/>
                <w:color w:val="auto"/>
              </w:rPr>
            </w:pPr>
          </w:p>
        </w:tc>
        <w:tc>
          <w:tcPr>
            <w:tcW w:w="2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7,359,915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9.43</w:t>
            </w: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(199,499)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7,174,416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Total expense associated with restricted stock grants was approximately $1.7 million and $5.4 million during the three months ended March 31, 2016 and 2015. As of March 31, 2016, there was approximately $20.8 million of total unrecognized compensation cost related to unvested time-based restricted stock, which is expected to be recognized over a weighted-average period of 2.0 years. This amount does not include, as of March 31, 2016, 411,172 shares of restricted stock outstanding which are milestone-based and vest upon certain corporate milestones; and 2,343,292 shares of restricted stock outstanding issued to non-employees, the expense for which is determined each reporting period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 w:type="dxa"/>
            <w:vAlign w:val="bottom"/>
            <w:tcBorders>
              <w:top w:val="single" w:sz="8" w:color="auto"/>
            </w:tcBorders>
          </w:tcPr>
          <w:p>
            <w:pPr>
              <w:spacing w:after="0"/>
              <w:rPr>
                <w:sz w:val="24"/>
                <w:szCs w:val="24"/>
                <w:color w:val="auto"/>
              </w:rPr>
            </w:pPr>
          </w:p>
        </w:tc>
        <w:tc>
          <w:tcPr>
            <w:tcW w:w="6720" w:type="dxa"/>
            <w:vAlign w:val="bottom"/>
            <w:gridSpan w:val="8"/>
          </w:tcPr>
          <w:p>
            <w:pPr>
              <w:jc w:val="right"/>
              <w:spacing w:after="0"/>
              <w:rPr>
                <w:sz w:val="20"/>
                <w:szCs w:val="20"/>
                <w:color w:val="auto"/>
              </w:rPr>
            </w:pPr>
            <w:r>
              <w:rPr>
                <w:rFonts w:ascii="Arial" w:cs="Arial" w:eastAsia="Arial" w:hAnsi="Arial"/>
                <w:sz w:val="18"/>
                <w:szCs w:val="18"/>
                <w:color w:val="auto"/>
                <w:w w:val="91"/>
              </w:rPr>
              <w:t>The following table summarizes warrant activity for the three months ended March 31, 2016:</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2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6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Warrants</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exercise price</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1,186,749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11,341,452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8"/>
                <w:szCs w:val="18"/>
                <w:color w:val="auto"/>
              </w:rPr>
              <w:t>Issued</w:t>
            </w:r>
          </w:p>
        </w:tc>
        <w:tc>
          <w:tcPr>
            <w:tcW w:w="150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Expired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1,177,137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260" w:type="dxa"/>
            <w:vAlign w:val="bottom"/>
            <w:tcBorders>
              <w:top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7,234,896</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options during the three months ended March 31, 2016 and 2015.</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restricted stock for the three months ended March 31, 2016 and 2015,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w w:val="86"/>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March 31, 2016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2"/>
              </w:rPr>
              <w:t>March 31,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4"/>
              </w:rPr>
              <w:t>Stock-based compensation expense associated with restricted stock</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7"/>
              </w:rPr>
              <w:t>1,698,965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5,357,028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5"/>
          </w:tcPr>
          <w:p>
            <w:pPr>
              <w:spacing w:after="0"/>
              <w:rPr>
                <w:sz w:val="20"/>
                <w:szCs w:val="20"/>
                <w:color w:val="auto"/>
              </w:rPr>
            </w:pPr>
            <w:r>
              <w:rPr>
                <w:rFonts w:ascii="Arial" w:cs="Arial" w:eastAsia="Arial" w:hAnsi="Arial"/>
                <w:sz w:val="18"/>
                <w:szCs w:val="18"/>
                <w:color w:val="auto"/>
                <w:w w:val="97"/>
              </w:rPr>
              <w:t>Stock-based compensation expense associated with option grants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7"/>
              </w:rPr>
              <w:t>1,698,965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5,357,028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left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NOTE 6 – NOTES PAYABLE</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w w:val="91"/>
              </w:rPr>
              <w:t>The following is a summary of notes payable: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3"/>
              </w:rPr>
              <w:t>March 31, 2016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b w:val="1"/>
                <w:bCs w:val="1"/>
                <w:color w:val="auto"/>
                <w:w w:val="88"/>
              </w:rPr>
              <w:t>December 31, 2015</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Current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current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portion, net</w:t>
            </w:r>
          </w:p>
        </w:tc>
        <w:tc>
          <w:tcPr>
            <w:tcW w:w="160" w:type="dxa"/>
            <w:vAlign w:val="bottom"/>
          </w:tcPr>
          <w:p>
            <w:pPr>
              <w:spacing w:after="0"/>
              <w:rPr>
                <w:sz w:val="20"/>
                <w:szCs w:val="20"/>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portion, net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4"/>
              </w:rPr>
              <w:t>portion, net</w:t>
            </w:r>
          </w:p>
        </w:tc>
        <w:tc>
          <w:tcPr>
            <w:tcW w:w="2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portion, net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152,917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211,549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152,917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of the Merger Agreement, on March 8, 2010, the Merger Sub merged with and into Ariston (the "Merger"), with Ariston being the surviving corporation of the Merger. As a result of the Merger, Ariston became a wholly-owned subsidiary of Manhattan.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$1,125 per share. Ariston agreed to make quarterly payments on the 5% Notes equal to 50% of the net product cash flow received from the exploitation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Ariston’s product candidates, AST-726 and AST-915. We have no obligation under the 5% Notes aside from a) 50% of the net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Ariston’s product candidates, if any, payable to noteholders; and b) the conversion feature, discussed above. Interest accrues monthly,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to principal on an annual basis, every March 8, and is payable at maturity, which was March 8, 2015.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5" w:name="page16"/>
    <w:bookmarkEnd w:id="15"/>
    <w:p>
      <w:pPr>
        <w:ind w:right="140" w:firstLine="648"/>
        <w:spacing w:after="0" w:line="277" w:lineRule="auto"/>
        <w:rPr>
          <w:sz w:val="20"/>
          <w:szCs w:val="20"/>
          <w:color w:val="auto"/>
        </w:rPr>
      </w:pPr>
      <w:r>
        <w:rPr>
          <w:rFonts w:ascii="Arial" w:cs="Arial" w:eastAsia="Arial" w:hAnsi="Arial"/>
          <w:sz w:val="18"/>
          <w:szCs w:val="18"/>
          <w:color w:val="auto"/>
        </w:rPr>
        <w:t>The cumulative liability including accrued and unpaid interest of these notes was approximately $20.2 million at March 31, 2016 and $19.9 million at December 31, 2015. No payments have been made on the 5% Notes as of March 31, 2016.</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2016 and 2015 and, at March 31, 2016 and December 31, 2015, have deferred revenue of approximately $1.5 million associated with this $2.0 million payment (approximately $0.2 million of which has been classified in current liabilities at March 31, 2016 and December 31, 2015).</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January 30, 2012, we entered into an exclusive license agreement with LFB Biotechnologies, GTC Biotherapeutics and LFB/GTC LLC, all wholly-owned subsidiaries of LFB Group, relating to the development of ublituximab (the “LFB License Agreement”).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did not incur any such expenses during the three months ended March 31, 2016 as compared to $161,000 in expenses for these services during the three months ended March 31, 2015, which have been included in other research and development expenses in the accompanying condensed consolidated statements of operations. As of March 31, 2016 and December 31, 2015, we had approximately $0.1 million and $2.1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March 31, 2016 and December 31, 2015, we recorded approximately $4.4 million and $3.0 million, respectively, in prepaid research and development for such advance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March 2014, we entered into a shared services agreement (the “Opus Shared Services Agreement”) with Opus Point Partners Management, LLC (“Opus”) in which the parties agreed to share the costs of a rented facility and certain other services. Our Executive Chairman and Interim Chief Executive Officer is a Managing Member of Opus. During the three months ended March 31, 2016, we incurred expenses of approximately $0.1 million, principally for rent, related to this agreement. As of March 31, 2016, we had approximately $0.1 million recorded in accounts payable related to this Opus Shared Services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60" w:firstLine="648"/>
        <w:spacing w:after="0" w:line="276" w:lineRule="auto"/>
        <w:rPr>
          <w:sz w:val="20"/>
          <w:szCs w:val="20"/>
          <w:color w:val="auto"/>
        </w:rPr>
      </w:pPr>
      <w:r>
        <w:rPr>
          <w:rFonts w:ascii="Arial" w:cs="Arial" w:eastAsia="Arial" w:hAnsi="Arial"/>
          <w:sz w:val="17"/>
          <w:szCs w:val="17"/>
          <w:color w:val="auto"/>
        </w:rPr>
        <w:t>In October 2014, we entered into an agreement (the “Office Agreement”) with Fortress Biotech, Inc. (“Fortress”), to occupy approximately 45% of the 24,000 square feet of New York City office space leased by Fortress,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Mr. Weiss, our Executive Chairman and Interim CEO, is also Executive Vice Chairman of Fortress.</w:t>
      </w:r>
    </w:p>
    <w:p>
      <w:pPr>
        <w:spacing w:after="0" w:line="17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connection with the Office Agreement, we paid approximately $0.1 million in advance rent, which is recorded in other current assets in the accompanying condensed consolidated balance sheets as of March 31. 2016 and December 31, 2015. During the three months ended March 31, 2016, we agreed to pay Fortress $1.2 million upfront prepaid rent for use of the assets, which have been allocated to us at the 45% rate mentioned above. The allocated build-out costs have been recorded in Prepaid Rent and will be amortized over the 15-year term of the Office Agreement. After an initial commitment period of three (3) years, Fortress will assess actual office space utilization annually and if our utilization differs from the amount we have been billed, we will either receive credits or be assessed incremental utilization charges. As of March 31. 2016, we had approximately $1.0 million recorded in accounts payable related to the upfront prepaid rent. Also in connection with this lease, in October 2014 we pledged $0.6 million to secure a line of credit as a security deposit for the Office Agreement, which has been recorded as restricted cash in the accompanying condensed consolidated balance sheets.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July 2015, we entered into a Shared Services Agreement (the “Shared Services Agreement”) with Fortress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$0.1 million for shared services for the three months ended March 31, 2016.</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March 2015, we entered into a Global Collaboration Agreement (the “Collaboration”) with Checkpoint Therapeutics, Inc. (“Checkpoint”), a subsidiary of Fortress, for the development and commercialization of Checkpoint’s anti-PD-L1 and anti-GITR antibody research programs. As of March 31, 2016, we had approximately $0.1 million recorded in accounts payable related to certain shared costs under the collaboration. Mr. Weiss is also the Executive Chairman of Checkpoint.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Subsequent to March 31, 2016, we sold an aggregate of 212,914 shares of common stock pursuant to our At-the-Market Issuance Sales Agreement (the “ATM”) for total gross proceeds of approximately $2.2 million at an average selling price of $10.12 per share, resulting in net proceeds of approximately $2.1 million after deducting commissions and other transaction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87" w:lineRule="exact"/>
        <w:rPr>
          <w:sz w:val="20"/>
          <w:szCs w:val="20"/>
          <w:color w:val="auto"/>
        </w:rPr>
      </w:pPr>
    </w:p>
    <w:p>
      <w:pPr>
        <w:ind w:right="6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2014 of more than $8 billion.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w:t>
      </w:r>
    </w:p>
    <w:p>
      <w:pPr>
        <w:spacing w:after="0" w:line="15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81" w:lineRule="exact"/>
        <w:rPr>
          <w:sz w:val="20"/>
          <w:szCs w:val="20"/>
          <w:color w:val="auto"/>
        </w:rPr>
      </w:pPr>
    </w:p>
    <w:p>
      <w:pPr>
        <w:ind w:left="1300" w:right="40" w:hanging="320"/>
        <w:spacing w:after="0" w:line="25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spacing w:after="0" w:line="1" w:lineRule="exact"/>
        <w:rPr>
          <w:rFonts w:ascii="Arial" w:cs="Arial" w:eastAsia="Arial" w:hAnsi="Arial"/>
          <w:sz w:val="18"/>
          <w:szCs w:val="18"/>
          <w:color w:val="auto"/>
        </w:rPr>
      </w:pPr>
    </w:p>
    <w:p>
      <w:pPr>
        <w:ind w:left="1300" w:right="60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 delta inhibitor, for patients with front line and previously treated CLL; and</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8" w:name="page19"/>
    <w:bookmarkEnd w:id="18"/>
    <w:p>
      <w:pPr>
        <w:ind w:right="360" w:firstLine="648"/>
        <w:spacing w:after="0" w:line="264" w:lineRule="auto"/>
        <w:rPr>
          <w:sz w:val="20"/>
          <w:szCs w:val="20"/>
          <w:color w:val="auto"/>
        </w:rPr>
      </w:pPr>
      <w:r>
        <w:rPr>
          <w:rFonts w:ascii="Arial" w:cs="Arial" w:eastAsia="Arial" w:hAnsi="Arial"/>
          <w:sz w:val="18"/>
          <w:szCs w:val="18"/>
          <w:color w:val="auto"/>
        </w:rPr>
        <w:t>In addition, we have announced our intent of evaluating TG-1101 for the treatment of certain autoimmune diseases. Currently, TG-1101 is being evaluated as single agent for the treatment of acute neuromyelitis optica (NMO) relapses, with additional autoimmune related indications planned to be studied. Further details on our priority ongoing combination trials for TG-1101 are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reached an agreement with the U.S. Food and Drug Administration (FDA) regarding a Special Protocol Assessment (SPA) on the design, endpoints and statistical analysis approach of a Phase 3 clinical trial for TG-1101 + ibrutinib for the treatment of previously treated CLL patients with high risk cytogenetics. The SPA provides agreement that the Phase 3 trial design adequately addresses objectives that would support the regulatory submission for drug approval.</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Phase 3 trial, named the GENUINE trial, is a randomized controlled clinical trial, with patients receiving either TG-1101 plus ibrutinib or ibrutinib alone. The trial will enroll approximately 330 patients, with the first 200 patients evaluated for overall response rate (ORR), and all patients followed for progression-free survival (PFS). As per the SPA, if the data is positive, we plan to use the ORR data from the trial as the basis for submission of a Biologics License Application (BLA) for accelerated approval for TG-1101, with the PFS assessment intended to support a filing for full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w:t>
      </w:r>
    </w:p>
    <w:p>
      <w:pPr>
        <w:ind w:right="80"/>
        <w:spacing w:after="0" w:line="229" w:lineRule="auto"/>
        <w:rPr>
          <w:sz w:val="20"/>
          <w:szCs w:val="20"/>
          <w:color w:val="auto"/>
        </w:rPr>
      </w:pPr>
      <w:r>
        <w:rPr>
          <w:rFonts w:ascii="Arial" w:cs="Arial" w:eastAsia="Arial" w:hAnsi="Arial"/>
          <w:sz w:val="18"/>
          <w:szCs w:val="18"/>
          <w:color w:val="auto"/>
        </w:rPr>
        <w:t>into four treatment arms: TG-1101 + TGR-1202, TG-1101 alone, TGR-1202 alone, and an active control arm of obinutuzumab (GAZYVA</w:t>
      </w:r>
      <w:r>
        <w:rPr>
          <w:rFonts w:ascii="Arial" w:cs="Arial" w:eastAsia="Arial" w:hAnsi="Arial"/>
          <w:sz w:val="30"/>
          <w:szCs w:val="30"/>
          <w:color w:val="auto"/>
          <w:vertAlign w:val="superscript"/>
        </w:rPr>
        <w:t>®</w:t>
      </w:r>
      <w:r>
        <w:rPr>
          <w:rFonts w:ascii="Arial" w:cs="Arial" w:eastAsia="Arial" w:hAnsi="Arial"/>
          <w:sz w:val="18"/>
          <w:szCs w:val="18"/>
          <w:color w:val="auto"/>
        </w:rPr>
        <w:t>)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Update TGR-1202</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April 2016, at the American Association for Cancer Research (AACR) Annual Meeting 2016, in New Orleans, Louisiana the Company presented pre-clinical data describing the differential regulation of human T-cells by TGR-1202 in a poster presentation.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combination clinical trials for TGR-1202 are:</w:t>
      </w:r>
    </w:p>
    <w:p>
      <w:pPr>
        <w:spacing w:after="0" w:line="86"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TGR-1202 in combination with the anti-CD20 antibody, obinutuzumab (GAZYVA</w:t>
      </w:r>
      <w:r>
        <w:rPr>
          <w:rFonts w:ascii="Arial" w:cs="Arial" w:eastAsia="Arial" w:hAnsi="Arial"/>
          <w:sz w:val="30"/>
          <w:szCs w:val="30"/>
          <w:color w:val="auto"/>
          <w:vertAlign w:val="superscript"/>
        </w:rPr>
        <w:t>®</w:t>
      </w:r>
      <w:r>
        <w:rPr>
          <w:rFonts w:ascii="Arial" w:cs="Arial" w:eastAsia="Arial" w:hAnsi="Arial"/>
          <w:sz w:val="18"/>
          <w:szCs w:val="18"/>
          <w:color w:val="auto"/>
        </w:rPr>
        <w:t>) and chlorambucil in patients with CLL;</w:t>
      </w:r>
    </w:p>
    <w:p>
      <w:pPr>
        <w:ind w:left="1300" w:right="200" w:hanging="320"/>
        <w:spacing w:after="0" w:line="183" w:lineRule="auto"/>
        <w:tabs>
          <w:tab w:leader="none" w:pos="1300" w:val="left"/>
        </w:tabs>
        <w:numPr>
          <w:ilvl w:val="0"/>
          <w:numId w:val="6"/>
        </w:numPr>
        <w:rPr>
          <w:rFonts w:ascii="Arial" w:cs="Arial" w:eastAsia="Arial" w:hAnsi="Arial"/>
          <w:sz w:val="32"/>
          <w:szCs w:val="32"/>
          <w:color w:val="auto"/>
          <w:vertAlign w:val="superscript"/>
        </w:rPr>
      </w:pPr>
      <w:r>
        <w:rPr>
          <w:rFonts w:ascii="Arial" w:cs="Arial" w:eastAsia="Arial" w:hAnsi="Arial"/>
          <w:sz w:val="17"/>
          <w:szCs w:val="17"/>
          <w:color w:val="auto"/>
        </w:rPr>
        <w:t>TGR-1202 in combination with the anti-CD30 antibody drug conjugate, brentuximab vedotin (ADCETRIS</w:t>
      </w:r>
      <w:r>
        <w:rPr>
          <w:rFonts w:ascii="Arial" w:cs="Arial" w:eastAsia="Arial" w:hAnsi="Arial"/>
          <w:sz w:val="27"/>
          <w:szCs w:val="27"/>
          <w:color w:val="auto"/>
          <w:vertAlign w:val="superscript"/>
        </w:rPr>
        <w:t>®</w:t>
      </w:r>
      <w:r>
        <w:rPr>
          <w:rFonts w:ascii="Arial" w:cs="Arial" w:eastAsia="Arial" w:hAnsi="Arial"/>
          <w:sz w:val="17"/>
          <w:szCs w:val="17"/>
          <w:color w:val="auto"/>
        </w:rPr>
        <w:t>), in patients with relapsed or refractory Hodgkin’s lymphoma;</w:t>
      </w: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9" w:lineRule="exact"/>
        <w:rPr>
          <w:rFonts w:ascii="Arial" w:cs="Arial" w:eastAsia="Arial" w:hAnsi="Arial"/>
          <w:sz w:val="18"/>
          <w:szCs w:val="18"/>
          <w:color w:val="auto"/>
        </w:rPr>
      </w:pPr>
    </w:p>
    <w:p>
      <w:pPr>
        <w:ind w:left="1300" w:right="1000" w:hanging="320"/>
        <w:spacing w:after="0" w:line="182" w:lineRule="auto"/>
        <w:tabs>
          <w:tab w:leader="none" w:pos="130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TGR-1202 in combination with the JAK inhibitor, ruxolitinib (JAKAFI</w:t>
      </w:r>
      <w:r>
        <w:rPr>
          <w:rFonts w:ascii="Arial" w:cs="Arial" w:eastAsia="Arial" w:hAnsi="Arial"/>
          <w:sz w:val="30"/>
          <w:szCs w:val="30"/>
          <w:color w:val="auto"/>
          <w:vertAlign w:val="superscript"/>
        </w:rPr>
        <w:t>®</w:t>
      </w:r>
      <w:r>
        <w:rPr>
          <w:rFonts w:ascii="Arial" w:cs="Arial" w:eastAsia="Arial" w:hAnsi="Arial"/>
          <w:sz w:val="18"/>
          <w:szCs w:val="18"/>
          <w:color w:val="auto"/>
        </w:rPr>
        <w:t>), in patients with previously treated Myelofibrosis or Polycythemia Vera.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Data from this ongoing Phase I study was most recently presented at the 57th Annual American Society of Hematology (ASH) meeting held in December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Combination with obinutuzumab and chlorambucil in patients with CLL</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March 2014, the Company initiated a Phase I/Ib, open label, multi-center, clinical trial of TGR-1202 in combination with obinutuzumab and chlorambucil in patients with CLL, both treatment naïve and relapsed. The study entitled TGR-GA-106, "A Multi-center Phase I/Ib Study Evaluating the Efficacy and Safety of TGR-1202, a Novel PI3K Delta Inhibitor, in Combination with Obinutuzumab and Chlorambucil in Patients with Chronic Lymphocytic Leukemia (CLL)," is being led by Dr. Daruka Mahadevan of the West Clinic in Memphis, TN. As of February 2016, this study has completed enrollment.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from the study was presented at the 57th Annual American Society of Hematology (ASH) meeting held in December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It is anticipated that preliminary results from these studies will be presented at future medical conferences.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 held in Philadelphia, PA.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12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and 2015</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$38,095 for each of the three months ended March 31, 2016 and 2015.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totaled $386,925 for the three months ended March 31, 2016, as compared to $1,337,908 during the comparable period in 2015. The decrease in noncash compensation expense was primarily related to milestone-based vesting of restricted stock grants to personnel that occurred during the period ended March 31, 2015 and a decrease in the measurement date fair value of certain consultant restricted stock during the period ended March 31, 2016.</w:t>
      </w:r>
    </w:p>
    <w:p>
      <w:pPr>
        <w:spacing w:after="0" w:line="154"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i w:val="1"/>
          <w:iCs w:val="1"/>
          <w:color w:val="auto"/>
        </w:rPr>
        <w:t>Other Research and Development Expenses</w:t>
      </w:r>
      <w:r>
        <w:rPr>
          <w:rFonts w:ascii="Arial" w:cs="Arial" w:eastAsia="Arial" w:hAnsi="Arial"/>
          <w:sz w:val="17"/>
          <w:szCs w:val="17"/>
          <w:color w:val="auto"/>
        </w:rPr>
        <w:t>. Other research and development expenses increased by $2,950,984 to $11,230,415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2016, as compared to $8,279,431 for the three months ended March 31, 2015. The increase was mainly due to an increase in manufacturing and clinical trial expenses related to TGR-1202 of $2.0 million, partially offset by a decrease in manufacturing and clinical trial expenses related to TG-1101 of $0.7 million during the three months ended March 31, 2016. We expect our other research and development costs to increase for the remainder of 2016 as the enrollment of Phase 3 clinical trials increases and we prepare for launch.</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decreased by $2,707,080 to $1,312,040 for the three months ended March 31, 2016, as compared to $4,019,120 for the three months ended March 31, 2015. The decrease in noncash compensation expense was primarily related to a decrease in the measurement date fair value of certain consultant restricted stock during the period ended March 31, 2016.</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$96,384 to $1,100,871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2016, as compared to $1,004,487 for the three months ended March 31, 2015. The increase was due primarily to increased personnel and other general and administrative costs. We expect our other general and administrative expenses to remain at a comparable level for the remainder of 2016.</w:t>
      </w:r>
    </w:p>
    <w:p>
      <w:pPr>
        <w:spacing w:after="0" w:line="14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increased by $118,378 to $143,494 for the three months ended March 31, 2016, as compared to $25,116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2015. The increase is mainly due to an increase in interest income for the three months ended March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As of March 31, 2016, we had approximately $85.3 million in cash and cash equivalents, investment securities, and interest receivable.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anticipate that our cash and cash equivalents as of March 31, 2016 are sufficient to fund our anticipated operating cash requirements for more than 24 months from March 31, 2016.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Cash used in operating activities for the three months ended March 31, 2016 was $16,673,541 as compared to $8,882,353 for the three months ended March 31, 2015. The increase in cash used in operating activities was due primarily to increased expenditures associated with our clinical development programs for TG-1101 and TGR-1202.</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three months ended March 31, 2016, net cash used in investing activities was $1,923,531 as compared to cash provided by investing activities of $3,843,117 for the three months ended March 31, 2015. The decrease in net cash provided by investing activities was primarily due to maturities of investment in held-to-maturity treasury securities during the three months ended March 31, 2015.</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For the three months ended March 31, 2016, net cash provided by financing activities of $14,163 related to proceeds from the exercise of warrants. For the three months ended March 31, 2015, net cash provided by financing activities of $35,329,897 related to our ATM program, as well as proceeds from the exercise of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right="20" w:firstLine="648"/>
        <w:spacing w:after="0" w:line="270"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We have granted stock options and restricted stock to employees, directors and consultants, as well as warrants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Accounting Related to Goodwill. </w:t>
      </w:r>
      <w:r>
        <w:rPr>
          <w:rFonts w:ascii="Arial" w:cs="Arial" w:eastAsia="Arial" w:hAnsi="Arial"/>
          <w:sz w:val="18"/>
          <w:szCs w:val="18"/>
          <w:color w:val="auto"/>
        </w:rPr>
        <w:t>As of March 31, 2016 and December 31, 2015, there was $799,391 of goodwill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March 2016, the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2016,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2016,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2016, our disclosure controls and procedures were effective.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2016 that have materially affected, or are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inhibitors, nor for our anti-PD-L1 and anti-GITR antibodies. Additionally, there can be no assurance given that any of the molecules under development in our IRAK4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ind w:right="4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anti-PD-L1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100" w:firstLine="648"/>
        <w:spacing w:after="0" w:line="287" w:lineRule="auto"/>
        <w:rPr>
          <w:sz w:val="20"/>
          <w:szCs w:val="20"/>
          <w:color w:val="auto"/>
        </w:rPr>
      </w:pPr>
      <w:r>
        <w:rPr>
          <w:rFonts w:ascii="Arial" w:cs="Arial" w:eastAsia="Arial" w:hAnsi="Arial"/>
          <w:sz w:val="16"/>
          <w:szCs w:val="16"/>
          <w:color w:val="auto"/>
        </w:rPr>
        <w:t>In September 2014, we announced a Phase 3 clinical trial for TG-1101 in previously treated patients with high-risk CLL, and in September 2015 we announced a Phase 3 clinical trial for the combination of TG-1101 + TGR-1202 for patients with CLL, each of which are being conducted pursuant to SPAs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1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980" w:right="66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w:t>
      </w:r>
    </w:p>
    <w:p>
      <w:pPr>
        <w:spacing w:after="0" w:line="267" w:lineRule="auto"/>
        <w:rPr>
          <w:sz w:val="20"/>
          <w:szCs w:val="20"/>
          <w:color w:val="auto"/>
        </w:rPr>
      </w:pPr>
      <w:r>
        <w:rPr>
          <w:rFonts w:ascii="Arial" w:cs="Arial" w:eastAsia="Arial" w:hAnsi="Arial"/>
          <w:sz w:val="17"/>
          <w:szCs w:val="17"/>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more than 80 patients have been dosed in the ongoing first-in-human dose-escalation Phase I single agent study, the full adverse effect profile of TGR-1202 is not known. It is unknown as the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16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0" w:name="page31"/>
    <w:bookmarkEnd w:id="30"/>
    <w:p>
      <w:pPr>
        <w:ind w:right="10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0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are currently in the process of engaging a secondary manufacturer for TG-1101 to meet our current clinical and future commercial needs and anticipate engaging additional manufacturing sources for TGR-1202 to meet expanded clinical trial and commercial needs. No assurance can be given that the secondary manufacturing will be successful or that material manufactured by the secondary manufacturer will perform comparably to TG-1101 or TGR-1202 as manufactured to date and used in currently available pre-clinical data and or in early clinical trials reported in this or any previous filing. If the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6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If approved, we expect TG-1101 to compete directly with Roche Group’s Rituxan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(rituximab) and Gazyva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(obinutuzumab or GA-101), and Genmab and GlaxoSmithKline’s Arzerra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With respect to TGR-1202, there are several PI3K delta targeted compounds both approved, such as Gilead’s Zydelig™ (idelalisib), and in development, including, but not limited to, Infinity Pharmaceuticals’ duvelisib (IPI-145)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and WM and marketed by AbbVie and Janssen), the BTK inhibitor ACP-196 (under development by AstraZeneca), or the BCL-2 inhibitor ABT-199 (under clinical development by AbbVie and Roche).</w:t>
      </w:r>
    </w:p>
    <w:p>
      <w:pPr>
        <w:spacing w:after="0" w:line="193" w:lineRule="exact"/>
        <w:rPr>
          <w:sz w:val="20"/>
          <w:szCs w:val="20"/>
          <w:color w:val="auto"/>
        </w:rPr>
      </w:pPr>
    </w:p>
    <w:p>
      <w:pPr>
        <w:ind w:right="56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18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May 1, 2016, we had forty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40" w:firstLine="648"/>
        <w:spacing w:after="0" w:line="269" w:lineRule="auto"/>
        <w:rPr>
          <w:sz w:val="20"/>
          <w:szCs w:val="20"/>
          <w:color w:val="auto"/>
        </w:rPr>
      </w:pPr>
      <w:r>
        <w:rPr>
          <w:rFonts w:ascii="Arial" w:cs="Arial" w:eastAsia="Arial" w:hAnsi="Arial"/>
          <w:sz w:val="17"/>
          <w:szCs w:val="17"/>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ind w:right="38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4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0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66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39" w:name="page40"/>
    <w:bookmarkEnd w:id="39"/>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right="100" w:firstLine="648"/>
        <w:spacing w:after="0" w:line="293"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of March 31, 2016, we had net cash, cash equivalents, investment securities and interest receivable of approximately $85.3 million. We believe that our cash and cash equivalents and investments will sustain our operations for more than 24 months from March 31, 2016.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right="80" w:firstLine="648"/>
        <w:spacing w:after="0" w:line="273" w:lineRule="auto"/>
        <w:rPr>
          <w:sz w:val="20"/>
          <w:szCs w:val="20"/>
          <w:color w:val="auto"/>
        </w:rPr>
      </w:pPr>
      <w:r>
        <w:rPr>
          <w:rFonts w:ascii="Arial" w:cs="Arial" w:eastAsia="Arial" w:hAnsi="Arial"/>
          <w:sz w:val="17"/>
          <w:szCs w:val="17"/>
          <w:color w:val="auto"/>
        </w:rPr>
        <w:t>We have never been profitable and, as of March 31, 2016, we had an accumulated deficit of $172.0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56%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p>
      <w:pPr>
        <w:ind w:left="1500" w:hanging="850"/>
        <w:spacing w:after="0" w:line="277" w:lineRule="auto"/>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May 10, 2016.</w:t>
      </w:r>
    </w:p>
    <w:p>
      <w:pPr>
        <w:spacing w:after="0" w:line="170" w:lineRule="exact"/>
        <w:rPr>
          <w:sz w:val="20"/>
          <w:szCs w:val="20"/>
          <w:color w:val="auto"/>
        </w:rPr>
      </w:pPr>
    </w:p>
    <w:p>
      <w:pPr>
        <w:ind w:left="1500" w:hanging="850"/>
        <w:spacing w:after="0" w:line="277" w:lineRule="auto"/>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May 10, 2016.</w:t>
      </w:r>
    </w:p>
    <w:p>
      <w:pPr>
        <w:spacing w:after="0" w:line="170" w:lineRule="exact"/>
        <w:rPr>
          <w:sz w:val="20"/>
          <w:szCs w:val="20"/>
          <w:color w:val="auto"/>
        </w:rPr>
      </w:pPr>
    </w:p>
    <w:p>
      <w:pPr>
        <w:ind w:left="1500" w:hanging="850"/>
        <w:spacing w:after="0" w:line="277" w:lineRule="auto"/>
        <w:tabs>
          <w:tab w:leader="none" w:pos="1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§1350, as adopted pursuant to Section 906 of the Sarbanes-Oxley Act of 2002, dated May 10, 2016.</w:t>
      </w:r>
    </w:p>
    <w:p>
      <w:pPr>
        <w:spacing w:after="0" w:line="170" w:lineRule="exact"/>
        <w:rPr>
          <w:sz w:val="20"/>
          <w:szCs w:val="20"/>
          <w:color w:val="auto"/>
        </w:rPr>
      </w:pPr>
    </w:p>
    <w:p>
      <w:pPr>
        <w:ind w:left="1500" w:hanging="850"/>
        <w:spacing w:after="0" w:line="277" w:lineRule="auto"/>
        <w:tabs>
          <w:tab w:leader="none" w:pos="1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§1350, as adopted pursuant to Section 906 of the Sarbanes-Oxley Act of 2002, dated May 10, 2016.</w:t>
      </w:r>
    </w:p>
    <w:p>
      <w:pPr>
        <w:spacing w:after="0" w:line="170" w:lineRule="exact"/>
        <w:rPr>
          <w:sz w:val="20"/>
          <w:szCs w:val="20"/>
          <w:color w:val="auto"/>
        </w:rPr>
      </w:pPr>
    </w:p>
    <w:p>
      <w:pPr>
        <w:jc w:val="both"/>
        <w:ind w:left="1500" w:hanging="844"/>
        <w:spacing w:after="0" w:line="302" w:lineRule="auto"/>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March 31, 2016,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3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4"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TG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10, 2016</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Sean A. Power</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6" w:name="page47"/>
    <w:bookmarkEnd w:id="46"/>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25" w:lineRule="exact"/>
        <w:rPr>
          <w:sz w:val="20"/>
          <w:szCs w:val="20"/>
          <w:color w:val="auto"/>
        </w:rPr>
      </w:pPr>
    </w:p>
    <w:p>
      <w:pPr>
        <w:ind w:left="1500" w:right="100" w:hanging="850"/>
        <w:spacing w:after="0" w:line="277" w:lineRule="auto"/>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May 10, 2016.</w:t>
      </w:r>
    </w:p>
    <w:p>
      <w:pPr>
        <w:spacing w:after="0" w:line="170" w:lineRule="exact"/>
        <w:rPr>
          <w:sz w:val="20"/>
          <w:szCs w:val="20"/>
          <w:color w:val="auto"/>
        </w:rPr>
      </w:pPr>
    </w:p>
    <w:p>
      <w:pPr>
        <w:ind w:left="1500" w:right="140" w:hanging="850"/>
        <w:spacing w:after="0" w:line="277" w:lineRule="auto"/>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May 10, 2016.</w:t>
      </w:r>
    </w:p>
    <w:p>
      <w:pPr>
        <w:spacing w:after="0" w:line="170" w:lineRule="exact"/>
        <w:rPr>
          <w:sz w:val="20"/>
          <w:szCs w:val="20"/>
          <w:color w:val="auto"/>
        </w:rPr>
      </w:pPr>
    </w:p>
    <w:p>
      <w:pPr>
        <w:ind w:left="1500" w:hanging="850"/>
        <w:spacing w:after="0" w:line="277" w:lineRule="auto"/>
        <w:tabs>
          <w:tab w:leader="none" w:pos="1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§1350, as adopted pursuant to Section 906 of the Sarbanes-Oxley Act of 2002, dated May 10, 2016.</w:t>
      </w:r>
    </w:p>
    <w:p>
      <w:pPr>
        <w:spacing w:after="0" w:line="170" w:lineRule="exact"/>
        <w:rPr>
          <w:sz w:val="20"/>
          <w:szCs w:val="20"/>
          <w:color w:val="auto"/>
        </w:rPr>
      </w:pPr>
    </w:p>
    <w:p>
      <w:pPr>
        <w:ind w:left="1500" w:right="40" w:hanging="850"/>
        <w:spacing w:after="0" w:line="277" w:lineRule="auto"/>
        <w:tabs>
          <w:tab w:leader="none" w:pos="1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§1350, as adopted pursuant to Section 906 of the Sarbanes-Oxley Act of 2002, dated May 10, 2016.</w:t>
      </w:r>
    </w:p>
    <w:p>
      <w:pPr>
        <w:spacing w:after="0" w:line="170" w:lineRule="exact"/>
        <w:rPr>
          <w:sz w:val="20"/>
          <w:szCs w:val="20"/>
          <w:color w:val="auto"/>
        </w:rPr>
      </w:pPr>
    </w:p>
    <w:p>
      <w:pPr>
        <w:ind w:left="1500" w:right="60" w:hanging="844"/>
        <w:spacing w:after="0" w:line="302" w:lineRule="auto"/>
        <w:tabs>
          <w:tab w:leader="none" w:pos="1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March 31, 2016,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3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5" w:right="6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May 10, 2016</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160" w:type="dxa"/>
            <w:vAlign w:val="bottom"/>
          </w:tcPr>
          <w:p>
            <w:pPr>
              <w:spacing w:after="0"/>
              <w:rPr>
                <w:sz w:val="16"/>
                <w:szCs w:val="16"/>
                <w:color w:val="auto"/>
              </w:rPr>
            </w:pPr>
          </w:p>
        </w:tc>
        <w:tc>
          <w:tcPr>
            <w:tcW w:w="62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May 10, 2016</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160" w:type="dxa"/>
            <w:vAlign w:val="bottom"/>
          </w:tcPr>
          <w:p>
            <w:pPr>
              <w:spacing w:after="0"/>
              <w:rPr>
                <w:sz w:val="16"/>
                <w:szCs w:val="16"/>
                <w:color w:val="auto"/>
              </w:rPr>
            </w:pPr>
          </w:p>
        </w:tc>
        <w:tc>
          <w:tcPr>
            <w:tcW w:w="62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2016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May 10, 2016</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160" w:type="dxa"/>
            <w:vAlign w:val="bottom"/>
          </w:tcPr>
          <w:p>
            <w:pPr>
              <w:spacing w:after="0"/>
              <w:rPr>
                <w:sz w:val="16"/>
                <w:szCs w:val="16"/>
                <w:color w:val="auto"/>
              </w:rPr>
            </w:pPr>
          </w:p>
        </w:tc>
        <w:tc>
          <w:tcPr>
            <w:tcW w:w="62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2016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May 10, 2016</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160" w:type="dxa"/>
            <w:vAlign w:val="bottom"/>
          </w:tcPr>
          <w:p>
            <w:pPr>
              <w:spacing w:after="0"/>
              <w:rPr>
                <w:sz w:val="16"/>
                <w:szCs w:val="16"/>
                <w:color w:val="auto"/>
              </w:rPr>
            </w:pPr>
          </w:p>
        </w:tc>
        <w:tc>
          <w:tcPr>
            <w:tcW w:w="62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10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2019-12-29T11:21:56Z</dcterms:created>
  <dcterms:modified xsi:type="dcterms:W3CDTF">2019-12-29T11:21:56Z</dcterms:modified>
</cp:coreProperties>
</file>