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00" w:right="2780" w:hanging="1314"/>
        <w:spacing w:after="0" w:line="275" w:lineRule="auto"/>
        <w:tabs>
          <w:tab w:leader="none" w:pos="298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00" w:right="2780" w:hanging="1321"/>
        <w:spacing w:after="0" w:line="275" w:lineRule="auto"/>
        <w:tabs>
          <w:tab w:leader="none" w:pos="29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71" w:right="239" w:bottom="1440" w:gutter="0" w:footer="0" w:header="0"/>
        </w:sectPr>
      </w:pPr>
    </w:p>
    <w:p>
      <w:pPr>
        <w:spacing w:after="0" w:line="20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1071" w:right="239" w:bottom="1440" w:gutter="0" w:footer="0" w:header="0"/>
          <w:type w:val="continuous"/>
        </w:sectPr>
      </w:pP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1071" w:right="239" w:bottom="1440" w:gutter="0" w:footer="0" w:header="0"/>
          <w:type w:val="continuous"/>
        </w:sectPr>
      </w:pP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20" w:space="720"/>
            <w:col w:w="1380"/>
          </w:cols>
          <w:pgMar w:left="240" w:top="1071"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700" w:space="40"/>
            <w:col w:w="6840" w:space="720"/>
            <w:col w:w="2120"/>
          </w:cols>
          <w:pgMar w:left="240" w:top="1071" w:right="239" w:bottom="1440" w:gutter="0" w:footer="0" w:header="0"/>
          <w:type w:val="continuous"/>
        </w:sectPr>
      </w:pPr>
    </w:p>
    <w:p>
      <w:pPr>
        <w:spacing w:after="0" w:line="16" w:lineRule="exact"/>
        <w:rPr>
          <w:sz w:val="24"/>
          <w:szCs w:val="24"/>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071" w:right="23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There were 70,652,267 shares of the registrant’s common stock, $0.001 par value, outstanding as of November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Balance Sheets as of September 30, 2017 (unaudited) and December 31, 2016</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Condensed Consolidated Statements of Operations for the three and nine months ended September 30, 2017 and 2016</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(unaudited)</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Condensed Consolidated Statement of Stockholders’ Equity for the nine months ended September 30, 2017 (unaudited)</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Condensed Consolidated Statements of Cash Flows for the nine months ended September 30, 2017 and 2016 (unaudited)</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INFORMATION</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w:t>
            </w:r>
          </w:p>
        </w:tc>
        <w:tc>
          <w:tcPr>
            <w:tcW w:w="12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79"/>
              </w:rPr>
              <w:t>48</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60" w:type="dxa"/>
            <w:vAlign w:val="bottom"/>
          </w:tcPr>
          <w:p>
            <w:pPr>
              <w:ind w:left="478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486"/>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63" w:lineRule="exact"/>
        <w:rPr>
          <w:sz w:val="20"/>
          <w:szCs w:val="20"/>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980" w:hanging="162"/>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46"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360" w:firstLine="486"/>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September 30</w:t>
            </w: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(Note 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91,842,167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25,031,280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19,853,860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5,022,846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5,678,755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796,283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216,397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97,661,296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50,864,144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2,466,202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2,042,281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799,391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164,375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101,781,514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54,781,547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18,179,772</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15,267,668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19,789,614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16,878,440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1,341,372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816,257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1,104,762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1,219,048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22,235,748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18,913,745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2"/>
              </w:rPr>
              <w:t>Preferred stock, $0.001 par value per share (10,000,000 shares authorized, none issued and outstanding as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September 30, 2017 and December 31, 2016)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$0.001 par value per share (150,000,000 shares authorized, 70,693,576 and 56,820,422 shares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8"/>
              </w:rPr>
              <w:t>issued; 70,652,267 and 56,779,113 shares outstanding at September 30, 2017 and December 31, 2016,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403,712,474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272,432,139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September 30, 2017 and December 31, 2016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(324,003,065)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(236,386,820)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79,545,766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35,867,802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101,781,514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54,781,547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6"/>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License 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38,096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38,096</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114,286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114,286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1,814,288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919,648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5,386,709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1,873,730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25,334,762</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20,878,108</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71,150,033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45,075,097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27,149,050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21,797,756</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76,536,742</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46,948,827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3,075,835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1,914,390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6,988,597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4,307,670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1,398,438</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1,251,421</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4,265,967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3,798,859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4,474,273</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3,165,811</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11,254,564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8,106,529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31,623,323</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24,963,567</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87,791,306</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55,055,356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(31,585,227)</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(24,925,471)</w:t>
            </w: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(87,677,020)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(54,941,070)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(87,965)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(174,056)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(265,456)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29,588</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(6,479)</w:t>
            </w: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113,281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(49,575)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(94,444)</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(60,775)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(31,535,652)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(24,831,027)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0"/>
              </w:rPr>
              <w:t>(87,616,245)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(54,578,751)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0"/>
              </w:rPr>
              <w:t>Weighted average shares used in computing basic and diluted net loss per 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65,079,128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49,203,277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60,552,084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48,961,582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6"/>
            <w:shd w:val="clear" w:color="auto" w:fill="CCEEFF"/>
          </w:tcPr>
          <w:p>
            <w:pPr>
              <w:jc w:val="right"/>
              <w:ind w:right="54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6"/>
            <w:shd w:val="clear" w:color="auto" w:fill="CCEEFF"/>
          </w:tcPr>
          <w:p>
            <w:pPr>
              <w:jc w:val="right"/>
              <w:ind w:right="440"/>
              <w:spacing w:after="0"/>
              <w:rPr>
                <w:sz w:val="20"/>
                <w:szCs w:val="20"/>
                <w:color w:val="auto"/>
              </w:rPr>
            </w:pPr>
            <w:r>
              <w:rPr>
                <w:rFonts w:ascii="Arial" w:cs="Arial" w:eastAsia="Arial" w:hAnsi="Arial"/>
                <w:sz w:val="15"/>
                <w:szCs w:val="15"/>
                <w:b w:val="1"/>
                <w:bCs w:val="1"/>
                <w:color w:val="auto"/>
              </w:rPr>
              <w:t>Treasury Stock</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89"/>
              </w:rPr>
              <w:t>Additional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3"/>
              </w:rPr>
              <w:t>paid-in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line="162" w:lineRule="exact"/>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88"/>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capital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88"/>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January 1, 2017</w:t>
            </w:r>
          </w:p>
        </w:tc>
        <w:tc>
          <w:tcPr>
            <w:tcW w:w="11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56,820,422</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56,820</w:t>
            </w:r>
          </w:p>
        </w:tc>
        <w:tc>
          <w:tcPr>
            <w:tcW w:w="1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$ 272,432,139</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41,309</w:t>
            </w:r>
          </w:p>
        </w:tc>
        <w:tc>
          <w:tcPr>
            <w:tcW w:w="3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6"/>
              </w:rPr>
              <w:t>(234,337)</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(236,386,820)</w:t>
            </w:r>
          </w:p>
        </w:tc>
        <w:tc>
          <w:tcPr>
            <w:tcW w:w="3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35,867,802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tcPr>
          <w:p>
            <w:pPr>
              <w:spacing w:after="0" w:line="153" w:lineRule="exact"/>
              <w:rPr>
                <w:sz w:val="20"/>
                <w:szCs w:val="20"/>
                <w:color w:val="auto"/>
              </w:rPr>
            </w:pPr>
            <w:r>
              <w:rPr>
                <w:rFonts w:ascii="Arial" w:cs="Arial" w:eastAsia="Arial" w:hAnsi="Arial"/>
                <w:sz w:val="15"/>
                <w:szCs w:val="15"/>
                <w:color w:val="auto"/>
                <w:w w:val="90"/>
              </w:rPr>
              <w:t>Issuance of common stock in connection with exercise of</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spacing w:after="0" w:line="172" w:lineRule="exact"/>
              <w:rPr>
                <w:sz w:val="20"/>
                <w:szCs w:val="20"/>
                <w:color w:val="auto"/>
              </w:rPr>
            </w:pPr>
            <w:r>
              <w:rPr>
                <w:rFonts w:ascii="Arial" w:cs="Arial" w:eastAsia="Arial" w:hAnsi="Arial"/>
                <w:sz w:val="15"/>
                <w:szCs w:val="15"/>
                <w:color w:val="auto"/>
              </w:rPr>
              <w:t>warrants</w:t>
            </w:r>
          </w:p>
        </w:tc>
        <w:tc>
          <w:tcPr>
            <w:tcW w:w="1140" w:type="dxa"/>
            <w:vAlign w:val="bottom"/>
            <w:gridSpan w:val="3"/>
          </w:tcPr>
          <w:p>
            <w:pPr>
              <w:jc w:val="right"/>
              <w:ind w:right="160"/>
              <w:spacing w:after="0" w:line="172" w:lineRule="exact"/>
              <w:rPr>
                <w:sz w:val="20"/>
                <w:szCs w:val="20"/>
                <w:color w:val="auto"/>
              </w:rPr>
            </w:pPr>
            <w:r>
              <w:rPr>
                <w:rFonts w:ascii="Arial" w:cs="Arial" w:eastAsia="Arial" w:hAnsi="Arial"/>
                <w:sz w:val="15"/>
                <w:szCs w:val="15"/>
                <w:color w:val="auto"/>
              </w:rPr>
              <w:t>887,585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888</w:t>
            </w:r>
          </w:p>
        </w:tc>
        <w:tc>
          <w:tcPr>
            <w:tcW w:w="140" w:type="dxa"/>
            <w:vAlign w:val="bottom"/>
          </w:tcPr>
          <w:p>
            <w:pPr>
              <w:spacing w:after="0"/>
              <w:rPr>
                <w:sz w:val="14"/>
                <w:szCs w:val="14"/>
                <w:color w:val="auto"/>
              </w:rPr>
            </w:pPr>
          </w:p>
        </w:tc>
        <w:tc>
          <w:tcPr>
            <w:tcW w:w="116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2,142,197</w:t>
            </w:r>
          </w:p>
        </w:tc>
        <w:tc>
          <w:tcPr>
            <w:tcW w:w="7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2,143,085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11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1,112,131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1,112</w:t>
            </w:r>
          </w:p>
        </w:tc>
        <w:tc>
          <w:tcPr>
            <w:tcW w:w="1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(1,112)</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1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(26,625)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(27)</w:t>
            </w:r>
          </w:p>
        </w:tc>
        <w:tc>
          <w:tcPr>
            <w:tcW w:w="116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27</w:t>
            </w: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 public offering (net of</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offering costs of $3.6 million)</w:t>
            </w:r>
          </w:p>
        </w:tc>
        <w:tc>
          <w:tcPr>
            <w:tcW w:w="1140" w:type="dxa"/>
            <w:vAlign w:val="bottom"/>
            <w:gridSpan w:val="3"/>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5,897,436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5,898</w:t>
            </w:r>
          </w:p>
        </w:tc>
        <w:tc>
          <w:tcPr>
            <w:tcW w:w="1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53,634,115</w:t>
            </w:r>
          </w:p>
        </w:tc>
        <w:tc>
          <w:tcPr>
            <w:tcW w:w="7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53,640,013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tcPr>
          <w:p>
            <w:pPr>
              <w:spacing w:after="0" w:line="153" w:lineRule="exact"/>
              <w:rPr>
                <w:sz w:val="20"/>
                <w:szCs w:val="20"/>
                <w:color w:val="auto"/>
              </w:rPr>
            </w:pPr>
            <w:r>
              <w:rPr>
                <w:rFonts w:ascii="Arial" w:cs="Arial" w:eastAsia="Arial" w:hAnsi="Arial"/>
                <w:sz w:val="15"/>
                <w:szCs w:val="15"/>
                <w:color w:val="auto"/>
                <w:w w:val="97"/>
              </w:rPr>
              <w:t>Issuance of common stock in At-the-Market offerings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40" w:type="dxa"/>
            <w:vAlign w:val="bottom"/>
            <w:gridSpan w:val="2"/>
          </w:tcPr>
          <w:p>
            <w:pPr>
              <w:spacing w:after="0" w:line="172" w:lineRule="exact"/>
              <w:rPr>
                <w:sz w:val="20"/>
                <w:szCs w:val="20"/>
                <w:color w:val="auto"/>
              </w:rPr>
            </w:pPr>
            <w:r>
              <w:rPr>
                <w:rFonts w:ascii="Arial" w:cs="Arial" w:eastAsia="Arial" w:hAnsi="Arial"/>
                <w:sz w:val="15"/>
                <w:szCs w:val="15"/>
                <w:color w:val="auto"/>
              </w:rPr>
              <w:t>(net of offering costs of $1.1 million)</w:t>
            </w:r>
          </w:p>
        </w:tc>
        <w:tc>
          <w:tcPr>
            <w:tcW w:w="1140" w:type="dxa"/>
            <w:vAlign w:val="bottom"/>
            <w:gridSpan w:val="3"/>
          </w:tcPr>
          <w:p>
            <w:pPr>
              <w:jc w:val="right"/>
              <w:ind w:right="160"/>
              <w:spacing w:after="0" w:line="172" w:lineRule="exact"/>
              <w:rPr>
                <w:sz w:val="20"/>
                <w:szCs w:val="20"/>
                <w:color w:val="auto"/>
              </w:rPr>
            </w:pPr>
            <w:r>
              <w:rPr>
                <w:rFonts w:ascii="Arial" w:cs="Arial" w:eastAsia="Arial" w:hAnsi="Arial"/>
                <w:sz w:val="15"/>
                <w:szCs w:val="15"/>
                <w:color w:val="auto"/>
              </w:rPr>
              <w:t>6,002,627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6,003</w:t>
            </w:r>
          </w:p>
        </w:tc>
        <w:tc>
          <w:tcPr>
            <w:tcW w:w="140" w:type="dxa"/>
            <w:vAlign w:val="bottom"/>
          </w:tcPr>
          <w:p>
            <w:pPr>
              <w:spacing w:after="0"/>
              <w:rPr>
                <w:sz w:val="14"/>
                <w:szCs w:val="14"/>
                <w:color w:val="auto"/>
              </w:rPr>
            </w:pPr>
          </w:p>
        </w:tc>
        <w:tc>
          <w:tcPr>
            <w:tcW w:w="116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63,129,802</w:t>
            </w:r>
          </w:p>
        </w:tc>
        <w:tc>
          <w:tcPr>
            <w:tcW w:w="78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63,135,805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4"/>
              </w:rPr>
              <w:t>Compensation in respect of restricted stock granted to</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employees, directors and consultants</w:t>
            </w:r>
          </w:p>
        </w:tc>
        <w:tc>
          <w:tcPr>
            <w:tcW w:w="1140" w:type="dxa"/>
            <w:vAlign w:val="bottom"/>
            <w:gridSpan w:val="3"/>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12,375,306</w:t>
            </w:r>
          </w:p>
        </w:tc>
        <w:tc>
          <w:tcPr>
            <w:tcW w:w="7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12,375,306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Net loss</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(87,616,245)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(87,616,245)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September 30, 2017</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70,693,576</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70,694</w:t>
            </w:r>
          </w:p>
        </w:tc>
        <w:tc>
          <w:tcPr>
            <w:tcW w:w="14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$ 403,712,474</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41,309</w:t>
            </w:r>
          </w:p>
        </w:tc>
        <w:tc>
          <w:tcPr>
            <w:tcW w:w="3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6"/>
              </w:rPr>
              <w:t>(234,337)</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(324,003,065)</w:t>
            </w:r>
          </w:p>
        </w:tc>
        <w:tc>
          <w:tcPr>
            <w:tcW w:w="3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79,545,766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6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(87,616,245)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(54,578,751)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Gain on sale of long-term securities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12,375,306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6,181,400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 securities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367,673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Change in fair value of notes payable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113,281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(63,822)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(3,051)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other current assets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Decrease (increase) in leasehold interest</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88,179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(2,517,771)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accrued interest receivable</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Decrease (increase) in other assets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161,730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2,666,164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6,447,215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Increase in deferred rent</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72,942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793,968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9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(114,286)</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(114,286)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6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(71,908,433)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(44,566,263)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in held-to-maturity securities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(15,199,922)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long-term securities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9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19,800,000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12,589,219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19,797,773</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15,066,282</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2,143,085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100,896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116,778,462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3,504,261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Financing costs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118,921,547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3,595,173</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66,810,887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(25,904,808)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25,031,280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91,842,167</w:t>
            </w:r>
          </w:p>
        </w:tc>
        <w:tc>
          <w:tcPr>
            <w:tcW w:w="3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29,156,521</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(2,645)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(formerly known as Manhattan Pharmaceuticals, Inc., or Manhattan)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the Company has recently brought its anti-PD-L1 monoclonal antibody into Phase 1 development and aims to bring additional pipeline assets into the clinic in the future.</w:t>
      </w:r>
    </w:p>
    <w:p>
      <w:pPr>
        <w:spacing w:after="0" w:line="19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2016. The accompanying condensed December 31, 2016 balance sheet has been derived from these statements. The results of operations for the three and nine months ended September 30, 2017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40" w:firstLine="486"/>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2017, we have an accumulated deficit of approximately $324.0 million.</w:t>
      </w:r>
    </w:p>
    <w:p>
      <w:pPr>
        <w:spacing w:after="0" w:line="186" w:lineRule="exact"/>
        <w:rPr>
          <w:sz w:val="20"/>
          <w:szCs w:val="20"/>
          <w:color w:val="auto"/>
        </w:rPr>
      </w:pPr>
    </w:p>
    <w:p>
      <w:pPr>
        <w:ind w:right="80" w:firstLine="486"/>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40" w:firstLine="486"/>
        <w:spacing w:after="0" w:line="298" w:lineRule="auto"/>
        <w:rPr>
          <w:sz w:val="20"/>
          <w:szCs w:val="20"/>
          <w:color w:val="auto"/>
        </w:rPr>
      </w:pPr>
      <w:r>
        <w:rPr>
          <w:rFonts w:ascii="Arial" w:cs="Arial" w:eastAsia="Arial" w:hAnsi="Arial"/>
          <w:sz w:val="16"/>
          <w:szCs w:val="16"/>
          <w:color w:val="auto"/>
        </w:rPr>
        <w:t>As of September 30, 2017, we had approximately $91.8 million in cash and cash equivalents. The Company believes its cash and cash equivalents on hand as of September 30, 2017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future financing to execute our current strategic plan, including the commercialization of any of our drug candidates (see Note 5 for further details).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 w:lineRule="exact"/>
        <w:rPr>
          <w:sz w:val="20"/>
          <w:szCs w:val="20"/>
          <w:color w:val="auto"/>
        </w:rPr>
      </w:pPr>
    </w:p>
    <w:p>
      <w:pPr>
        <w:jc w:val="both"/>
        <w:ind w:left="980" w:hanging="324"/>
        <w:spacing w:after="0" w:line="28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98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jc w:val="both"/>
        <w:ind w:firstLine="486"/>
        <w:spacing w:after="0" w:line="298" w:lineRule="auto"/>
        <w:rPr>
          <w:sz w:val="20"/>
          <w:szCs w:val="20"/>
          <w:color w:val="auto"/>
        </w:rPr>
      </w:pPr>
      <w:r>
        <w:rPr>
          <w:rFonts w:ascii="Arial" w:cs="Arial" w:eastAsia="Arial" w:hAnsi="Arial"/>
          <w:sz w:val="16"/>
          <w:szCs w:val="16"/>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does not expect the adoption of ASU 2017-09 to have a material impact on the Company’s condensed consolidated financial statements.</w:t>
      </w:r>
    </w:p>
    <w:p>
      <w:pPr>
        <w:spacing w:after="0" w:line="167"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2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9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jc w:val="both"/>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19" w:lineRule="exact"/>
        <w:rPr>
          <w:sz w:val="20"/>
          <w:szCs w:val="20"/>
          <w:color w:val="auto"/>
        </w:rPr>
      </w:pPr>
    </w:p>
    <w:p>
      <w:pPr>
        <w:jc w:val="both"/>
        <w:ind w:firstLine="486"/>
        <w:spacing w:after="0" w:line="335" w:lineRule="auto"/>
        <w:rPr>
          <w:sz w:val="20"/>
          <w:szCs w:val="20"/>
          <w:color w:val="auto"/>
        </w:rPr>
      </w:pPr>
      <w:r>
        <w:rPr>
          <w:rFonts w:ascii="Arial" w:cs="Arial" w:eastAsia="Arial" w:hAnsi="Arial"/>
          <w:sz w:val="15"/>
          <w:szCs w:val="15"/>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does not expect the adoption of ASU 2017-01 to have a material impact on the Company’s condensed consolidated financial statements.</w:t>
      </w:r>
    </w:p>
    <w:p>
      <w:pPr>
        <w:spacing w:after="0" w:line="14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94" w:lineRule="exact"/>
        <w:rPr>
          <w:sz w:val="20"/>
          <w:szCs w:val="20"/>
          <w:color w:val="auto"/>
        </w:rPr>
      </w:pPr>
    </w:p>
    <w:p>
      <w:pPr>
        <w:ind w:right="140" w:firstLine="486"/>
        <w:spacing w:after="0" w:line="294"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expects to elect the modified retrospective approach and is continuing to assess the impact of the new guidance on its accounting policies and procedures and is evaluating the new requirements. The Company does not expect the adoption of ASU 2014-09 to have a material impact on the Company’s condensed consolidated financial statements.</w:t>
      </w:r>
    </w:p>
    <w:p>
      <w:pPr>
        <w:spacing w:after="0" w:line="170" w:lineRule="exact"/>
        <w:rPr>
          <w:sz w:val="20"/>
          <w:szCs w:val="20"/>
          <w:color w:val="auto"/>
        </w:rPr>
      </w:pPr>
    </w:p>
    <w:p>
      <w:pPr>
        <w:ind w:right="780" w:firstLine="486"/>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486"/>
        <w:spacing w:after="0" w:line="26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460" w:firstLine="486"/>
        <w:spacing w:after="0" w:line="268" w:lineRule="auto"/>
        <w:rPr>
          <w:sz w:val="20"/>
          <w:szCs w:val="20"/>
          <w:color w:val="auto"/>
        </w:rPr>
      </w:pPr>
      <w:r>
        <w:rPr>
          <w:rFonts w:ascii="Arial" w:cs="Arial" w:eastAsia="Arial" w:hAnsi="Arial"/>
          <w:sz w:val="18"/>
          <w:szCs w:val="18"/>
          <w:color w:val="auto"/>
        </w:rPr>
        <w:t>We record cash pledged or held in trust as restricted cash. As of September 30, 2017 and December 31, 2016, we have approximately $0.6 million of restricted cash pledged to secure a line of credit as a security deposit for an Office Agreement (see Note 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Investment securities at December 31, 2016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97" w:lineRule="exact"/>
        <w:rPr>
          <w:sz w:val="20"/>
          <w:szCs w:val="20"/>
          <w:color w:val="auto"/>
        </w:rPr>
      </w:pPr>
    </w:p>
    <w:p>
      <w:pPr>
        <w:ind w:right="440" w:firstLine="486"/>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486"/>
        <w:spacing w:after="0" w:line="310" w:lineRule="auto"/>
        <w:rPr>
          <w:sz w:val="20"/>
          <w:szCs w:val="20"/>
          <w:color w:val="auto"/>
        </w:rPr>
      </w:pPr>
      <w:r>
        <w:rPr>
          <w:rFonts w:ascii="Arial" w:cs="Arial" w:eastAsia="Arial" w:hAnsi="Arial"/>
          <w:sz w:val="15"/>
          <w:szCs w:val="15"/>
          <w:color w:val="auto"/>
        </w:rPr>
        <w:t>We recognize license revenue in accordance with the revenue recognition guidance of the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40" w:firstLine="486"/>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September 30, 2017 and December 31, 2016, we recorded approximately $5.0 million and $5.7 million, respectively, in prepaid research and development related to such advance agreements.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if any, related to uncertain income tax positions in income tax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firstLine="486"/>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addition, because some of the restricted stock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180" w:firstLine="486"/>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4,157,052 and 6,664,591 for the three and nine months ended September 30, 2017 and 2016, respectively. The following outstanding shares of common stock equivalents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Three and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4,141,680</w:t>
            </w:r>
          </w:p>
        </w:tc>
        <w:tc>
          <w:tcPr>
            <w:tcW w:w="1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5,507,250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Shares issuable upon note conversion</w:t>
            </w:r>
          </w:p>
        </w:tc>
        <w:tc>
          <w:tcPr>
            <w:tcW w:w="1280" w:type="dxa"/>
            <w:vAlign w:val="bottom"/>
          </w:tcPr>
          <w:p>
            <w:pPr>
              <w:jc w:val="right"/>
              <w:spacing w:after="0"/>
              <w:rPr>
                <w:sz w:val="20"/>
                <w:szCs w:val="20"/>
                <w:color w:val="auto"/>
              </w:rPr>
            </w:pPr>
            <w:r>
              <w:rPr>
                <w:rFonts w:ascii="Arial" w:cs="Arial" w:eastAsia="Arial" w:hAnsi="Arial"/>
                <w:sz w:val="18"/>
                <w:szCs w:val="18"/>
                <w:color w:val="auto"/>
              </w:rPr>
              <w:t>15,372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1,142,208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4,157,052</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6,664,591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80" w:firstLine="486"/>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Rent Expense and Deferred Rent</w:t>
      </w:r>
    </w:p>
    <w:p>
      <w:pPr>
        <w:spacing w:after="0" w:line="225" w:lineRule="exact"/>
        <w:rPr>
          <w:sz w:val="20"/>
          <w:szCs w:val="20"/>
          <w:color w:val="auto"/>
        </w:rPr>
      </w:pPr>
    </w:p>
    <w:p>
      <w:pPr>
        <w:ind w:right="300" w:firstLine="486"/>
        <w:spacing w:after="0" w:line="33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our cash and cash equivalents at September 30, 2017 and December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September 30, 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29,055,021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20,978,947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1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62,787,146</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4,052,333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91,842,167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25,031,280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investments as of December 31, 2016 are classified as held-to-maturity. Held-to-maturity investments are recorded at amortized cost.</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 securities at December 31, 2016:</w:t>
      </w: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February 2017 and September 2017) (held-to-maturity)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short-term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Estimated</w:t>
            </w:r>
          </w:p>
        </w:tc>
      </w:tr>
      <w:tr>
        <w:trPr>
          <w:trHeight w:val="237"/>
        </w:trPr>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holding gains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fair value</w:t>
            </w:r>
          </w:p>
        </w:tc>
      </w:tr>
      <w:tr>
        <w:trPr>
          <w:trHeight w:val="68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19,853,860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19,854,638</w:t>
            </w:r>
          </w:p>
        </w:tc>
      </w:tr>
      <w:tr>
        <w:trPr>
          <w:trHeight w:val="21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19,853,860</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19,854,638</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280"/>
            <w:col w:w="5340"/>
          </w:cols>
          <w:pgMar w:left="240" w:top="509"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type w:val="continuous"/>
        </w:sectPr>
      </w:pPr>
    </w:p>
    <w:bookmarkStart w:id="12" w:name="page13"/>
    <w:bookmarkEnd w:id="12"/>
    <w:p>
      <w:pPr>
        <w:ind w:right="240" w:firstLine="486"/>
        <w:spacing w:after="0" w:line="268" w:lineRule="auto"/>
        <w:rPr>
          <w:sz w:val="20"/>
          <w:szCs w:val="20"/>
          <w:color w:val="auto"/>
        </w:rPr>
      </w:pPr>
      <w:r>
        <w:rPr>
          <w:rFonts w:ascii="Arial" w:cs="Arial" w:eastAsia="Arial" w:hAnsi="Arial"/>
          <w:sz w:val="18"/>
          <w:szCs w:val="18"/>
          <w:color w:val="auto"/>
        </w:rPr>
        <w:t>As of September 30, 2017 and December 31, 2016, the fair values of cash and cash equivalents, restricted cash, accounts payable, and notes and interest payable, current portion approximate their carrying value.</w:t>
      </w:r>
    </w:p>
    <w:p>
      <w:pPr>
        <w:spacing w:after="0" w:line="186"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100" w:firstLine="486"/>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$17.3 million at September 30, 2017 and $16.7 million at December 31, 2016. No payments have been made on the 5% Notes as of September 30, 2017.</w:t>
      </w:r>
    </w:p>
    <w:p>
      <w:pPr>
        <w:spacing w:after="0" w:line="186" w:lineRule="exact"/>
        <w:rPr>
          <w:sz w:val="20"/>
          <w:szCs w:val="20"/>
          <w:color w:val="auto"/>
        </w:rPr>
      </w:pPr>
    </w:p>
    <w:p>
      <w:pPr>
        <w:ind w:right="720" w:firstLine="486"/>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2017 and December 31, 2016.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September 30, 2017 and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140" w:type="dxa"/>
            <w:vAlign w:val="bottom"/>
            <w:tcBorders>
              <w:bottom w:val="single" w:sz="8" w:color="auto"/>
            </w:tcBorders>
            <w:gridSpan w:val="11"/>
          </w:tcPr>
          <w:p>
            <w:pPr>
              <w:jc w:val="right"/>
              <w:ind w:right="332"/>
              <w:spacing w:after="0"/>
              <w:rPr>
                <w:sz w:val="20"/>
                <w:szCs w:val="20"/>
                <w:color w:val="auto"/>
              </w:rPr>
            </w:pPr>
            <w:r>
              <w:rPr>
                <w:rFonts w:ascii="Arial" w:cs="Arial" w:eastAsia="Arial" w:hAnsi="Arial"/>
                <w:sz w:val="18"/>
                <w:szCs w:val="18"/>
                <w:b w:val="1"/>
                <w:bCs w:val="1"/>
                <w:color w:val="auto"/>
                <w:w w:val="96"/>
              </w:rPr>
              <w:t>Financial liabilities at fair value as of September 30, 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182,156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182,156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182,156</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Arial" w:cs="Arial" w:eastAsia="Arial" w:hAnsi="Arial"/>
                <w:sz w:val="18"/>
                <w:szCs w:val="18"/>
                <w:b w:val="1"/>
                <w:bCs w:val="1"/>
                <w:color w:val="auto"/>
                <w:w w:val="97"/>
              </w:rPr>
              <w:t>Financial liabilities at fair value as of December 31, 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80" w:type="dxa"/>
            <w:vAlign w:val="bottom"/>
          </w:tcPr>
          <w:p>
            <w:pPr>
              <w:ind w:left="48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5% notes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Change in fair value of Level 3 liabilities</w:t>
            </w: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(516,722)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182,156</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380" w:firstLine="486"/>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486"/>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$175.0 million, from time to time through MLV &amp; Co. LLC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months ended September 30, 2017, we sold a total of 3,104,253 shares of common stock under the 2015 ATM for total gross proceeds of approximately $31.6 million at an average selling price of $10.18 per share, resulting in net proceeds of approximately $31.0 million after deducting commissions and other transaction costs.</w:t>
      </w:r>
    </w:p>
    <w:p>
      <w:pPr>
        <w:spacing w:after="0" w:line="19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6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During the nine months ended September 30, 2017, we sold a total of 2,898,374 shares of common stock under the 2017 ATM for aggregate total gross proceeds of approximately $32.7 million at an average selling price of $11.30 per share, resulting in net proceeds of approximately $32.2 million after deducting commissions and other transactions costs.</w:t>
      </w:r>
    </w:p>
    <w:p>
      <w:pPr>
        <w:spacing w:after="0" w:line="194"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2017 S-3 is currently our only active shelf registration statement. After deducting shares already sold there is approximately $267.3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firstLine="486"/>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September 30, 2017, no options were outstanding and up to an additional 1,201,258 shares may be issued under the 2012 Incentive Plan.</w:t>
      </w:r>
    </w:p>
    <w:p>
      <w:pPr>
        <w:spacing w:after="0" w:line="139"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Certain employees, directors and consultants have been awarded restricted stock. The restricted stock vesting consists of milestone and time-based vesting.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share activity for the nine months ended September 30,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9"/>
              </w:rPr>
              <w:t>Number of</w:t>
            </w:r>
          </w:p>
        </w:tc>
        <w:tc>
          <w:tcPr>
            <w:tcW w:w="1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8,642,055</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(4,085,881)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(26,625)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5,641,680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Total expense associated with restricted stock grants was approximately $4.9 million and $2.8 million during the three months ended September 30, 2017 and 2016, respectively, and $12.4 million, and $6.2 million during the nine months ended September 30, 2017 and 2016, respectively. As of September 30, 2017, there was approximately $14.9 million of total unrecognized compensation cost related to unvested time-based restricted stock, which is expected to be recognized over a weighted-average period of 0.9 years. The unrecognized compensation amount does not include, as of September 30, 2017, 180,000 shares of restricted stock outstanding which are milestone-based and vest upon certain corporate milestones; and 2,289,917 shares of restricted stock outstanding issued to non-employees, the expense for which is determined each reporting period at the measurement date. The expense for non-employee awards is recognized over the vesting period of the award. Until the measurement date is reached,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warrant activity for the nine months ended September 30,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Weighted-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average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1"/>
              </w:rPr>
              <w:t>Intrinsic</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Warrants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3"/>
              </w:rPr>
              <w:t>exercise price</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913,381</w:t>
            </w: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1,961,403</w:t>
            </w:r>
          </w:p>
        </w:tc>
        <w:tc>
          <w:tcPr>
            <w:tcW w:w="2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(887,585)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(25,796)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grant any stock options during the nine months ended September 30, 2017 and 2016.</w:t>
      </w:r>
    </w:p>
    <w:p>
      <w:pPr>
        <w:spacing w:after="0" w:line="225"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The following table summarizes stock-based compensation expense information about restricted stock for the three and nine months ended September 30,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20" w:type="dxa"/>
            <w:vAlign w:val="bottom"/>
            <w:tcBorders>
              <w:right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85"/>
              </w:rPr>
              <w:t>Three months ended September</w:t>
            </w:r>
          </w:p>
        </w:tc>
        <w:tc>
          <w:tcPr>
            <w:tcW w:w="320" w:type="dxa"/>
            <w:vAlign w:val="bottom"/>
            <w:shd w:val="clear" w:color="auto" w:fill="CCEEFF"/>
          </w:tcPr>
          <w:p>
            <w:pPr>
              <w:spacing w:after="0"/>
              <w:rPr>
                <w:sz w:val="18"/>
                <w:szCs w:val="18"/>
                <w:color w:val="auto"/>
              </w:rPr>
            </w:pPr>
          </w:p>
        </w:tc>
        <w:tc>
          <w:tcPr>
            <w:tcW w:w="2600" w:type="dxa"/>
            <w:vAlign w:val="bottom"/>
            <w:gridSpan w:val="6"/>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6"/>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Stock-based compensation expense associated with restricted stock</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4,890,123</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4"/>
              </w:rPr>
              <w:t>2,834,038</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12,375,306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4"/>
              </w:rPr>
              <w:t>6,181,400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120"/>
              <w:spacing w:after="0"/>
              <w:rPr>
                <w:sz w:val="20"/>
                <w:szCs w:val="20"/>
                <w:color w:val="auto"/>
              </w:rPr>
            </w:pPr>
            <w:r>
              <w:rPr>
                <w:rFonts w:ascii="Arial" w:cs="Arial" w:eastAsia="Arial" w:hAnsi="Arial"/>
                <w:sz w:val="18"/>
                <w:szCs w:val="18"/>
                <w:color w:val="auto"/>
                <w:w w:val="84"/>
              </w:rPr>
              <w:t>4,890,123</w:t>
            </w:r>
          </w:p>
        </w:tc>
        <w:tc>
          <w:tcPr>
            <w:tcW w:w="3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120"/>
              <w:spacing w:after="0"/>
              <w:rPr>
                <w:sz w:val="20"/>
                <w:szCs w:val="20"/>
                <w:color w:val="auto"/>
              </w:rPr>
            </w:pPr>
            <w:r>
              <w:rPr>
                <w:rFonts w:ascii="Arial" w:cs="Arial" w:eastAsia="Arial" w:hAnsi="Arial"/>
                <w:sz w:val="18"/>
                <w:szCs w:val="18"/>
                <w:color w:val="auto"/>
                <w:w w:val="84"/>
              </w:rPr>
              <w:t>2,834,038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12,375,306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w w:val="84"/>
              </w:rPr>
              <w:t>6,181,400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805"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360" w:type="dxa"/>
            <w:vAlign w:val="bottom"/>
            <w:tcBorders>
              <w:bottom w:val="single" w:sz="8" w:color="auto"/>
            </w:tcBorders>
            <w:gridSpan w:val="6"/>
            <w:shd w:val="clear" w:color="auto" w:fill="CCEEFF"/>
          </w:tcPr>
          <w:p>
            <w:pPr>
              <w:jc w:val="center"/>
              <w:ind w:left="492"/>
              <w:spacing w:after="0"/>
              <w:rPr>
                <w:sz w:val="20"/>
                <w:szCs w:val="20"/>
                <w:color w:val="auto"/>
              </w:rPr>
            </w:pPr>
            <w:r>
              <w:rPr>
                <w:rFonts w:ascii="Arial" w:cs="Arial" w:eastAsia="Arial" w:hAnsi="Arial"/>
                <w:sz w:val="18"/>
                <w:szCs w:val="18"/>
                <w:b w:val="1"/>
                <w:bCs w:val="1"/>
                <w:color w:val="auto"/>
                <w:w w:val="86"/>
              </w:rPr>
              <w:t>September 30, 2017</w:t>
            </w:r>
          </w:p>
        </w:tc>
        <w:tc>
          <w:tcPr>
            <w:tcW w:w="6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gridSpan w:val="5"/>
            <w:shd w:val="clear" w:color="auto" w:fill="CCEEFF"/>
          </w:tcPr>
          <w:p>
            <w:pPr>
              <w:jc w:val="center"/>
              <w:ind w:left="652"/>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2016</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87"/>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8"/>
                <w:szCs w:val="18"/>
                <w:b w:val="1"/>
                <w:bCs w:val="1"/>
                <w:color w:val="auto"/>
                <w:w w:val="95"/>
              </w:rPr>
              <w:t>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portion,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182,156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182,156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$17.3 million at September 30, 2017 and $16.7 million at December 31, 2016. No payments have been made on the 5% Notes as of September 30, 2017.</w:t>
      </w:r>
    </w:p>
    <w:p>
      <w:pPr>
        <w:spacing w:after="0" w:line="186" w:lineRule="exact"/>
        <w:rPr>
          <w:sz w:val="20"/>
          <w:szCs w:val="20"/>
          <w:color w:val="auto"/>
        </w:rPr>
      </w:pPr>
    </w:p>
    <w:p>
      <w:pPr>
        <w:ind w:right="720" w:firstLine="486"/>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8) for the development and commercialization of Jubilant’s novel BET inhibitor program in the field of hematological malignancies.</w:t>
      </w:r>
    </w:p>
    <w:p>
      <w:pPr>
        <w:spacing w:after="0" w:line="194"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Under the terms of the JBET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2017 and 2016, and $114,000 for each of the nine months ended September 30, 2017 and 2016 and, at September 30, 2017 and December 31, 2016, have deferred revenue of approximately $1.3 million and $1.4 million, respectively, associated with this $2.0 million payment (approximately $0.2 million of which has been classified in current liabilities at September 30, 2017 and December 31, 2016).</w:t>
      </w:r>
    </w:p>
    <w:p>
      <w:pPr>
        <w:spacing w:after="0" w:line="172"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we nominated Dr. Yann Echelard to our Board of Directors as LFB Group’s nominee. LFB Group maintains the right to nominate a board member until such time as LFB Group owns less than 10% of the outstanding common stock.</w:t>
      </w:r>
    </w:p>
    <w:p>
      <w:pPr>
        <w:spacing w:after="0" w:line="19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expenses of $1.8 million and $1.9 million during the three months ended September 30, 2017 and 2016, respectively, and $2.3 million and $4.3 million during the nine months ended September 30, 2017 and 2016, respectively, which have been included in other research and development expenses in the accompanying condensed consolidated statements of operations. As of September 30, 2017 and December 31, 2016, we had approximately $0 and $0.4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September 30, 2017 and December 31, 2016, we recorded approximately $0 and $1.3 million, respectively, in prepaid research and development for such advance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160" w:firstLine="486"/>
        <w:spacing w:after="0" w:line="294"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Chief Executive Officer is a Managing Member of Opus. During the three and nine months ended September 30, 2017, we incurred no expenses related to this agreement, as compared to expenses incurred of approximately $0.02 million and $0.1 million during the three and nine months ended September 30, 2016, respectively. The Opus Shared Services Agreement is no longer in effect as we began occupying new office space in April 2016.</w:t>
      </w:r>
    </w:p>
    <w:p>
      <w:pPr>
        <w:spacing w:after="0" w:line="170"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nine months ended September 30, 2017, we recorded rent expense of approximately $0.9 million and at September 30, 2017, have deferred rent of approximately $1.3 million. Mr. Weiss is also Executive Vice Chairman of Fortress.</w:t>
      </w:r>
    </w:p>
    <w:p>
      <w:pPr>
        <w:spacing w:after="0" w:line="174" w:lineRule="exact"/>
        <w:rPr>
          <w:sz w:val="20"/>
          <w:szCs w:val="20"/>
          <w:color w:val="auto"/>
        </w:rPr>
      </w:pPr>
    </w:p>
    <w:p>
      <w:pPr>
        <w:jc w:val="both"/>
        <w:ind w:right="300" w:firstLine="486"/>
        <w:spacing w:after="0" w:line="294" w:lineRule="auto"/>
        <w:rPr>
          <w:sz w:val="20"/>
          <w:szCs w:val="20"/>
          <w:color w:val="auto"/>
        </w:rPr>
      </w:pPr>
      <w:r>
        <w:rPr>
          <w:rFonts w:ascii="Arial" w:cs="Arial" w:eastAsia="Arial" w:hAnsi="Arial"/>
          <w:sz w:val="16"/>
          <w:szCs w:val="16"/>
          <w:color w:val="auto"/>
        </w:rPr>
        <w:t>Under the Office Agreement, we agreed to pay Fortress our portion of the build out costs, which have been allocated to us at the 45% rate mentioned above. The allocated build-out costs have been recorded in Leasehold Interest and will be amortized over the 15-year term of the Office Agreement. After an initial commitment of the 45% rate for a period of three (3) years, we and Fortress will determine actual office space utilization annually and if our utilization differs from the amount we have been billed, we will either receive credits or be assessed incremental utilization charges. As of September 30, 2017, we had approximately $131,000 recorded in accounts payable related to Fortress of which approximately $30,000 related to rent and build-out costs.</w:t>
      </w:r>
    </w:p>
    <w:p>
      <w:pPr>
        <w:spacing w:after="0" w:line="170" w:lineRule="exact"/>
        <w:rPr>
          <w:sz w:val="20"/>
          <w:szCs w:val="20"/>
          <w:color w:val="auto"/>
        </w:rPr>
      </w:pPr>
    </w:p>
    <w:p>
      <w:pPr>
        <w:ind w:right="100" w:firstLine="486"/>
        <w:spacing w:after="0" w:line="294" w:lineRule="auto"/>
        <w:rPr>
          <w:sz w:val="20"/>
          <w:szCs w:val="20"/>
          <w:color w:val="auto"/>
        </w:rPr>
      </w:pPr>
      <w:r>
        <w:rPr>
          <w:rFonts w:ascii="Arial" w:cs="Arial" w:eastAsia="Arial" w:hAnsi="Arial"/>
          <w:sz w:val="16"/>
          <w:szCs w:val="16"/>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$1.0 million and $0.5 million in shared services for the nine months ended September 30, 2017 and 2016, respectively, and expenses of approximately $0.3 million for each of the three months ended September 30, 2017 and 2016, primarily related to shared personnel.</w:t>
      </w:r>
    </w:p>
    <w:p>
      <w:pPr>
        <w:spacing w:after="0" w:line="170" w:lineRule="exact"/>
        <w:rPr>
          <w:sz w:val="20"/>
          <w:szCs w:val="20"/>
          <w:color w:val="auto"/>
        </w:rPr>
      </w:pPr>
    </w:p>
    <w:p>
      <w:pPr>
        <w:ind w:firstLine="486"/>
        <w:spacing w:after="0" w:line="318" w:lineRule="auto"/>
        <w:rPr>
          <w:sz w:val="20"/>
          <w:szCs w:val="20"/>
          <w:color w:val="auto"/>
        </w:rPr>
      </w:pPr>
      <w:r>
        <w:rPr>
          <w:rFonts w:ascii="Arial" w:cs="Arial" w:eastAsia="Arial" w:hAnsi="Arial"/>
          <w:sz w:val="15"/>
          <w:szCs w:val="15"/>
          <w:color w:val="auto"/>
        </w:rPr>
        <w:t>In May 2016, as part of a broader agreement with Jubilant, an India-based biotechnology company, we entered into the JBET Agreement with Checkpoint, a subsidiary of Fortress,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recorded in other research and development. As of September 30, 2017 and December 31, 2016, we had approximately $0.2 million and $0.8 million, respectively, recorded in accounts payable, related mostly to the JBET Agreement. Mr. Weiss is also the Executive Chairman of Checkpoint.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LITIGATION</w:t>
      </w:r>
    </w:p>
    <w:p>
      <w:pPr>
        <w:spacing w:after="0" w:line="231"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 xml:space="preserve">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was captioned </w:t>
      </w:r>
      <w:r>
        <w:rPr>
          <w:rFonts w:ascii="Arial" w:cs="Arial" w:eastAsia="Arial" w:hAnsi="Arial"/>
          <w:sz w:val="16"/>
          <w:szCs w:val="16"/>
          <w:i w:val="1"/>
          <w:iCs w:val="1"/>
          <w:color w:val="auto"/>
        </w:rPr>
        <w:t>John Lyon v. TG Therapeutics, Michael S. Weiss, Sean A. Power and Robert Niecestro</w:t>
      </w:r>
      <w:r>
        <w:rPr>
          <w:rFonts w:ascii="Arial" w:cs="Arial" w:eastAsia="Arial" w:hAnsi="Arial"/>
          <w:sz w:val="16"/>
          <w:szCs w:val="16"/>
          <w:color w:val="auto"/>
        </w:rPr>
        <w:t xml:space="preserve">, Case No. 1:17-cv-00112-VM (S.D.N.Y.). The complaint alleged that, throughout the Class Period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on behalf of all shareholders who purchased or otherwise acquired TG Therapeutics common stock between September 15, 2014 and October 12, 2016. The case was captioned </w:t>
      </w:r>
      <w:r>
        <w:rPr>
          <w:rFonts w:ascii="Arial" w:cs="Arial" w:eastAsia="Arial" w:hAnsi="Arial"/>
          <w:sz w:val="16"/>
          <w:szCs w:val="16"/>
          <w:i w:val="1"/>
          <w:iCs w:val="1"/>
          <w:color w:val="auto"/>
        </w:rPr>
        <w:t>Kenneth C. Wyzgoski v. TG Therapeutics, Michael S. Weiss, Sean A. Power and Robert Niecestro</w:t>
      </w:r>
      <w:r>
        <w:rPr>
          <w:rFonts w:ascii="Arial" w:cs="Arial" w:eastAsia="Arial" w:hAnsi="Arial"/>
          <w:sz w:val="16"/>
          <w:szCs w:val="16"/>
          <w:color w:val="auto"/>
        </w:rPr>
        <w:t xml:space="preserve">, Case No. 1:17-cv-00508-VM (S.D.N.Y.). The claims and allegations in the Wyzgoski complaint were substantially identical to those in the Lyon case. By order dated March 23, 2017, the court consolidated the Lyon and Wyzgoski cases into one action, captioned </w:t>
      </w:r>
      <w:r>
        <w:rPr>
          <w:rFonts w:ascii="Arial" w:cs="Arial" w:eastAsia="Arial" w:hAnsi="Arial"/>
          <w:sz w:val="16"/>
          <w:szCs w:val="16"/>
          <w:i w:val="1"/>
          <w:iCs w:val="1"/>
          <w:color w:val="auto"/>
        </w:rPr>
        <w:t>In re TG Therapeutics Securities Litigation</w:t>
      </w:r>
      <w:r>
        <w:rPr>
          <w:rFonts w:ascii="Arial" w:cs="Arial" w:eastAsia="Arial" w:hAnsi="Arial"/>
          <w:sz w:val="16"/>
          <w:szCs w:val="16"/>
          <w:color w:val="auto"/>
        </w:rPr>
        <w:t>, Case No. 1:17-cv-00112-VM (S.D.N.Y.), appointed lead plaintiffs in the case, and approved lead plaintiffs’ selection of lead counsel. On April 5, 2017 the Court so ordered a stipulation pursuant to which lead plaintiffs voluntarily dismissed the consolidated action in its entirety without prejudice. The Company denies the allegations and claims made in the above-referenced actions and no consideration was given by the Company in connection with lead plaintiffs’ voluntary dismissal of the consolidated action.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20" w:firstLine="486"/>
        <w:spacing w:after="0" w:line="298" w:lineRule="auto"/>
        <w:rPr>
          <w:sz w:val="20"/>
          <w:szCs w:val="20"/>
          <w:color w:val="auto"/>
        </w:rPr>
      </w:pPr>
      <w:r>
        <w:rPr>
          <w:rFonts w:ascii="Arial" w:cs="Arial" w:eastAsia="Arial" w:hAnsi="Arial"/>
          <w:sz w:val="16"/>
          <w:szCs w:val="16"/>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67" w:lineRule="exact"/>
        <w:rPr>
          <w:sz w:val="20"/>
          <w:szCs w:val="20"/>
          <w:color w:val="auto"/>
        </w:rPr>
      </w:pPr>
    </w:p>
    <w:p>
      <w:pPr>
        <w:ind w:right="420" w:firstLine="486"/>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the Company has recently brought its anti-PD-L1 monoclonal antibody into Phase 1 development and aims to bring additional pipeline assets into the clinic in the future.</w:t>
      </w:r>
    </w:p>
    <w:p>
      <w:pPr>
        <w:spacing w:after="0" w:line="19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19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660" w:right="20" w:hanging="16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spacing w:after="0" w:line="185" w:lineRule="exact"/>
        <w:rPr>
          <w:rFonts w:ascii="Arial" w:cs="Arial" w:eastAsia="Arial" w:hAnsi="Arial"/>
          <w:sz w:val="18"/>
          <w:szCs w:val="18"/>
          <w:color w:val="auto"/>
        </w:rPr>
      </w:pPr>
    </w:p>
    <w:p>
      <w:pPr>
        <w:ind w:left="660" w:hanging="16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w:t>
      </w:r>
    </w:p>
    <w:p>
      <w:pPr>
        <w:spacing w:after="0" w:line="185" w:lineRule="exact"/>
        <w:rPr>
          <w:rFonts w:ascii="Arial" w:cs="Arial" w:eastAsia="Arial" w:hAnsi="Arial"/>
          <w:sz w:val="18"/>
          <w:szCs w:val="18"/>
          <w:color w:val="auto"/>
        </w:rPr>
      </w:pPr>
    </w:p>
    <w:p>
      <w:pPr>
        <w:ind w:left="660" w:right="20" w:hanging="16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UNITY-NHL Trial – registration-directed UNITY-NHL Phase 2b clinical study evaluating TG-1101, in combination with TGR-1202 with or without Bendamustine, as well as TGR-1202 alone, in patients with previously treated Non-Hodgkin’s Lymphoma (NHL); and</w:t>
      </w:r>
    </w:p>
    <w:p>
      <w:pPr>
        <w:spacing w:after="0" w:line="185"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25"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 Special Protocol Assessment (SPA) on the design of two global Phase 3 clinical trials for TG-1101, referred to as the ULTIMATE I and ULTIMATE II Phase 3 clinical trials.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Manufacturing of TG-1101 is performed by both our partner, LFB Biotechnologies, and a contract manufacturer based in the US.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Further details on our priority ongoing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w:t>
      </w:r>
    </w:p>
    <w:p>
      <w:pPr>
        <w:spacing w:after="0" w:line="17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June 2017, the positive results from our Phase 3 GENUINE trial were presented by Dr. Jeff Sharman, Medical Director, Hematology Research, US Oncology in an oral session during the 53rd American Society of Clinical Oncology (ASCO) Annual Meeting in Chicago, IL.</w:t>
      </w:r>
    </w:p>
    <w:p>
      <w:pPr>
        <w:spacing w:after="0" w:line="18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This presentation included data from the GENUINE Phase 3 trial, a multicenter, randomized trial, which assessed the efficacy and safety of TG-1101 plus ibrutinib versus ibrutinib alone in patients with high risk CLL. For the trial, high-risk was defined as having any one or more of the following centrally confirmed features: 17p deletion, 11q deletion or p53 mutation. The GENUINE study was designed to demonstrate the value of adding TG-1101 to ibrutinib monotherapy in high-risk CLL, and was powered to show a statistically significant improvement in ORR of 30%, with a minimal absolute detectable difference between the two arms of approximately 20%.</w:t>
      </w:r>
    </w:p>
    <w:p>
      <w:pPr>
        <w:spacing w:after="0" w:line="197" w:lineRule="exact"/>
        <w:rPr>
          <w:sz w:val="20"/>
          <w:szCs w:val="20"/>
          <w:color w:val="auto"/>
        </w:rPr>
      </w:pPr>
    </w:p>
    <w:p>
      <w:pPr>
        <w:ind w:right="120" w:firstLine="486"/>
        <w:spacing w:after="0" w:line="294" w:lineRule="auto"/>
        <w:rPr>
          <w:sz w:val="20"/>
          <w:szCs w:val="20"/>
          <w:color w:val="auto"/>
        </w:rPr>
      </w:pPr>
      <w:r>
        <w:rPr>
          <w:rFonts w:ascii="Arial" w:cs="Arial" w:eastAsia="Arial" w:hAnsi="Arial"/>
          <w:sz w:val="16"/>
          <w:szCs w:val="16"/>
          <w:color w:val="auto"/>
        </w:rPr>
        <w:t>The trial met its primary endpoint, demonstrating a statistically significant improvement in Overall Response Rate (ORR), as assessed by blinded independent central radiology and hematology review by iwCLL (Hallek 2008) criteria, compared to ibrutinib alone in both the Intent to Treat (ITT) population (p=0.001) and Treated population (p &lt; 0.001). Per iwCLL guidelines, all responders required confirmation of response for a minimum duration of 2 months. The ITT population included all 126 randomized patients (64 in the TG-1101 plus ibrutinib arm and 62 in the ibrutinib alone arm) while the Treated population includes all ITT patients that received at least one dose of either study drug (59 in the TG-1101 plus ibrutinib arm and 58 in the ibrutinib alone arm).</w:t>
      </w:r>
    </w:p>
    <w:p>
      <w:pPr>
        <w:spacing w:after="0" w:line="170" w:lineRule="exact"/>
        <w:rPr>
          <w:sz w:val="20"/>
          <w:szCs w:val="20"/>
          <w:color w:val="auto"/>
        </w:rPr>
      </w:pPr>
    </w:p>
    <w:p>
      <w:pPr>
        <w:ind w:right="80" w:firstLine="486"/>
        <w:spacing w:after="0" w:line="294" w:lineRule="auto"/>
        <w:rPr>
          <w:sz w:val="20"/>
          <w:szCs w:val="20"/>
          <w:color w:val="auto"/>
        </w:rPr>
      </w:pPr>
      <w:r>
        <w:rPr>
          <w:rFonts w:ascii="Arial" w:cs="Arial" w:eastAsia="Arial" w:hAnsi="Arial"/>
          <w:sz w:val="16"/>
          <w:szCs w:val="16"/>
          <w:color w:val="auto"/>
        </w:rPr>
        <w:t>One hundred and seventeen (117) patients were evaluable for safety (59 patients in the TG-1101 plus ibrutinib arm, and 58 patients in the ibrutinib alone arm). The combination was well tolerated and, apart from infusion related reactions, the addition of TG-1101 did not appear to alter the safety profile of ibrutinib monotherapy. Neutropenia, occurring in 9% of patients, was the most commonly reported Grade 3/4 Adverse Event (AE) in the combination arm, followed by infusion related reactions and anemia, each reported in 5% of patients. Notably, the majority of infusion related reactions (IRR) were Grade 1 or 2 in severity, with only 5% Grade 3/4 IRR observed. Median follow-up for this study was approximately 11.4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Response Rates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98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TG-1101 plus Ibrutinib</w:t>
            </w:r>
          </w:p>
        </w:tc>
        <w:tc>
          <w:tcPr>
            <w:tcW w:w="296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Ibrutinib</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P-value</w:t>
            </w: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Treated Population (n)</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n=59</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n=58</w:t>
            </w:r>
          </w:p>
        </w:tc>
        <w:tc>
          <w:tcPr>
            <w:tcW w:w="2840" w:type="dxa"/>
            <w:vAlign w:val="bottom"/>
            <w:tcBorders>
              <w:bottom w:val="single" w:sz="8" w:color="auto"/>
              <w:right w:val="single" w:sz="8" w:color="auto"/>
            </w:tcBorders>
          </w:tcPr>
          <w:p>
            <w:pPr>
              <w:spacing w:after="0"/>
              <w:rPr>
                <w:sz w:val="19"/>
                <w:szCs w:val="19"/>
                <w:color w:val="auto"/>
              </w:rPr>
            </w:pPr>
          </w:p>
        </w:tc>
      </w:tr>
      <w:tr>
        <w:trPr>
          <w:trHeight w:val="22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Overall Response Rate (ORR)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78%</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P&lt;0.001</w:t>
            </w:r>
          </w:p>
        </w:tc>
      </w:tr>
      <w:tr>
        <w:trPr>
          <w:trHeight w:val="24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Complete Response (CR)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NS</w:t>
            </w:r>
          </w:p>
        </w:tc>
      </w:tr>
      <w:tr>
        <w:trPr>
          <w:trHeight w:val="191"/>
        </w:trPr>
        <w:tc>
          <w:tcPr>
            <w:tcW w:w="26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MRD-Negative</w:t>
            </w:r>
          </w:p>
        </w:tc>
        <w:tc>
          <w:tcPr>
            <w:tcW w:w="29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8"/>
              </w:rPr>
              <w:t>19%</w:t>
            </w:r>
          </w:p>
        </w:tc>
        <w:tc>
          <w:tcPr>
            <w:tcW w:w="29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2%</w:t>
            </w:r>
          </w:p>
        </w:tc>
        <w:tc>
          <w:tcPr>
            <w:tcW w:w="28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P&lt;0.01</w:t>
            </w:r>
          </w:p>
        </w:tc>
      </w:tr>
      <w:tr>
        <w:trPr>
          <w:trHeight w:val="231"/>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(n=53) *</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(n=53) *</w:t>
            </w:r>
          </w:p>
        </w:tc>
        <w:tc>
          <w:tcPr>
            <w:tcW w:w="2840" w:type="dxa"/>
            <w:vAlign w:val="bottom"/>
            <w:tcBorders>
              <w:bottom w:val="single" w:sz="8" w:color="auto"/>
              <w:right w:val="single" w:sz="8" w:color="auto"/>
            </w:tcBorders>
          </w:tcPr>
          <w:p>
            <w:pPr>
              <w:spacing w:after="0"/>
              <w:rPr>
                <w:sz w:val="20"/>
                <w:szCs w:val="20"/>
                <w:color w:val="auto"/>
              </w:rPr>
            </w:pPr>
          </w:p>
        </w:tc>
      </w:tr>
    </w:tbl>
    <w:p>
      <w:pPr>
        <w:ind w:right="340" w:firstLine="486"/>
        <w:spacing w:after="0" w:line="258" w:lineRule="auto"/>
        <w:rPr>
          <w:sz w:val="20"/>
          <w:szCs w:val="20"/>
          <w:color w:val="auto"/>
        </w:rPr>
      </w:pPr>
      <w:r>
        <w:rPr>
          <w:rFonts w:ascii="Arial" w:cs="Arial" w:eastAsia="Arial" w:hAnsi="Arial"/>
          <w:sz w:val="18"/>
          <w:szCs w:val="18"/>
          <w:i w:val="1"/>
          <w:iCs w:val="1"/>
          <w:color w:val="auto"/>
        </w:rPr>
        <w:t>*Patients evaluable for MRD included those enrolled &gt;4 months prior to data cutoff date of February 15, 2017. MRD analyzed by central lab, 7-color flow cytometry</w:t>
      </w:r>
    </w:p>
    <w:p>
      <w:pPr>
        <w:spacing w:after="0" w:line="19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October 2017, we announced the outcome of a meeting with the FDA regarding the use of the results from the GENUINE Phase 3 trial to support a Biologics License Application (BLA) filing for approval of TG-1101 in combination with ibrutinib. During the meeting, the FDA confirmed that accelerated approval based on ORR would be a review issue. As part of the discussion, the FDA encouraged us to consider future available therapy in its risk/benefit analysis as part of any potential future BLA filing that may impact accelerated approval.</w:t>
      </w:r>
    </w:p>
    <w:p>
      <w:pPr>
        <w:spacing w:after="0" w:line="197" w:lineRule="exact"/>
        <w:rPr>
          <w:sz w:val="20"/>
          <w:szCs w:val="20"/>
          <w:color w:val="auto"/>
        </w:rPr>
      </w:pPr>
    </w:p>
    <w:p>
      <w:pPr>
        <w:jc w:val="both"/>
        <w:ind w:right="60" w:firstLine="486"/>
        <w:spacing w:after="0" w:line="306" w:lineRule="auto"/>
        <w:rPr>
          <w:sz w:val="20"/>
          <w:szCs w:val="20"/>
          <w:color w:val="auto"/>
        </w:rPr>
      </w:pPr>
      <w:r>
        <w:rPr>
          <w:rFonts w:ascii="Arial" w:cs="Arial" w:eastAsia="Arial" w:hAnsi="Arial"/>
          <w:sz w:val="16"/>
          <w:szCs w:val="16"/>
          <w:color w:val="auto"/>
        </w:rPr>
        <w:t>The potential use of Progression Free Survival (PFS) results from the GENUINE trial to support the full approval of TG-1101 was also discussed. We plan to have a follow-up meeting with the FDA to discuss the use of the PFS endpoint in more detail before the end of the year and also plan to monitor the regulatory landscape for new approvals of agents for previously treated high-risk CLL while continuing to make preparations for a BLA filing as early as 2Q18.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In September 2015, we reached an agreement with the FDA regarding a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6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 to be utilized for the interim analysis and primary analysis data sets, not accounting for over enrollment anticipated in the single agent arms while the interim analysis data set is obtained.</w:t>
      </w:r>
    </w:p>
    <w:p>
      <w:pPr>
        <w:spacing w:after="0" w:line="395"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In May 2017, we announced that the independent Data Safety Monitoring Board (DSMB) of the UNITY-CLL Phase 3 trial had successfully completed a pre-specified interim analysis to assess the contribution of TG-1101 and TGR-1202 in the combination regimen of TG-1101 plus TGR-1202. In conducting the analysis, the DSMB reviewed efficacy data from approximately 50 patients per arm in the UNITY-CLL study who were eligible for at least one response evaluation. Based on the overall response rate data available, and in accordance with the statistical analysis plan in the study's SPA, the DSMB determined that contribution has been established and recommended we cease enrollment into the single agent arms. Accordingly, in May the study began enrolling in a 1:1 ratio to only the two combination arms: the investigational arm of TG-1101 plus TGR-1202 and the control arm of obinutuzumab plus chlorambucil. Additionally, the DSMB reviewed safety data from all patients on study (n &gt; 270) as of the data cut-off date, including patients with both treatment naive and relapsed/refractory Chronic Lymphocytic Leukemia (CLL), and again identified no safety concerns in any treatment group (treatment naive or previously treated) and recommended the continuation of the study without modification.</w:t>
      </w:r>
    </w:p>
    <w:p>
      <w:pPr>
        <w:spacing w:after="0" w:line="174" w:lineRule="exact"/>
        <w:rPr>
          <w:sz w:val="20"/>
          <w:szCs w:val="20"/>
          <w:color w:val="auto"/>
        </w:rPr>
      </w:pPr>
    </w:p>
    <w:p>
      <w:pPr>
        <w:ind w:right="180" w:firstLine="486"/>
        <w:spacing w:after="0" w:line="268" w:lineRule="auto"/>
        <w:rPr>
          <w:sz w:val="20"/>
          <w:szCs w:val="20"/>
          <w:color w:val="auto"/>
        </w:rPr>
      </w:pPr>
      <w:r>
        <w:rPr>
          <w:rFonts w:ascii="Arial" w:cs="Arial" w:eastAsia="Arial" w:hAnsi="Arial"/>
          <w:sz w:val="18"/>
          <w:szCs w:val="18"/>
          <w:color w:val="auto"/>
        </w:rPr>
        <w:t>In September 2017, we announced that target enrollment in the UNITY-CLL trial was met and that we were extending enrollment until October 12, 2017 for any additional identified study patients to be allowed in the trial.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TG-1101 in Combination with TGR-1202 with or without bendamustine Phase 2b Registration-Directed Program – The UNITY-NHL Trial</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and marginal zone lymphoma (MZL), as well as to add a cohort evaluating the triplet regimen of TG-1101 + TGR-1202 + bendamustine which has previously been explored in Phase 1. The cohorts of DLBCL, FL/SLL, and MZL are each being enrolled to and evaluated independently.</w:t>
      </w:r>
    </w:p>
    <w:p>
      <w:pPr>
        <w:spacing w:after="0" w:line="197" w:lineRule="exact"/>
        <w:rPr>
          <w:sz w:val="20"/>
          <w:szCs w:val="20"/>
          <w:color w:val="auto"/>
        </w:rPr>
      </w:pPr>
    </w:p>
    <w:p>
      <w:pPr>
        <w:ind w:right="160" w:firstLine="486"/>
        <w:spacing w:after="0" w:line="289" w:lineRule="auto"/>
        <w:rPr>
          <w:sz w:val="20"/>
          <w:szCs w:val="20"/>
          <w:color w:val="auto"/>
        </w:rPr>
      </w:pPr>
      <w:r>
        <w:rPr>
          <w:rFonts w:ascii="Arial" w:cs="Arial" w:eastAsia="Arial" w:hAnsi="Arial"/>
          <w:sz w:val="16"/>
          <w:szCs w:val="16"/>
          <w:color w:val="auto"/>
        </w:rPr>
        <w:t>The updated study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w:t>
      </w:r>
    </w:p>
    <w:p>
      <w:pPr>
        <w:spacing w:after="0" w:line="172" w:lineRule="exact"/>
        <w:rPr>
          <w:sz w:val="20"/>
          <w:szCs w:val="20"/>
          <w:color w:val="auto"/>
        </w:rPr>
      </w:pPr>
    </w:p>
    <w:p>
      <w:pPr>
        <w:ind w:right="120" w:firstLine="486"/>
        <w:spacing w:after="0" w:line="306" w:lineRule="auto"/>
        <w:rPr>
          <w:sz w:val="20"/>
          <w:szCs w:val="20"/>
          <w:color w:val="auto"/>
        </w:rPr>
      </w:pPr>
      <w:r>
        <w:rPr>
          <w:rFonts w:ascii="Arial" w:cs="Arial" w:eastAsia="Arial" w:hAnsi="Arial"/>
          <w:sz w:val="16"/>
          <w:szCs w:val="16"/>
          <w:color w:val="auto"/>
        </w:rPr>
        <w:t>In August 2017, we announced that the study’s Data Safety Monitoring Board (DSMB) had met and based on pre-set hurdles designed to evaluate ORR, the DSMB recommended continued enrollment in the TGR-1202 + TG-1101 ("U2") arm and no further enrollment into the single agent TGR-1202 arm for the DLBCL cohort. As set forth in the protocol, the single agent TGR-1202 arm was replaced with the triple combination of TG-1101 + TGR-1202 + bendamustine.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ind w:right="180" w:firstLine="486"/>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7" w:lineRule="exact"/>
        <w:rPr>
          <w:sz w:val="20"/>
          <w:szCs w:val="20"/>
          <w:color w:val="auto"/>
        </w:rPr>
      </w:pPr>
    </w:p>
    <w:p>
      <w:pPr>
        <w:ind w:right="820" w:firstLine="486"/>
        <w:spacing w:after="0" w:line="268" w:lineRule="auto"/>
        <w:rPr>
          <w:sz w:val="20"/>
          <w:szCs w:val="20"/>
          <w:color w:val="auto"/>
        </w:rPr>
      </w:pPr>
      <w:r>
        <w:rPr>
          <w:rFonts w:ascii="Arial" w:cs="Arial" w:eastAsia="Arial" w:hAnsi="Arial"/>
          <w:sz w:val="18"/>
          <w:szCs w:val="18"/>
          <w:color w:val="auto"/>
        </w:rPr>
        <w:t>Updated data from this study was most recently presented at the 7th Joint ECTRIMS - ACTRIMS meeting in Paris, France, with additional data presentations expected at upcoming medical conferences.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relapsing forms of Multiple Sclerosis Phase 3 Study Program – The ULITIMATE I and ULTIMATE II Trial</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9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will enroll approximately 440 subjects, randomized in a 1:1 ratio, with approximately 880 patients to be enrolled across both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Updates for the combination of TG-1101 and TGR-1202</w:t>
      </w:r>
    </w:p>
    <w:p>
      <w:pPr>
        <w:spacing w:after="0" w:line="225"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In January 2017, we announced that the FDA has granted orphan drug designation covering the combination of TG-1101 and TGR-1202 for the treatment of patients with CLL and DLBCL.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300" w:firstLine="486"/>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jc w:val="both"/>
        <w:ind w:right="300" w:firstLine="486"/>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9"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include:</w:t>
      </w:r>
    </w:p>
    <w:p>
      <w:pPr>
        <w:spacing w:after="0" w:line="197" w:lineRule="exact"/>
        <w:rPr>
          <w:sz w:val="20"/>
          <w:szCs w:val="20"/>
          <w:color w:val="auto"/>
        </w:rPr>
      </w:pPr>
    </w:p>
    <w:p>
      <w:pPr>
        <w:ind w:left="660" w:hanging="16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TGR-1202 in combination with the BTK inhibitor, ibrutinib, in patients with previously treated CLL and MCL, as well as in patients with DLBCL;</w:t>
      </w:r>
    </w:p>
    <w:p>
      <w:pPr>
        <w:spacing w:after="0" w:line="38" w:lineRule="exact"/>
        <w:rPr>
          <w:rFonts w:ascii="Arial" w:cs="Arial" w:eastAsia="Arial" w:hAnsi="Arial"/>
          <w:sz w:val="16"/>
          <w:szCs w:val="16"/>
          <w:color w:val="auto"/>
        </w:rPr>
      </w:pPr>
    </w:p>
    <w:p>
      <w:pPr>
        <w:ind w:left="660" w:hanging="16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in patients with previously treated Myelofibrosis or Polycythemia Vera; and</w:t>
      </w:r>
    </w:p>
    <w:p>
      <w:pPr>
        <w:spacing w:after="0" w:line="32" w:lineRule="exact"/>
        <w:rPr>
          <w:rFonts w:ascii="Arial" w:cs="Arial" w:eastAsia="Arial" w:hAnsi="Arial"/>
          <w:sz w:val="16"/>
          <w:szCs w:val="16"/>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TGR-1202 monotherapy in patients with CLL who were previously intolerant to prior BTK or PI3K inhibitor therapy.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486"/>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320" w:firstLine="486"/>
        <w:spacing w:after="0" w:line="268" w:lineRule="auto"/>
        <w:rPr>
          <w:sz w:val="20"/>
          <w:szCs w:val="20"/>
          <w:color w:val="auto"/>
        </w:rPr>
      </w:pPr>
      <w:r>
        <w:rPr>
          <w:rFonts w:ascii="Arial" w:cs="Arial" w:eastAsia="Arial" w:hAnsi="Arial"/>
          <w:sz w:val="18"/>
          <w:szCs w:val="18"/>
          <w:color w:val="auto"/>
        </w:rPr>
        <w:t>Data from this ongoing Phase I study was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ind w:firstLine="486"/>
        <w:spacing w:after="0" w:line="306" w:lineRule="auto"/>
        <w:rPr>
          <w:sz w:val="20"/>
          <w:szCs w:val="20"/>
          <w:color w:val="auto"/>
        </w:rPr>
      </w:pPr>
      <w:r>
        <w:rPr>
          <w:rFonts w:ascii="Arial" w:cs="Arial" w:eastAsia="Arial" w:hAnsi="Arial"/>
          <w:sz w:val="16"/>
          <w:szCs w:val="16"/>
          <w:color w:val="auto"/>
        </w:rPr>
        <w:t>In June 2016, at the 52nd Annual Meeting of the American Society of Clinical Oncology (ASCO) and at the 21st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140" w:firstLine="486"/>
        <w:spacing w:after="0" w:line="298" w:lineRule="auto"/>
        <w:rPr>
          <w:sz w:val="20"/>
          <w:szCs w:val="20"/>
          <w:color w:val="auto"/>
        </w:rPr>
      </w:pPr>
      <w:r>
        <w:rPr>
          <w:rFonts w:ascii="Arial" w:cs="Arial" w:eastAsia="Arial" w:hAnsi="Arial"/>
          <w:sz w:val="16"/>
          <w:szCs w:val="16"/>
          <w:color w:val="auto"/>
        </w:rPr>
        <w:t>TGR-1202 has been evaluated in combination with the anti-CD30 antibody drug conjugate, brentuximab vedotin, in patients with relapsed or refractory Hodgkin’s lymphoma; in combination with the anti-CD20 antibody obinutuzumab with chlorambucil in patients with CLL;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67" w:lineRule="exact"/>
        <w:rPr>
          <w:sz w:val="20"/>
          <w:szCs w:val="20"/>
          <w:color w:val="auto"/>
        </w:rPr>
      </w:pPr>
    </w:p>
    <w:p>
      <w:pPr>
        <w:ind w:right="380" w:firstLine="486"/>
        <w:spacing w:after="0" w:line="255" w:lineRule="auto"/>
        <w:rPr>
          <w:sz w:val="20"/>
          <w:szCs w:val="20"/>
          <w:color w:val="auto"/>
        </w:rPr>
      </w:pPr>
      <w:r>
        <w:rPr>
          <w:rFonts w:ascii="Arial" w:cs="Arial" w:eastAsia="Arial" w:hAnsi="Arial"/>
          <w:sz w:val="18"/>
          <w:szCs w:val="18"/>
          <w:color w:val="auto"/>
        </w:rPr>
        <w:t>Preliminary data from studies evaluating TGR-1202 + brentuximab vedotin and TGR-1202 + ibrutinib were presented at the 58th Annual American Society of Hematology (ASH) meeting held in December 2016. Both combinations appeared well tolerated. In particular, the combination of TGR-1202 + ibrutinib resulted in an 88% (15 of 17) Overall Response Rate (ORR) (including Complete Response (CR), Partial Response (PR), and Partial Response with lymphocytosis (PR-L)) in patients with CLL, with 1 patient achieving a bone marrow confirmed CR and 5 patients with a &gt; 80% nodal reduction, nearing radiographic CR.</w:t>
      </w:r>
    </w:p>
    <w:p>
      <w:pPr>
        <w:spacing w:after="0" w:line="194" w:lineRule="exact"/>
        <w:rPr>
          <w:sz w:val="20"/>
          <w:szCs w:val="20"/>
          <w:color w:val="auto"/>
        </w:rPr>
      </w:pPr>
    </w:p>
    <w:p>
      <w:pPr>
        <w:ind w:firstLine="486"/>
        <w:spacing w:after="0" w:line="219" w:lineRule="auto"/>
        <w:rPr>
          <w:sz w:val="20"/>
          <w:szCs w:val="20"/>
          <w:color w:val="auto"/>
        </w:rPr>
      </w:pPr>
      <w:r>
        <w:rPr>
          <w:rFonts w:ascii="Arial" w:cs="Arial" w:eastAsia="Arial" w:hAnsi="Arial"/>
          <w:sz w:val="18"/>
          <w:szCs w:val="18"/>
          <w:color w:val="auto"/>
        </w:rPr>
        <w:t>In November 2017, we announced that 6 abstracts for TGR-1202 (3 clinical and 3 pre-clinical) were accepted for poster presentation at the upcoming 59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American Society of Hematology Annual Meeting, being held in Atlanta, GA from December 9 – 12, 2017.</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 is anticipated that results from these and additional combination studies will be presented or updated at future medical conferences.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480" w:firstLine="486"/>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180" w:firstLine="486"/>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recently entered the clinic and our anti-GITR program is currently in pre-clinical development, with pre-clinical data most recently presented at the American Association for Cancer Research Annual Meeting in March 2017.</w:t>
      </w:r>
    </w:p>
    <w:p>
      <w:pPr>
        <w:spacing w:after="0" w:line="161" w:lineRule="exact"/>
        <w:rPr>
          <w:sz w:val="20"/>
          <w:szCs w:val="20"/>
          <w:color w:val="auto"/>
        </w:rPr>
      </w:pPr>
    </w:p>
    <w:p>
      <w:pPr>
        <w:ind w:right="440" w:firstLine="486"/>
        <w:spacing w:after="0" w:line="268" w:lineRule="auto"/>
        <w:rPr>
          <w:sz w:val="20"/>
          <w:szCs w:val="20"/>
          <w:color w:val="auto"/>
        </w:rPr>
      </w:pPr>
      <w:r>
        <w:rPr>
          <w:rFonts w:ascii="Arial" w:cs="Arial" w:eastAsia="Arial" w:hAnsi="Arial"/>
          <w:sz w:val="18"/>
          <w:szCs w:val="18"/>
          <w:color w:val="auto"/>
        </w:rPr>
        <w:t>In October 2017, we announced that the first patient has been dosed in a Phase 1 clinical trial evaluating the safety and tolerability of our anti-PD-L1 monoclonal antibody, enrolling patients across sites in Australia and New Zealand.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Fortress,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60" w:firstLine="486"/>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480" w:firstLine="486"/>
        <w:spacing w:after="0" w:line="370" w:lineRule="auto"/>
        <w:rPr>
          <w:sz w:val="20"/>
          <w:szCs w:val="20"/>
          <w:color w:val="auto"/>
        </w:rPr>
      </w:pPr>
      <w:r>
        <w:rPr>
          <w:rFonts w:ascii="Arial" w:cs="Arial" w:eastAsia="Arial" w:hAnsi="Arial"/>
          <w:sz w:val="15"/>
          <w:szCs w:val="15"/>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1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3" w:name="page24"/>
    <w:bookmarkEnd w:id="23"/>
    <w:p>
      <w:pPr>
        <w:ind w:right="20" w:firstLine="486"/>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100" w:firstLine="486"/>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drug candidates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and 2016</w:t>
      </w:r>
    </w:p>
    <w:p>
      <w:pPr>
        <w:spacing w:after="0" w:line="231"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September 30, 2017 and 2016. License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jc w:val="both"/>
        <w:ind w:right="180" w:firstLine="486"/>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$1.8 million for the three months ended September 30, 2017, as compared to $0.9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current 2017 period.</w:t>
      </w:r>
    </w:p>
    <w:p>
      <w:pPr>
        <w:spacing w:after="0" w:line="167" w:lineRule="exact"/>
        <w:rPr>
          <w:sz w:val="20"/>
          <w:szCs w:val="20"/>
          <w:color w:val="auto"/>
        </w:rPr>
      </w:pPr>
    </w:p>
    <w:p>
      <w:pPr>
        <w:ind w:right="180" w:firstLine="486"/>
        <w:spacing w:after="0" w:line="298"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$4.4 million to $25.3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as compared to $20.9 million for the three months ended September 30, 2016. The increase was mainly due to new and ongoing clinical development programs and related manufacturing costs for TG-1101 and TGR-1202 during the three months ended September 30, 2017. We expect our other research and development costs to remain relatively consistent for the remainder of 2017.</w:t>
      </w:r>
    </w:p>
    <w:p>
      <w:pPr>
        <w:spacing w:after="0" w:line="16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$1.2 million to $3.1 million for the three months ended September 30, 2017, as compared to $1.9 million for the three months ended September 30, 2016. The increase in noncash compensation expense was primarily due to greater compensation expense during the three months ended September 30, 2017 related to restricted stock granted to executive personnel.</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$0.1 million to $1.4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as compared to $1.3 million for the three months ended September 30, 2016. We expect our other general and administrative expenses to remain at a comparable level for the remainder of 2017.</w:t>
      </w:r>
    </w:p>
    <w:p>
      <w:pPr>
        <w:spacing w:after="0" w:line="194"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approximately $45,000 to approximately $50,000 for the three months ended September 30,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$0.1 million for the three months ended September 30, 2016. The decrease is mainly due to a decrease in interest income for the three months ended September 30, 2017.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Nine months ended September 30, 2017 and 2016</w:t>
      </w:r>
    </w:p>
    <w:p>
      <w:pPr>
        <w:spacing w:after="0" w:line="23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$114,000 for each of the nine months ended September 30, 2017 and 2016. License revenue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and 2016 was related to the amortization of an upfront payment of $2.0 million received in 2012 associated with our license agreement with Ildong.</w:t>
      </w:r>
    </w:p>
    <w:p>
      <w:pPr>
        <w:spacing w:after="0" w:line="194" w:lineRule="exact"/>
        <w:rPr>
          <w:sz w:val="20"/>
          <w:szCs w:val="20"/>
          <w:color w:val="auto"/>
        </w:rPr>
      </w:pPr>
    </w:p>
    <w:p>
      <w:pPr>
        <w:ind w:right="180" w:firstLine="486"/>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$5.4 million for the nine months ended September 30, 2017, as compared to $1.9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period ended September 30, 2017.</w:t>
      </w:r>
    </w:p>
    <w:p>
      <w:pPr>
        <w:spacing w:after="0" w:line="167" w:lineRule="exact"/>
        <w:rPr>
          <w:sz w:val="20"/>
          <w:szCs w:val="20"/>
          <w:color w:val="auto"/>
        </w:rPr>
      </w:pPr>
    </w:p>
    <w:p>
      <w:pPr>
        <w:ind w:right="280" w:firstLine="486"/>
        <w:spacing w:after="0" w:line="294"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$26.1 million to $71.2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as compared to $45.1 million for the nine months ended September 30, 2016. The increase in other research and development expenses was due primarily to new and ongoing clinical development programs and related manufacturing costs for TG-1101 and TGR-1202 during the nine months ended September 30, 2017. We expect our other research and development costs to increase modestly for the remainder of 2017 as the enrollment of additional patients in our Phase 3 clinical trials increases and we prepare for potential commercialization.</w:t>
      </w:r>
    </w:p>
    <w:p>
      <w:pPr>
        <w:spacing w:after="0" w:line="17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$2.7 million to $7.0 million for the nine months ended September 30, 2017, as compared to $4.3 million for the nine months ended September 30, 2016. The increase in noncash compensation expense was primarily related to greater compensation expense during the nine months ended September 30, 2017 related to restricted stock granted to executive personnel.</w:t>
      </w:r>
    </w:p>
    <w:p>
      <w:pPr>
        <w:spacing w:after="0" w:line="197" w:lineRule="exact"/>
        <w:rPr>
          <w:sz w:val="20"/>
          <w:szCs w:val="20"/>
          <w:color w:val="auto"/>
        </w:rPr>
      </w:pPr>
    </w:p>
    <w:p>
      <w:pPr>
        <w:ind w:right="140" w:firstLine="486"/>
        <w:spacing w:after="0" w:line="306"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$0.5 million to $4.3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as compared to $3.8 million for the nine months ended September 30, 2016. The increase was due primarily to rent related expenses of our new office space. We expect our other general and administrative expenses to remain at a comparable level for the remainder of 2017.</w:t>
      </w:r>
    </w:p>
    <w:p>
      <w:pPr>
        <w:spacing w:after="0" w:line="16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$0.3 million to approximately $61,000 for the nine months ended September 30, 2017,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$0.4 million for the nine months ended September 30, 2016. The decrease is mainly due to a decrease in interest income and a decrease in the change in fair value of notes payable for the nine months ended September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firstLine="486"/>
        <w:spacing w:after="0" w:line="294" w:lineRule="auto"/>
        <w:rPr>
          <w:sz w:val="20"/>
          <w:szCs w:val="20"/>
          <w:color w:val="auto"/>
        </w:rPr>
      </w:pPr>
      <w:r>
        <w:rPr>
          <w:rFonts w:ascii="Arial" w:cs="Arial" w:eastAsia="Arial" w:hAnsi="Arial"/>
          <w:sz w:val="16"/>
          <w:szCs w:val="16"/>
          <w:color w:val="auto"/>
        </w:rPr>
        <w:t>Our primary sources of cash have been from the sale of equity securities, warrant and option exercises, and the upfront payment from our Sublicense Agreement with Ildong. We have not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20" w:firstLine="486"/>
        <w:spacing w:after="0" w:line="298" w:lineRule="auto"/>
        <w:rPr>
          <w:sz w:val="20"/>
          <w:szCs w:val="20"/>
          <w:color w:val="auto"/>
        </w:rPr>
      </w:pPr>
      <w:r>
        <w:rPr>
          <w:rFonts w:ascii="Arial" w:cs="Arial" w:eastAsia="Arial" w:hAnsi="Arial"/>
          <w:sz w:val="16"/>
          <w:szCs w:val="16"/>
          <w:color w:val="auto"/>
        </w:rPr>
        <w:t>As of September 30, 2017, we had approximately $91.8 million in cash and cash equivalents. The Company believes its cash and cash equivalents on hand as of September 30, 2017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6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2017 was $71.9 million as compared to $44.6 million for the nine months ended September 30, 2016.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For the nine months ended September 30, 2017, net cash provided by investing activities was $19.8 million as compared to $15.1 million for the nine months ended September 30, 2016. The increase in net cash provided by investing activities was primarily due to greater proceeds from maturity of investments during the nine months ended September 30, 2017.</w:t>
      </w:r>
    </w:p>
    <w:p>
      <w:pPr>
        <w:spacing w:after="0" w:line="194" w:lineRule="exact"/>
        <w:rPr>
          <w:sz w:val="20"/>
          <w:szCs w:val="20"/>
          <w:color w:val="auto"/>
        </w:rPr>
      </w:pPr>
    </w:p>
    <w:p>
      <w:pPr>
        <w:ind w:right="540" w:firstLine="486"/>
        <w:spacing w:after="0" w:line="332" w:lineRule="auto"/>
        <w:rPr>
          <w:sz w:val="20"/>
          <w:szCs w:val="20"/>
          <w:color w:val="auto"/>
        </w:rPr>
      </w:pPr>
      <w:r>
        <w:rPr>
          <w:rFonts w:ascii="Arial" w:cs="Arial" w:eastAsia="Arial" w:hAnsi="Arial"/>
          <w:sz w:val="16"/>
          <w:szCs w:val="16"/>
          <w:color w:val="auto"/>
        </w:rPr>
        <w:t>For the nine months ended September 30, 2017, net cash provided by financing activities of $118.9 million related to proceeds from the issuance of common stock as part of our underwritten public offering in March 2017 and our ATM program, as well as proceeds from the exercise of warrants.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440" w:firstLine="486"/>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FASB Accounting Standards Codification,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firstLine="486"/>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6" w:name="page27"/>
    <w:bookmarkEnd w:id="26"/>
    <w:p>
      <w:pPr>
        <w:ind w:right="20" w:firstLine="486"/>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jc w:val="both"/>
        <w:ind w:left="980" w:hanging="324"/>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92" w:lineRule="exact"/>
        <w:rPr>
          <w:sz w:val="20"/>
          <w:szCs w:val="20"/>
          <w:color w:val="auto"/>
        </w:rPr>
      </w:pPr>
    </w:p>
    <w:p>
      <w:pPr>
        <w:ind w:right="80" w:firstLine="486"/>
        <w:spacing w:after="0" w:line="298" w:lineRule="auto"/>
        <w:rPr>
          <w:sz w:val="20"/>
          <w:szCs w:val="20"/>
          <w:color w:val="auto"/>
        </w:rPr>
      </w:pPr>
      <w:r>
        <w:rPr>
          <w:rFonts w:ascii="Arial" w:cs="Arial" w:eastAsia="Arial" w:hAnsi="Arial"/>
          <w:sz w:val="16"/>
          <w:szCs w:val="16"/>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does not expect the adoption of ASU 2017-09 to have a material impact on the Company’s condensed consolidated financial statements.</w:t>
      </w:r>
    </w:p>
    <w:p>
      <w:pPr>
        <w:spacing w:after="0" w:line="194" w:lineRule="exact"/>
        <w:rPr>
          <w:sz w:val="20"/>
          <w:szCs w:val="20"/>
          <w:color w:val="auto"/>
        </w:rPr>
      </w:pPr>
    </w:p>
    <w:p>
      <w:pPr>
        <w:ind w:right="100" w:firstLine="486"/>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7" w:name="page28"/>
    <w:bookmarkEnd w:id="27"/>
    <w:p>
      <w:pPr>
        <w:jc w:val="both"/>
        <w:ind w:firstLine="486"/>
        <w:spacing w:after="0" w:line="253"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jc w:val="both"/>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19" w:lineRule="exact"/>
        <w:rPr>
          <w:sz w:val="20"/>
          <w:szCs w:val="20"/>
          <w:color w:val="auto"/>
        </w:rPr>
      </w:pPr>
    </w:p>
    <w:p>
      <w:pPr>
        <w:jc w:val="both"/>
        <w:ind w:right="120" w:firstLine="486"/>
        <w:spacing w:after="0" w:line="335" w:lineRule="auto"/>
        <w:rPr>
          <w:sz w:val="20"/>
          <w:szCs w:val="20"/>
          <w:color w:val="auto"/>
        </w:rPr>
      </w:pPr>
      <w:r>
        <w:rPr>
          <w:rFonts w:ascii="Arial" w:cs="Arial" w:eastAsia="Arial" w:hAnsi="Arial"/>
          <w:sz w:val="15"/>
          <w:szCs w:val="15"/>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does not expect the adoption of ASU 2017-01 to have a material impact on the Company’s condensed consolidated financial statements.</w:t>
      </w:r>
    </w:p>
    <w:p>
      <w:pPr>
        <w:spacing w:after="0" w:line="14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94" w:lineRule="exact"/>
        <w:rPr>
          <w:sz w:val="20"/>
          <w:szCs w:val="20"/>
          <w:color w:val="auto"/>
        </w:rPr>
      </w:pPr>
    </w:p>
    <w:p>
      <w:pPr>
        <w:ind w:right="140" w:firstLine="486"/>
        <w:spacing w:after="0" w:line="294"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expects to elect the modified retrospective approach and is continuing to assess the impact of the new guidance on its accounting policies and procedures and is evaluating the new requirements. The Company does not expect the adoption of ASU 2014-09 to have a material impact on the Company’s condensed consolidated financial statements.</w:t>
      </w:r>
    </w:p>
    <w:p>
      <w:pPr>
        <w:spacing w:after="0" w:line="197" w:lineRule="exact"/>
        <w:rPr>
          <w:sz w:val="20"/>
          <w:szCs w:val="20"/>
          <w:color w:val="auto"/>
        </w:rPr>
      </w:pPr>
    </w:p>
    <w:p>
      <w:pPr>
        <w:ind w:right="780" w:firstLine="486"/>
        <w:spacing w:after="0" w:line="299"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2017,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of September 30,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2017,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260" w:firstLine="48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ind w:right="280" w:firstLine="486"/>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9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anti-GITR antibody. Additionally, there can be no assurance given that any of the molecules under development in our IRAK4 or BET inhibitor program or in our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TGR-1202 and our anti-PD-L1 antibody enabling the conduct of studies in the FDA’s Division of Hematology and Oncology, and an active IND for TG-1101 under the FDA’s Division of Neurology, there can be no assurance that we will be successful in obtaining an active IND for these drugs in any other division under whose supervision we may seek to develop our product candidates, or that the FDA will allow us to continue the development of our product candidates in those divisions where we maintain an active IND.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9" w:name="page30"/>
    <w:bookmarkEnd w:id="29"/>
    <w:p>
      <w:pPr>
        <w:ind w:right="70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firstLine="486"/>
        <w:spacing w:after="0" w:line="306" w:lineRule="auto"/>
        <w:rPr>
          <w:sz w:val="20"/>
          <w:szCs w:val="20"/>
          <w:color w:val="auto"/>
        </w:rPr>
      </w:pPr>
      <w:r>
        <w:rPr>
          <w:rFonts w:ascii="Arial" w:cs="Arial" w:eastAsia="Arial" w:hAnsi="Arial"/>
          <w:sz w:val="16"/>
          <w:szCs w:val="16"/>
          <w:color w:val="auto"/>
        </w:rPr>
        <w:t>If we are unable to develop, or receive regulatory approval for or successfully commercialize any of our product candidates, we will not be able to generate product revenues.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6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ind w:right="80" w:firstLine="486"/>
        <w:spacing w:after="0" w:line="288"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CLL, which is being conducted pursuant to an SPA with the FDA and in August 2017 we announced an SPA for our registration program for TG-1101 in relapsing forms of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GENUINE trial results for approval are subject to FDA’s discretion.</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October 2017, we announced the outcome of a meeting with the U.S. Food and Drug Administration (FDA) regarding the use of the results from the GENUINE Phase 3 trial to support a Biologics License Application (BLA) filing for accelerated approval of TG-1101 in combination with ibrutinib. As part of the discussion, the FDA guided that if one or more agents obtained full approval before we could obtain accelerated approval, we would need to show meaningful benefit over those agents as well.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w:t>
      </w:r>
    </w:p>
    <w:p>
      <w:pPr>
        <w:spacing w:after="0" w:line="1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While we wait to see if any drugs receive full approval and can evaluate the data associated with any such agents, we are continuing to make preparations for a BLA filing for accelerated approval. Whether or not we ultimately file such application will be subject to multiple factors and no assurance can be given that a filing will be made. If a filing is made, the FDA acceptance of such a filing will depend on the FDA’s views on the adequacy of the filing, and further even if the filing is accepted, approval of such a filing is a question wholly within the FDA’s discretion to determine. In addition, if we were to receive accelerated approval, we would be required to conduct a post-market confirmatory study, which we may not complete, or if completed, may prove unsuccessful. In such instance, the FDA can remove the product from the market.</w:t>
      </w:r>
    </w:p>
    <w:p>
      <w:pPr>
        <w:spacing w:after="0" w:line="198"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Company plans to have a follow-up meeting with the FDA to discuss the use of the Progression-Free Survival Endpoint (PFS) endpoint from the GENUINE study for possible full approval. There can be no assurance given that we will reach agreement with the FDA on an acceptable use of PFS data from GENUINE to support approval of TG-1101, or even if an agreement is reached, that the PFS results of TG-1101 will be positive and/or sufficient to support a regulatory approval of TG-1101.</w:t>
      </w:r>
    </w:p>
    <w:p>
      <w:pPr>
        <w:spacing w:after="0" w:line="197"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16" w:lineRule="exact"/>
        <w:rPr>
          <w:sz w:val="20"/>
          <w:szCs w:val="20"/>
          <w:color w:val="auto"/>
        </w:rPr>
      </w:pPr>
    </w:p>
    <w:p>
      <w:pPr>
        <w:ind w:right="80" w:firstLine="486"/>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1" w:name="page32"/>
    <w:bookmarkEnd w:id="31"/>
    <w:p>
      <w:pPr>
        <w:ind w:firstLine="486"/>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780" w:hanging="28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780" w:right="20" w:hanging="28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780" w:right="20" w:hanging="28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780" w:right="20" w:hanging="28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780" w:hanging="28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780" w:hanging="28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780" w:right="20" w:hanging="28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780" w:hanging="286"/>
        <w:spacing w:after="0" w:line="261"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ind w:firstLine="486"/>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486"/>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the Company not be able to adequately demonstrate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several hundred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right="60" w:firstLine="486"/>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b w:val="1"/>
          <w:bCs w:val="1"/>
          <w:i w:val="1"/>
          <w:iCs w:val="1"/>
          <w:color w:val="auto"/>
        </w:rPr>
      </w:pP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b w:val="1"/>
          <w:bCs w:val="1"/>
          <w:i w:val="1"/>
          <w:iCs w:val="1"/>
          <w:color w:val="auto"/>
        </w:rPr>
      </w:pPr>
    </w:p>
    <w:p>
      <w:pPr>
        <w:ind w:left="780" w:hanging="286"/>
        <w:spacing w:after="0" w:line="250" w:lineRule="auto"/>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780" w:hanging="286"/>
        <w:spacing w:after="0"/>
        <w:tabs>
          <w:tab w:leader="none" w:pos="78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b w:val="1"/>
          <w:bCs w:val="1"/>
          <w:i w:val="1"/>
          <w:iCs w:val="1"/>
          <w:color w:val="auto"/>
        </w:rPr>
      </w:pP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b w:val="1"/>
          <w:bCs w:val="1"/>
          <w:i w:val="1"/>
          <w:iCs w:val="1"/>
          <w:color w:val="auto"/>
        </w:rPr>
      </w:pP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b w:val="1"/>
          <w:bCs w:val="1"/>
          <w:i w:val="1"/>
          <w:iCs w:val="1"/>
          <w:color w:val="auto"/>
        </w:rPr>
      </w:pP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b w:val="1"/>
          <w:bCs w:val="1"/>
          <w:i w:val="1"/>
          <w:iCs w:val="1"/>
          <w:color w:val="auto"/>
        </w:rPr>
      </w:pPr>
    </w:p>
    <w:p>
      <w:pPr>
        <w:ind w:left="780" w:hanging="286"/>
        <w:spacing w:after="0"/>
        <w:tabs>
          <w:tab w:leader="none" w:pos="7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our reputation may suffer.</w:t>
      </w:r>
    </w:p>
    <w:p>
      <w:pPr>
        <w:spacing w:after="0" w:line="246"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486"/>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ind w:right="220" w:firstLine="486"/>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780" w:hanging="286"/>
        <w:spacing w:after="0" w:line="28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780" w:right="20" w:hanging="28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780" w:hanging="28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440" w:firstLine="486"/>
        <w:spacing w:after="0" w:line="252"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ind w:right="260" w:firstLine="486"/>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ind w:right="140" w:firstLine="486"/>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the Company is exposed to liability risks under the Foreign Corrupt Practices Act or similar anti-bribery laws.</w:t>
      </w:r>
    </w:p>
    <w:p>
      <w:pPr>
        <w:spacing w:after="0" w:line="17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20" w:firstLine="486"/>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5" w:name="page36"/>
    <w:bookmarkEnd w:id="35"/>
    <w:p>
      <w:pPr>
        <w:jc w:val="both"/>
        <w:ind w:firstLine="486"/>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Earlier this year,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6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7"/>
          <w:szCs w:val="17"/>
          <w:color w:val="auto"/>
        </w:rPr>
        <w:t>With respect to TGR-1202, there are several PI3K delta targeted compounds both approved, such as Gilead’s Zydelig™ (idelalisib) and Bayer’s Aliqopa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(copanlisib),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20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right="40" w:firstLine="486"/>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160" w:firstLine="486"/>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6" w:name="page37"/>
    <w:bookmarkEnd w:id="36"/>
    <w:p>
      <w:pPr>
        <w:ind w:right="40" w:firstLine="486"/>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486"/>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120" w:firstLine="486"/>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7" w:name="page38"/>
    <w:bookmarkEnd w:id="37"/>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jc w:val="both"/>
        <w:ind w:right="180" w:firstLine="486"/>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780" w:hanging="28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8" w:name="page39"/>
    <w:bookmarkEnd w:id="38"/>
    <w:p>
      <w:pPr>
        <w:ind w:right="20" w:firstLine="486"/>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120" w:firstLine="486"/>
        <w:spacing w:after="0" w:line="294"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Most recently, the Patient Protection and Affordable Care Act, as amended by the Health Care and Education Reconciliation Act of 2010, collectively, the “ACA,” was enacted. The ACA and any revisions or replacements of that Act, any substitute legislation, and other changes in the law or regulatory framework could have a material adverse effect on our business.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Among the provisions of the ACA of importance to our potential product candidates are:</w:t>
      </w:r>
    </w:p>
    <w:p>
      <w:pPr>
        <w:spacing w:after="0" w:line="15" w:lineRule="exact"/>
        <w:rPr>
          <w:sz w:val="20"/>
          <w:szCs w:val="20"/>
          <w:color w:val="auto"/>
        </w:rPr>
      </w:pPr>
    </w:p>
    <w:p>
      <w:pPr>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940" w:right="2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8"/>
          <w:szCs w:val="18"/>
          <w:color w:val="auto"/>
        </w:rPr>
      </w:pPr>
    </w:p>
    <w:p>
      <w:pPr>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940" w:hanging="284"/>
        <w:spacing w:after="0" w:line="250"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940" w:right="20" w:hanging="284"/>
        <w:spacing w:after="0" w:line="261"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Supreme Court upheld the ACA in the main challenge to the constitutionality of the law in 2012. The Supreme Court also upheld federal subsidies for purchasers of insurance through federally facilitated exchanges in a decision released in June 2015. Any remaining legal challenges to the ACA are viewed generally as not significantly impacting the implementation of the law if the plaintiffs prevail.</w:t>
      </w:r>
    </w:p>
    <w:p>
      <w:pPr>
        <w:spacing w:after="0" w:line="19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 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w:t>
      </w:r>
    </w:p>
    <w:p>
      <w:pPr>
        <w:spacing w:after="0" w:line="17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863" w:gutter="0" w:footer="0" w:header="0"/>
        </w:sectPr>
      </w:pPr>
    </w:p>
    <w:bookmarkStart w:id="39" w:name="page40"/>
    <w:bookmarkEnd w:id="39"/>
    <w:p>
      <w:pPr>
        <w:ind w:right="16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 of November 1, 2017, we had 69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46" w:lineRule="exact"/>
        <w:rPr>
          <w:sz w:val="20"/>
          <w:szCs w:val="20"/>
          <w:color w:val="auto"/>
        </w:rPr>
      </w:pPr>
    </w:p>
    <w:p>
      <w:pPr>
        <w:ind w:firstLine="486"/>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In addition to FDA restrictions on the marketing of pharmaceutical and biotechnology products, several other types of state and federal laws have been applied to restrict certain marketing practices in the pharmaceutical and medical device industries, as well as consulting or other service agreements with physicians or other potential referral sources and regulate the use and disclosure of identifiable patient information. These laws include anti-kickback statutes and false claims statutes that prohibit, among other things, knowingly and willfully offering, paying, soliciting or receiving remuneration to induce, or, in return for, purchasing, leasing, ordering, recommending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 Finally, the Health Insurance Portability and Accountability Act (HIPAA), as amended by the Health Information Technology for Economic and Clinical Health Act of 2009, or HITECH, their respective implementing regulations and similar state laws and regulations,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In the event our operations result in our receiving such information, we could become subject to the requirements of these laws and regulations, including potential civil and criminal penalties.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40" w:name="page41"/>
    <w:bookmarkEnd w:id="40"/>
    <w:p>
      <w:pPr>
        <w:ind w:right="12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20" w:firstLine="486"/>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486"/>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640" w:firstLine="486"/>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40" w:right="20" w:hanging="284"/>
        <w:spacing w:after="0" w:line="250"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40" w:hanging="284"/>
        <w:spacing w:after="0" w:line="250"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680" w:firstLine="486"/>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in the US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position by filing patent applications in the United States and abroad related to our novel technologies and product candidates, and by maintenance of our trade secrets through proper procedures. We will only be able to protect our technologies from unauthorized use by third parties to the extent that valid and enforceable patents or trade secrets cover them in the market they are being used or developed.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7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40" w:hanging="284"/>
        <w:spacing w:after="0" w:line="25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40" w:hanging="284"/>
        <w:spacing w:after="0" w:line="25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940" w:hanging="284"/>
        <w:spacing w:after="0" w:line="25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40" w:hanging="284"/>
        <w:spacing w:after="0" w:line="25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40" w:hanging="284"/>
        <w:spacing w:after="0" w:line="261"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 The patent prosecution process is expensive and time-consuming, and we may not be able to file and prosecute all necessary or desirable patent applications at a reasonable cost or in a timely manner.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If our licensors or we fail to obtain or maintain patent protection or trade secret protection for one or more product candidates or any future product candidate we may license or acquire, third parties may be able to leverage our proprietary information and products without risk of infringement, which could impair our ability to compete in the market and adversely affect our ability to generate revenues and achieve profitability. Moreover, should we enter into other collaborations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8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US. The patent situation outside the US is even more uncertain. 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US. Accordingly, we cannot predict the breadth of claims that may be allowed or enforced in our patents or in those licensed from a third-party.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ind w:right="40" w:firstLine="486"/>
        <w:spacing w:after="0" w:line="288"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 The PTO recently developed new regulations and procedures to govern administration of the Leahy-Smith Act, and many of the substantive changes to patent law associated with the Leahy-Smith Act, and in particular, the first inventor-to-file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Moreover, we may be subject to a third-party pre-issuance submission of prior art to the PTO, or become involved in opposition, derivation, reexamination, inter partes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 addition to patents, we and our partners also rely on trade secrets and proprietary know-how, technology and other proprietary information, to maintain our competitive position, particularly where we do not believe patent protection is appropriate or obtainable. However, trade secrets are difficult to protect.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7"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3" w:name="page44"/>
    <w:bookmarkEnd w:id="43"/>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20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4" w:lineRule="exact"/>
        <w:rPr>
          <w:sz w:val="20"/>
          <w:szCs w:val="20"/>
          <w:color w:val="auto"/>
        </w:rPr>
      </w:pPr>
    </w:p>
    <w:p>
      <w:pPr>
        <w:ind w:right="340" w:firstLine="486"/>
        <w:spacing w:after="0" w:line="28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40" w:hanging="284"/>
        <w:spacing w:after="0" w:line="250"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40" w:hanging="284"/>
        <w:spacing w:after="0" w:line="261"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that we infringe their patents; or provoke those parties to petition the 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Furthermore, adverse results on US patents may affect related patents in our global portfolio. The adverse result could also put related patent applications at risk of not issuing.</w:t>
      </w:r>
    </w:p>
    <w:p>
      <w:pPr>
        <w:spacing w:after="0" w:line="172" w:lineRule="exact"/>
        <w:rPr>
          <w:sz w:val="20"/>
          <w:szCs w:val="20"/>
          <w:color w:val="auto"/>
        </w:rPr>
      </w:pPr>
    </w:p>
    <w:p>
      <w:pPr>
        <w:ind w:right="180" w:firstLine="486"/>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jc w:val="both"/>
        <w:ind w:firstLine="48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Even if frivolous or unsubstantiated in nature, litigation may be necessary to defend against these claims. Even if we are successful in defending against these claims, litigation could result in substantial costs and be a distraction to management, day-to-day business operations, and the implicated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of September 30, 2017, we had approximately $91.8 million in cash and cash equivalents, which we believe will be sufficient to fund the Company’s planned operations through 2018.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201" w:lineRule="exact"/>
        <w:rPr>
          <w:sz w:val="20"/>
          <w:szCs w:val="20"/>
          <w:color w:val="auto"/>
        </w:rPr>
      </w:pPr>
    </w:p>
    <w:p>
      <w:pPr>
        <w:ind w:right="460" w:firstLine="486"/>
        <w:spacing w:after="0" w:line="370" w:lineRule="auto"/>
        <w:rPr>
          <w:sz w:val="20"/>
          <w:szCs w:val="20"/>
          <w:color w:val="auto"/>
        </w:rPr>
      </w:pPr>
      <w:r>
        <w:rPr>
          <w:rFonts w:ascii="Arial" w:cs="Arial" w:eastAsia="Arial" w:hAnsi="Arial"/>
          <w:sz w:val="15"/>
          <w:szCs w:val="15"/>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have never been profitable and, as of September 30, 2017, we had an accumulated deficit of $324.0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140" w:firstLine="486"/>
        <w:spacing w:after="0" w:line="283"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b w:val="1"/>
          <w:bCs w:val="1"/>
          <w:color w:val="auto"/>
        </w:rPr>
      </w:pPr>
    </w:p>
    <w:p>
      <w:pPr>
        <w:ind w:left="940" w:hanging="284"/>
        <w:spacing w:after="0" w:line="250" w:lineRule="auto"/>
        <w:tabs>
          <w:tab w:leader="none" w:pos="9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40" w:hanging="284"/>
        <w:spacing w:after="0" w:line="250" w:lineRule="auto"/>
        <w:tabs>
          <w:tab w:leader="none" w:pos="9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40" w:hanging="284"/>
        <w:spacing w:after="0"/>
        <w:tabs>
          <w:tab w:leader="none" w:pos="9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b w:val="1"/>
          <w:bCs w:val="1"/>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460" w:firstLine="486"/>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486"/>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88"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5" w:lineRule="exact"/>
        <w:rPr>
          <w:sz w:val="20"/>
          <w:szCs w:val="20"/>
          <w:color w:val="auto"/>
        </w:rPr>
      </w:pPr>
    </w:p>
    <w:p>
      <w:pPr>
        <w:ind w:left="940" w:hanging="284"/>
        <w:spacing w:after="0" w:line="250"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ind w:right="60" w:firstLine="486"/>
        <w:spacing w:after="0" w:line="294" w:lineRule="auto"/>
        <w:rPr>
          <w:sz w:val="20"/>
          <w:szCs w:val="20"/>
          <w:color w:val="auto"/>
        </w:rPr>
      </w:pPr>
      <w:r>
        <w:rPr>
          <w:rFonts w:ascii="Arial" w:cs="Arial" w:eastAsia="Arial" w:hAnsi="Arial"/>
          <w:sz w:val="16"/>
          <w:szCs w:val="16"/>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140" w:firstLine="486"/>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440" w:firstLine="486"/>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43%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480" w:firstLine="486"/>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31.1</w:t>
            </w:r>
          </w:p>
        </w:tc>
        <w:tc>
          <w:tcPr>
            <w:tcW w:w="10180" w:type="dxa"/>
            <w:vAlign w:val="bottom"/>
          </w:tcPr>
          <w:p>
            <w:pPr>
              <w:ind w:left="300"/>
              <w:spacing w:after="0"/>
              <w:rPr>
                <w:sz w:val="20"/>
                <w:szCs w:val="20"/>
                <w:color w:val="auto"/>
              </w:rPr>
            </w:pPr>
            <w:r>
              <w:rPr>
                <w:rFonts w:ascii="Arial" w:cs="Arial" w:eastAsia="Arial" w:hAnsi="Arial"/>
                <w:sz w:val="18"/>
                <w:szCs w:val="18"/>
                <w:color w:val="auto"/>
                <w:w w:val="90"/>
              </w:rPr>
              <w:t>Certification of Chief Executive Officer pursuant to Rule 13a-14(a)/15d-14(a), as adopted pursuant to Section 302 of the Sarbanes-Oxley</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Act of 2002, dated November 9,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Rule 13a-14(a)/15d-14(a), as adopted pursuant to Section 302 of the Sarbanes-Oxley Act</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of 2002, dated November 9,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101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 of</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2002, dated November 9,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18 U.S.C. §1350, as adopted pursuant to Section 906 of the Sarbanes-Oxley Act of 2002,</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dated November 9, 2017.</w:t>
            </w:r>
          </w:p>
        </w:tc>
      </w:tr>
    </w:tbl>
    <w:p>
      <w:pPr>
        <w:spacing w:after="0" w:line="210" w:lineRule="exact"/>
        <w:rPr>
          <w:sz w:val="20"/>
          <w:szCs w:val="20"/>
          <w:color w:val="auto"/>
        </w:rPr>
      </w:pPr>
    </w:p>
    <w:p>
      <w:pPr>
        <w:ind w:left="1500" w:right="620" w:hanging="911"/>
        <w:spacing w:after="0" w:line="323" w:lineRule="auto"/>
        <w:tabs>
          <w:tab w:leader="none" w:pos="1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Quarterly Report on Form 10-Q for the period ended September 30, 2017,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36830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503" w:right="7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2017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2017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5"/>
    </w:lvl>
    <w:lvl w:ilvl="1">
      <w:lvlJc w:val="left"/>
      <w:lvlText w:val="%2)"/>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2019-12-06T03:30:18Z</dcterms:created>
  <dcterms:modified xsi:type="dcterms:W3CDTF">2019-12-06T03:30:18Z</dcterms:modified>
</cp:coreProperties>
</file>