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193675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ind w:left="260" w:right="2360" w:hanging="252"/>
        <w:spacing w:after="0" w:line="386" w:lineRule="auto"/>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260" w:right="1980" w:hanging="252"/>
        <w:spacing w:after="0" w:line="501" w:lineRule="auto"/>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 to ________.</w:t>
      </w:r>
    </w:p>
    <w:p>
      <w:pPr>
        <w:jc w:val="center"/>
        <w:ind w:right="-39"/>
        <w:spacing w:after="0"/>
        <w:rPr>
          <w:sz w:val="20"/>
          <w:szCs w:val="20"/>
          <w:color w:val="auto"/>
        </w:rPr>
      </w:pPr>
      <w:r>
        <w:rPr>
          <w:rFonts w:ascii="Arial" w:cs="Arial" w:eastAsia="Arial" w:hAnsi="Arial"/>
          <w:sz w:val="18"/>
          <w:szCs w:val="18"/>
          <w:b w:val="1"/>
          <w:bCs w:val="1"/>
          <w:color w:val="auto"/>
        </w:rPr>
        <w:t>Commission File Number 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TG THERAPEUTICS, INC.</w:t>
      </w:r>
    </w:p>
    <w:p>
      <w:pPr>
        <w:sectPr>
          <w:pgSz w:w="11900" w:h="16854" w:orient="portrait"/>
          <w:cols w:equalWidth="0" w:num="1">
            <w:col w:w="11400"/>
          </w:cols>
          <w:pgMar w:left="240" w:top="679" w:right="259" w:bottom="0" w:gutter="0" w:footer="0" w:header="0"/>
        </w:sectPr>
      </w:pPr>
    </w:p>
    <w:p>
      <w:pPr>
        <w:spacing w:after="0" w:line="23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8"/>
          <w:szCs w:val="18"/>
          <w:color w:val="auto"/>
        </w:rPr>
        <w:t>(State or other jurisdiction of</w:t>
      </w:r>
    </w:p>
    <w:p>
      <w:pPr>
        <w:spacing w:after="0" w:line="9" w:lineRule="exact"/>
        <w:rPr>
          <w:sz w:val="24"/>
          <w:szCs w:val="24"/>
          <w:color w:val="auto"/>
        </w:rPr>
      </w:pPr>
    </w:p>
    <w:p>
      <w:pPr>
        <w:ind w:left="1780"/>
        <w:spacing w:after="0"/>
        <w:rPr>
          <w:sz w:val="20"/>
          <w:szCs w:val="20"/>
          <w:color w:val="auto"/>
        </w:rPr>
      </w:pPr>
      <w:r>
        <w:rPr>
          <w:rFonts w:ascii="Arial" w:cs="Arial" w:eastAsia="Arial" w:hAnsi="Arial"/>
          <w:sz w:val="18"/>
          <w:szCs w:val="18"/>
          <w:color w:val="auto"/>
        </w:rPr>
        <w:t>incorporation or organization)</w:t>
      </w:r>
    </w:p>
    <w:p>
      <w:pPr>
        <w:spacing w:after="0" w:line="207"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3 Columbus Circle</w:t>
      </w:r>
    </w:p>
    <w:p>
      <w:pPr>
        <w:ind w:left="2480"/>
        <w:spacing w:after="0" w:line="198" w:lineRule="auto"/>
        <w:rPr>
          <w:sz w:val="20"/>
          <w:szCs w:val="20"/>
          <w:color w:val="auto"/>
        </w:rPr>
      </w:pPr>
      <w:r>
        <w:rPr>
          <w:rFonts w:ascii="Arial" w:cs="Arial" w:eastAsia="Arial" w:hAnsi="Arial"/>
          <w:sz w:val="18"/>
          <w:szCs w:val="18"/>
          <w:b w:val="1"/>
          <w:bCs w:val="1"/>
          <w:color w:val="auto"/>
        </w:rPr>
        <w:t>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New York, New York</w:t>
      </w:r>
    </w:p>
    <w:p>
      <w:pPr>
        <w:spacing w:after="0" w:line="7"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8"/>
          <w:szCs w:val="18"/>
          <w:color w:val="auto"/>
        </w:rPr>
        <w:t>(Zip Code)</w:t>
      </w:r>
    </w:p>
    <w:p>
      <w:pPr>
        <w:spacing w:after="0" w:line="217" w:lineRule="exact"/>
        <w:rPr>
          <w:sz w:val="24"/>
          <w:szCs w:val="24"/>
          <w:color w:val="auto"/>
        </w:rPr>
      </w:pPr>
    </w:p>
    <w:p>
      <w:pPr>
        <w:sectPr>
          <w:pgSz w:w="11900" w:h="16854" w:orient="portrait"/>
          <w:cols w:equalWidth="0" w:num="2">
            <w:col w:w="7700" w:space="200"/>
            <w:col w:w="3500"/>
          </w:cols>
          <w:pgMar w:left="240" w:top="679" w:right="259" w:bottom="0" w:gutter="0" w:footer="0" w:header="0"/>
          <w:type w:val="continuous"/>
        </w:sectPr>
      </w:pPr>
    </w:p>
    <w:p>
      <w:pPr>
        <w:spacing w:after="0" w:line="30"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Registrant’s telephone number, including area code: (212) 554-4484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9" w:lineRule="exact"/>
        <w:rPr>
          <w:sz w:val="24"/>
          <w:szCs w:val="24"/>
          <w:color w:val="auto"/>
        </w:rPr>
      </w:pPr>
    </w:p>
    <w:p>
      <w:pPr>
        <w:ind w:left="1260"/>
        <w:spacing w:after="0"/>
        <w:tabs>
          <w:tab w:leader="none" w:pos="7560" w:val="left"/>
        </w:tabs>
        <w:rPr>
          <w:sz w:val="20"/>
          <w:szCs w:val="20"/>
          <w:color w:val="auto"/>
        </w:rPr>
      </w:pPr>
      <w:r>
        <w:rPr>
          <w:rFonts w:ascii="Arial" w:cs="Arial" w:eastAsia="Arial" w:hAnsi="Arial"/>
          <w:sz w:val="18"/>
          <w:szCs w:val="18"/>
          <w:color w:val="auto"/>
        </w:rPr>
        <w:t>Common Stock, Par Value $0.001 Per Share</w:t>
      </w:r>
      <w:r>
        <w:rPr>
          <w:sz w:val="20"/>
          <w:szCs w:val="20"/>
          <w:color w:val="auto"/>
        </w:rPr>
        <w:tab/>
      </w:r>
      <w:r>
        <w:rPr>
          <w:rFonts w:ascii="Arial" w:cs="Arial" w:eastAsia="Arial" w:hAnsi="Arial"/>
          <w:sz w:val="16"/>
          <w:szCs w:val="16"/>
          <w:color w:val="auto"/>
        </w:rPr>
        <w:t>The Nasdaq Capital Market</w:t>
      </w:r>
    </w:p>
    <w:p>
      <w:pPr>
        <w:spacing w:after="0" w:line="23" w:lineRule="exact"/>
        <w:rPr>
          <w:sz w:val="24"/>
          <w:szCs w:val="24"/>
          <w:color w:val="auto"/>
        </w:rPr>
      </w:pPr>
    </w:p>
    <w:p>
      <w:pPr>
        <w:ind w:left="2320"/>
        <w:spacing w:after="0"/>
        <w:tabs>
          <w:tab w:leader="none" w:pos="6820" w:val="left"/>
        </w:tabs>
        <w:rPr>
          <w:sz w:val="20"/>
          <w:szCs w:val="20"/>
          <w:color w:val="auto"/>
        </w:rPr>
      </w:pPr>
      <w:r>
        <w:rPr>
          <w:rFonts w:ascii="Arial" w:cs="Arial" w:eastAsia="Arial" w:hAnsi="Arial"/>
          <w:sz w:val="18"/>
          <w:szCs w:val="18"/>
          <w:color w:val="auto"/>
        </w:rPr>
        <w:t>(Title of Class)</w:t>
      </w:r>
      <w:r>
        <w:rPr>
          <w:sz w:val="20"/>
          <w:szCs w:val="20"/>
          <w:color w:val="auto"/>
        </w:rPr>
        <w:tab/>
      </w:r>
      <w:r>
        <w:rPr>
          <w:rFonts w:ascii="Arial" w:cs="Arial" w:eastAsia="Arial" w:hAnsi="Arial"/>
          <w:sz w:val="16"/>
          <w:szCs w:val="16"/>
          <w:color w:val="auto"/>
        </w:rPr>
        <w:t>(Name of Each Exchange on Which Registered)</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1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definitions of “large accelerated filer,” “accelerated filer,” and “smaller reporting company” in Rule 12b-2 of the Exchange Act). (Check one):</w:t>
      </w:r>
    </w:p>
    <w:p>
      <w:pPr>
        <w:spacing w:after="0" w:line="190" w:lineRule="exact"/>
        <w:rPr>
          <w:sz w:val="24"/>
          <w:szCs w:val="24"/>
          <w:color w:val="auto"/>
        </w:rPr>
      </w:pPr>
    </w:p>
    <w:p>
      <w:pPr>
        <w:ind w:left="660"/>
        <w:spacing w:after="0" w:line="207" w:lineRule="exact"/>
        <w:tabs>
          <w:tab w:leader="none" w:pos="5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1" w:lineRule="exact"/>
        <w:rPr>
          <w:sz w:val="24"/>
          <w:szCs w:val="24"/>
          <w:color w:val="auto"/>
        </w:rPr>
      </w:pPr>
    </w:p>
    <w:p>
      <w:pPr>
        <w:ind w:left="660"/>
        <w:spacing w:after="0" w:line="207" w:lineRule="exact"/>
        <w:tabs>
          <w:tab w:leader="none" w:pos="588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340" w:firstLine="648"/>
        <w:spacing w:after="0" w:line="342" w:lineRule="auto"/>
        <w:rPr>
          <w:sz w:val="20"/>
          <w:szCs w:val="20"/>
          <w:color w:val="auto"/>
        </w:rPr>
      </w:pPr>
      <w:r>
        <w:rPr>
          <w:rFonts w:ascii="Arial" w:cs="Arial" w:eastAsia="Arial" w:hAnsi="Arial"/>
          <w:sz w:val="16"/>
          <w:szCs w:val="16"/>
          <w:color w:val="auto"/>
        </w:rPr>
        <w:t>The aggregate market value of voting common stock held by non-affiliates of the registrant (assuming, for purposes of this calculation, without conceding, that all executive officers and directors are “affiliates”) was $570,132,000 as of June 30, 2015, based on the closing sale price of such stock as</w:t>
      </w:r>
    </w:p>
    <w:p>
      <w:pPr>
        <w:sectPr>
          <w:pgSz w:w="11900" w:h="16854" w:orient="portrait"/>
          <w:cols w:equalWidth="0" w:num="1">
            <w:col w:w="11400"/>
          </w:cols>
          <w:pgMar w:left="240" w:top="679"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reported on the NASDAQ Capital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54,095,110 shares of the registrant’s common stock, $0.001 par value, outstanding as of March 1, 2016.</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Proxy Statement for the 2016 Annual Meeting of Stockholders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gridSpan w:val="16"/>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40" w:type="dxa"/>
            <w:vAlign w:val="bottom"/>
            <w:gridSpan w:val="2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SPECIAL CAUTIONARY NOTICE REGARDING FORWARD-LOOKING STATEMENTS</w:t>
              </w:r>
            </w:hyperlink>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40" w:type="dxa"/>
            <w:vAlign w:val="bottom"/>
            <w:gridSpan w:val="12"/>
            <w:shd w:val="clear" w:color="auto" w:fill="CCEEFF"/>
          </w:tcPr>
          <w:p>
            <w:pPr>
              <w:jc w:val="center"/>
              <w:ind w:right="4060"/>
              <w:spacing w:after="0" w:line="176"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3920" w:type="dxa"/>
            <w:vAlign w:val="bottom"/>
            <w:tcBorders>
              <w:top w:val="single" w:sz="8" w:color="CCEEFF"/>
            </w:tcBorders>
            <w:gridSpan w:val="1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15"/>
                <w:szCs w:val="15"/>
                <w:color w:val="auto"/>
              </w:rPr>
            </w:pPr>
          </w:p>
        </w:tc>
        <w:tc>
          <w:tcPr>
            <w:tcW w:w="4060" w:type="dxa"/>
            <w:vAlign w:val="bottom"/>
            <w:tcBorders>
              <w:top w:val="single" w:sz="8" w:color="CCEEFF"/>
            </w:tcBorders>
            <w:gridSpan w:val="9"/>
          </w:tcPr>
          <w:p>
            <w:pPr>
              <w:spacing w:after="0"/>
              <w:rPr>
                <w:sz w:val="15"/>
                <w:szCs w:val="15"/>
                <w:color w:val="auto"/>
              </w:rPr>
            </w:pPr>
          </w:p>
        </w:tc>
        <w:tc>
          <w:tcPr>
            <w:tcW w:w="1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7660" w:type="dxa"/>
            <w:vAlign w:val="bottom"/>
            <w:tcBorders>
              <w:bottom w:val="single" w:sz="8" w:color="CCEEFF"/>
            </w:tcBorders>
            <w:gridSpan w:val="23"/>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8560" w:type="dxa"/>
            <w:vAlign w:val="bottom"/>
            <w:gridSpan w:val="26"/>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560" w:type="dxa"/>
            <w:vAlign w:val="bottom"/>
            <w:gridSpan w:val="2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700" w:type="dxa"/>
            <w:vAlign w:val="bottom"/>
            <w:gridSpan w:val="14"/>
            <w:shd w:val="clear" w:color="auto" w:fill="CCEEFF"/>
          </w:tcPr>
          <w:p>
            <w:pPr>
              <w:jc w:val="center"/>
              <w:ind w:right="4000"/>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8560" w:type="dxa"/>
            <w:vAlign w:val="bottom"/>
            <w:gridSpan w:val="26"/>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Management’s Discussion and Analysis of Financial Condition and Results of Operations</w:t>
              </w:r>
            </w:hyperlink>
          </w:p>
        </w:tc>
        <w:tc>
          <w:tcPr>
            <w:tcW w:w="2100" w:type="dxa"/>
            <w:vAlign w:val="bottom"/>
            <w:tcBorders>
              <w:bottom w:val="single" w:sz="8" w:color="CCEEFF"/>
            </w:tcBorders>
            <w:gridSpan w:val="4"/>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7A</w:t>
            </w:r>
          </w:p>
        </w:tc>
        <w:tc>
          <w:tcPr>
            <w:tcW w:w="8560" w:type="dxa"/>
            <w:vAlign w:val="bottom"/>
            <w:gridSpan w:val="26"/>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 About Market Risk</w:t>
              </w:r>
            </w:hyperlink>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8560" w:type="dxa"/>
            <w:vAlign w:val="bottom"/>
            <w:gridSpan w:val="26"/>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8560" w:type="dxa"/>
            <w:vAlign w:val="bottom"/>
            <w:gridSpan w:val="26"/>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Changes in and Disagreements With Accountants on Accounting and Financial Disclosures</w:t>
              </w:r>
            </w:hyperlink>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8560" w:type="dxa"/>
            <w:vAlign w:val="bottom"/>
            <w:gridSpan w:val="26"/>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6800" w:type="dxa"/>
            <w:vAlign w:val="bottom"/>
            <w:tcBorders>
              <w:top w:val="single" w:sz="8" w:color="CCEEFF"/>
            </w:tcBorders>
            <w:gridSpan w:val="19"/>
          </w:tcPr>
          <w:p>
            <w:pPr>
              <w:spacing w:after="0"/>
              <w:rPr>
                <w:sz w:val="15"/>
                <w:szCs w:val="15"/>
                <w:color w:val="auto"/>
              </w:rPr>
            </w:pPr>
          </w:p>
        </w:tc>
        <w:tc>
          <w:tcPr>
            <w:tcW w:w="1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40" w:type="dxa"/>
            <w:vAlign w:val="bottom"/>
            <w:gridSpan w:val="15"/>
          </w:tcPr>
          <w:p>
            <w:pPr>
              <w:jc w:val="center"/>
              <w:ind w:right="3440"/>
              <w:spacing w:after="0" w:line="17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III</w:t>
              </w:r>
            </w:hyperlink>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8560" w:type="dxa"/>
            <w:vAlign w:val="bottom"/>
            <w:gridSpan w:val="26"/>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Directors, Executive Officers and Corporate Governance</w:t>
              </w:r>
            </w:hyperlink>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Executive Compensation</w:t>
              </w:r>
            </w:hyperlink>
          </w:p>
        </w:tc>
        <w:tc>
          <w:tcPr>
            <w:tcW w:w="6760" w:type="dxa"/>
            <w:vAlign w:val="bottom"/>
            <w:tcBorders>
              <w:bottom w:val="single" w:sz="8" w:color="CCEEFF"/>
            </w:tcBorders>
            <w:gridSpan w:val="18"/>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8560" w:type="dxa"/>
            <w:vAlign w:val="bottom"/>
            <w:gridSpan w:val="26"/>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 and Management and Related Stockholder Matters</w:t>
              </w:r>
            </w:hyperlink>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8560" w:type="dxa"/>
            <w:vAlign w:val="bottom"/>
            <w:gridSpan w:val="26"/>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Transactions, and Director Independence</w:t>
              </w:r>
            </w:hyperlink>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Principal Accountant Fees and Services</w:t>
              </w:r>
            </w:hyperlink>
          </w:p>
        </w:tc>
        <w:tc>
          <w:tcPr>
            <w:tcW w:w="3120" w:type="dxa"/>
            <w:vAlign w:val="bottom"/>
            <w:tcBorders>
              <w:top w:val="single" w:sz="8" w:color="CCEEFF"/>
            </w:tcBorders>
            <w:gridSpan w:val="5"/>
          </w:tcPr>
          <w:p>
            <w:pPr>
              <w:spacing w:after="0"/>
              <w:rPr>
                <w:sz w:val="15"/>
                <w:szCs w:val="15"/>
                <w:color w:val="auto"/>
              </w:rPr>
            </w:pPr>
          </w:p>
        </w:tc>
        <w:tc>
          <w:tcPr>
            <w:tcW w:w="1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700" w:type="dxa"/>
            <w:vAlign w:val="bottom"/>
            <w:gridSpan w:val="14"/>
          </w:tcPr>
          <w:p>
            <w:pPr>
              <w:jc w:val="center"/>
              <w:ind w:right="3980"/>
              <w:spacing w:after="0" w:line="17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IV</w:t>
              </w:r>
            </w:hyperlink>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0"/>
          </w:tcPr>
          <w:p>
            <w:pPr>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Exhibits and Financial Statement Schedules</w:t>
              </w:r>
            </w:hyperlink>
          </w:p>
        </w:tc>
        <w:tc>
          <w:tcPr>
            <w:tcW w:w="5400" w:type="dxa"/>
            <w:vAlign w:val="bottom"/>
            <w:gridSpan w:val="16"/>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Annual Report on Form 10-K contains trademarks and trade names of TG Therapeutics, Inc., including our name and logo. All other trademarks, service marks, or trade names referenced in this Annual Report on Form 10-K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25" w:lineRule="exact"/>
        <w:rPr>
          <w:rFonts w:ascii="Arial" w:cs="Arial" w:eastAsia="Arial" w:hAnsi="Arial"/>
          <w:sz w:val="18"/>
          <w:szCs w:val="18"/>
          <w:color w:val="auto"/>
        </w:rPr>
      </w:pPr>
    </w:p>
    <w:p>
      <w:pPr>
        <w:ind w:left="1300" w:right="104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as to the timing of commencing or completing pre-clinical and clinical trials and the expected outcomes of those trials;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225" w:lineRule="exact"/>
        <w:rPr>
          <w:rFonts w:ascii="Arial" w:cs="Arial" w:eastAsia="Arial" w:hAnsi="Arial"/>
          <w:sz w:val="18"/>
          <w:szCs w:val="18"/>
          <w:color w:val="auto"/>
        </w:rPr>
      </w:pPr>
    </w:p>
    <w:p>
      <w:pPr>
        <w:ind w:left="1300" w:right="34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and its volatility;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96"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hematological malignancies. TG-1101 (ublituximab) is a novel, glycoengineered monoclonal antibody that targets a specific and unique epitope on the CD20 antigen found on mature B-lymphocytes. TG Therapeutics is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seeking to develop IRAK4 (interleukin-1 receptor-associated kinase 4) inhibitors and anti-PD-L1 and anti-GITR antibodies.</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ind w:right="280" w:firstLine="648"/>
        <w:spacing w:after="0" w:line="210" w:lineRule="auto"/>
        <w:rPr>
          <w:sz w:val="20"/>
          <w:szCs w:val="20"/>
          <w:color w:val="auto"/>
        </w:rPr>
      </w:pPr>
      <w:r>
        <w:rPr>
          <w:rFonts w:ascii="Arial" w:cs="Arial" w:eastAsia="Arial" w:hAnsi="Arial"/>
          <w:sz w:val="18"/>
          <w:szCs w:val="18"/>
          <w:color w:val="auto"/>
        </w:rPr>
        <w:t>We were incorporated in Delaware in 1993. Our executive offices are located at 3 Columbus Circle,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10019. Our telephone number is 212-554-4484, and our e-mail address is info@tgtxinc.com.</w:t>
      </w:r>
    </w:p>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a website with the address www.tgtherapeutics.com. We make available free of charge through our Internet website our annual reports on Form 10-K, quarterly reports on Form 10-Q and current reports on Form 8-K, and any amendments to these reports, as soon as reasonably practicable after we electronically file such material with, or furnish such material to, the SEC. We are not including the information on our website as a part of, nor incorporating it by reference into, this report. You may read and copy any such reports and amendments thereto at the SEC’s Public Reference Room at 100 F Street, N.E., Washington, D.C. 20549 on official business days during the hours of 10:00 a.m. to 3:00 p.m. Please call the SEC at 1-800-SEC-0330 for information on the Public Reference Room. Additionally, the SEC maintains a website that contains annual, quarterly, and current reports, proxy statements, and other information that issuers (including us) file electronically with the SEC. The SEC’s website address is http://www.sec.gov.</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UNDER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(“LFB”), and South Korea and Southeast Asia which were licensed by us to Ildong Pharmaceutical Co. Ltd (“Ildong”) in November 2012.</w:t>
      </w:r>
    </w:p>
    <w:p>
      <w:pPr>
        <w:spacing w:after="0" w:line="187" w:lineRule="exact"/>
        <w:rPr>
          <w:sz w:val="20"/>
          <w:szCs w:val="20"/>
          <w:color w:val="auto"/>
        </w:rPr>
      </w:pPr>
    </w:p>
    <w:p>
      <w:pPr>
        <w:ind w:right="80"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2014 of more than $8 billion.</w:t>
      </w:r>
    </w:p>
    <w:p>
      <w:pPr>
        <w:spacing w:after="0" w:line="42"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patients at doses as high as 450mg per infusion. Subsequently, a single-agent Phase I study was undertaken in the US enrolling patients with both NHL and CLL, dosing patients up to 1200mg per infusion. In both studies, single agent therapy with TG-1101 was deemed well tolerated by treating investigators and displayed promising clinical activity in relapsed and refractory patients.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 w:name="page6"/>
    <w:bookmarkEnd w:id="5"/>
    <w:p>
      <w:pPr>
        <w:ind w:right="120" w:firstLine="648"/>
        <w:spacing w:after="0" w:line="256"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ind w:left="130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ind w:left="1300" w:right="56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UNITY-CLL Trial – a randomized controlled Phase 3 trial evaluating TG-1101 in combination with TGR-1202, the Company’s development stage PI3Kδ inhibitor, for patients with front line and previously treated CLL; and</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1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Manufacturing of TG-1101 is currently performed by our partner, LFB Biotechnologies and we are in the process of bringing a secondary manufacturer on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Overview</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mechanism of action of anti-CD20 antibodies, including rituximab and TG-1101 has been elucidated and detailed in numerous academic and clinical studies. Upon conjugation of the antibody to the CD20 surface antigen, rituximab has been found to deplete B-lymphocytes through three primary mechanisms: ADCC, CDC, and DCD or PCD.</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Antibody dependent cellular cytotoxicity, or ADCC, is a mechanism that is dependent on interactions between the Fc region of the antibody and the FcγR receptors on immune system effector cells, most notably the FcγRIIIA (CD16) receptor found on NK cells. These interactions trigger cells to release cytotoxic molecules and proteases resulting in B-cell death. TG-1101 is a third generation, type I chimeric IgG1 monoclonal antibody with a glycoengineered Fc region designed specifically to induce higher ADCC activity in comparison to rituximab, which has been demonstrated in pre-clinical models.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Overview and 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Relapsed/Refractory CLL</w:t>
      </w:r>
    </w:p>
    <w:p>
      <w:pPr>
        <w:spacing w:after="0" w:line="225" w:lineRule="exact"/>
        <w:rPr>
          <w:sz w:val="20"/>
          <w:szCs w:val="20"/>
          <w:color w:val="auto"/>
        </w:rPr>
      </w:pPr>
    </w:p>
    <w:p>
      <w:pPr>
        <w:jc w:val="both"/>
        <w:ind w:right="60" w:firstLine="648"/>
        <w:spacing w:after="0" w:line="269" w:lineRule="auto"/>
        <w:rPr>
          <w:sz w:val="20"/>
          <w:szCs w:val="20"/>
          <w:color w:val="auto"/>
        </w:rPr>
      </w:pPr>
      <w:r>
        <w:rPr>
          <w:rFonts w:ascii="Arial" w:cs="Arial" w:eastAsia="Arial" w:hAnsi="Arial"/>
          <w:sz w:val="18"/>
          <w:szCs w:val="18"/>
          <w:color w:val="auto"/>
        </w:rPr>
        <w:t>A multicenter, open-label Phase I/Ib clinical trial of TG-1101 was completed which aimed to assess the safety, tolerability, and efficacy of TG-1101 in patients with relapsed or refractory CLL. This two part, first-in-man, dose escalating trial was conducted in nine centers in France with preliminary results presented at the 52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and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Annual American Society of Hematology (“ASH”) meetings, respectively.</w:t>
      </w:r>
    </w:p>
    <w:p>
      <w:pPr>
        <w:spacing w:after="0" w:line="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study regimen in Part 1 involved 21 patients in five dosing cohorts receiving infusions of TG-1101 at a dose ranging from 5mg to 450mg once weekly over the course of four weeks. Part 2 of this study included 12 patients and evaluated the safety and efficacy profile of TG-1101 when administered in an 8-dose regimen (150mg initial dose, followed by seven doses of 450mg).</w:t>
      </w:r>
    </w:p>
    <w:p>
      <w:pPr>
        <w:spacing w:after="0" w:line="181"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TG-1101 was well tolerated with adverse events generally consistent with those exhibited by other anti-CD20 antibodies. In Part 2 of the study, rapid, near total blood lymphocyte depletion was observed in all patients. Overall response assessment at month four according to NCI-WG guidelines following treatment, TG-1101 was found to produce a durable partial response (“PR”) in 5/11 (45%) evaluable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Relapsed/Refractory NHL &amp; CLL</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Our first US based trial entitled "An Open Label Phase I/II Trial of the Efficacy and Safety of TG-1101 in Patients with B-cell Non-Hodgkin’s Lymphoma who have Relapsed or are Refractory After CD20 Directed Antibody Therapy," was launched in the third quarter of 2012. In July 2014, this trial completed enrollment at 35 patients, of which 12 patients were included in the dose escalation component and 23 patients in various expansion cohorts. All</w:t>
      </w:r>
    </w:p>
    <w:p>
      <w:pPr>
        <w:ind w:right="300"/>
        <w:spacing w:after="0" w:line="217" w:lineRule="auto"/>
        <w:rPr>
          <w:sz w:val="20"/>
          <w:szCs w:val="20"/>
          <w:color w:val="auto"/>
        </w:rPr>
      </w:pPr>
      <w:r>
        <w:rPr>
          <w:rFonts w:ascii="Arial" w:cs="Arial" w:eastAsia="Arial" w:hAnsi="Arial"/>
          <w:sz w:val="18"/>
          <w:szCs w:val="18"/>
          <w:color w:val="auto"/>
        </w:rPr>
        <w:t>enrolled patients were relapsed or refractory to Rituxan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or a Rituxan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containing regimen, and in most cases multiple other lines of therapy. Dr. Owen O'Connor, Professor of Medicine and Director, Center for Lymphoid Malignancies at New York Presbyterian Columbia Medical Center was the Principal Investigator for the multi-center study.</w:t>
      </w:r>
    </w:p>
    <w:p>
      <w:pPr>
        <w:spacing w:after="0" w:line="208" w:lineRule="exact"/>
        <w:rPr>
          <w:sz w:val="20"/>
          <w:szCs w:val="20"/>
          <w:color w:val="auto"/>
        </w:rPr>
      </w:pPr>
    </w:p>
    <w:p>
      <w:pPr>
        <w:ind w:right="620" w:firstLine="648"/>
        <w:spacing w:after="0" w:line="210" w:lineRule="auto"/>
        <w:rPr>
          <w:sz w:val="20"/>
          <w:szCs w:val="20"/>
          <w:color w:val="auto"/>
        </w:rPr>
      </w:pPr>
      <w:r>
        <w:rPr>
          <w:rFonts w:ascii="Arial" w:cs="Arial" w:eastAsia="Arial" w:hAnsi="Arial"/>
          <w:sz w:val="18"/>
          <w:szCs w:val="18"/>
          <w:color w:val="auto"/>
        </w:rPr>
        <w:t>Data from this study was presented at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American Society of Clinical Oncology (ASCO) 2014 Annual Meeting in Chicago, IL, and is summarized below:</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6" w:name="page7"/>
    <w:bookmarkEnd w:id="6"/>
    <w:p>
      <w:pPr>
        <w:ind w:right="160" w:firstLine="648"/>
        <w:spacing w:after="0" w:line="293" w:lineRule="auto"/>
        <w:rPr>
          <w:sz w:val="20"/>
          <w:szCs w:val="20"/>
          <w:color w:val="auto"/>
        </w:rPr>
      </w:pPr>
      <w:r>
        <w:rPr>
          <w:rFonts w:ascii="Arial" w:cs="Arial" w:eastAsia="Arial" w:hAnsi="Arial"/>
          <w:sz w:val="16"/>
          <w:szCs w:val="16"/>
          <w:color w:val="auto"/>
        </w:rPr>
        <w:t>TG-1101 was well tolerated at all dose levels tested in the 35 patients evaluable for safety, with Day 1 infusion related reactions (IRR) being the most frequently reported adverse event. The combined overall response rate (ORR) for the Phase 1 dose escalation component and expansion cohorts was 43% (30% PR, 13% CR) among the 30 rituximab relapsed/refractory patients evaluable for efficacy at the time of the presentation. TG-1101 displayed marked clinical activity as a single agent in a variety of lymphoma subtypes, reporting a 67% (4/6) response rate in patients with CLL and 44% (8/18) response rate in patients with indolent NHL (22% CR, 22% PR). Responses were durable, with a median duration of progression free survival (PFS) among patients who achieved SD or better not reached, and a median PFS for all patients on study of 34 weeks (n=30) at the time of the data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for Relapsed/Refractory NHL &amp; CLL</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November 2013, we initiated a multi-center, Phase I study to evaluate the safety and efficacy of the combination of TG-1101 and TGR-1202, the Company's novel, once per day, PI3Kδ inhibitor, for patients with relapsed and/or refractory CLL and NHL. In this study, dosing of TGR-1202 commenced at 800mg (initial formulation) once per day (QD) with dose escalation proceeding in a 3+3 design. Dose-escalation up to 1200mg micronized formulation has been completed and expansion cohorts are now being evaluated at various doses. Additional cohorts were added to this study to explore the triple therapy combination of TG-1101, TGR-1202, and ibrutinib.</w:t>
      </w:r>
    </w:p>
    <w:p>
      <w:pPr>
        <w:spacing w:after="0" w:line="188"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 MD Anderson Cancer Center is the lead center for the trial with Nathan Fowler, MD, Assistant Professor and Co-Director of Clinical Research in the Department of Lymphoma, as the Study Chair for the NHL patient group and Susan O’Brien, MD, formerly of MD Anderson and now Professor and Medical Director for Cancer Clinical Trials and Research at UC Irvine as the Study Chair for the CLL patient group.</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Preliminary data from this study was presented at the 57th Annual American Society of Hematology (ASH) meeting held in December 2015 and is summarized below:</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combination of TG-1101 and TGR-1202 was well tolerated in the 71 patients evaluable for safety, with only 8% of patients discontinuing due to an adverse event. Notably, the only Grade 3/4 adverse event occurring in &gt; 5% of patients was neutropenia. As of the data presentation, twenty-six patients had been on the combination of TG-1101 plus TGR-1202 for 6+ months, with no events of colitis reported. The combination displayed marked clinical activity in a variety of lymphoma subtypes, reporting an 80% (8/10) response rate in patients with CLL, a 71% (12/17) response rate in patients with indolent NHL, and a 35% (6/17) response rate in patients with DLBCL and Richter’s Transformation. The data from this study supports the current Phase 3 UNITY-CLL study of TG-1101 + TGR-1202 in CLL.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Ibrutinib for Relapsed/Refractory MCL &amp; CLL</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December 2013, we initiated a multi-center Phase 2 clinical trial to evaluate the safety and efficacy of the combination of TG-1101 and ibrutinib for patients with CLL and MCL. This is the first clinical trial evaluating the combination of TG-1101 and ibrutinib, an oral Bruton’s Tyrosine Kinase (BTK) inhibitor.</w:t>
      </w:r>
    </w:p>
    <w:p>
      <w:pPr>
        <w:spacing w:after="0" w:line="181"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TG Therapeutics partnered with the US Oncology Network and other select centers throughout the United States on the study, with Jeff Sharman, MD, Medical Director for Hematology Research, US Oncology Network, as the Study Chair. This trial has completed enrollment.</w:t>
      </w:r>
    </w:p>
    <w:p>
      <w:pPr>
        <w:spacing w:after="0" w:line="14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Final data from this study was presented on the MCL cohort at the 57th Annual American Society of Hematology (ASH) meeting held in December 2015, and on the CLL cohort at the 13th International Congress on Malignant Lymphoma (ICML), held in June 2015 and is summarized below:</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CLL cohort, TG-1101 in combination with ibrutinib was well tolerated in the 44 patients evaluable for safety, with day 1 infusion related reactions (IRR) being the most frequently reported adverse event (regardless of causality). In the MCL cohort, the combination was well tolerated in the 15 patients evaluable for safety, with fatigue being the most frequently reported adverse event (regardless of causality). Overall, in both CLL and MCL, aside from day 1 IRR, the addition of TG-1101 did not appear to alter the safety profile seen historically with single agent ibrutinib. Of the 59 patients treated, 40 CLL and 15 MCL patients were evaluable for response. The combination displayed marked clinical activity, reporting an 88% (35/40) response rate in patients with CLL, a 95% (19/20) response rate in those CLL patients with high-risk cytogenetics, and an 87% (13/15) response rate in patients with MCL. The data from this study supports the current Phase 3 GENUINE study of TG-1101 + ibrutinib in previously treated CLL patients with high-risk cytogenetics.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reached an agreement with the U.S. Food and Drug Administration (FDA) regarding a Special Protocol Assessment (SPA) on the design, endpoints and statistical analysis approach of a Phase 3 clinical trial for TG-1101 + ibrutinib for the treatment of previously treated CLL patients with high risk cytogenetics. The SPA provides agreement that the Phase 3 trial design adequately addresses objectives that would support the regulatory submission for drug approval.</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Phase 3 trial, named the GENUINE trial, is a randomized controlled clinical trial, with patients receiving either TG-1101 plus ibrutinib or ibrutinib alone. The trial will enroll approximately 330 patients, with the first 200 patients evaluated for overall response rate (ORR), and all patients followed for progression-free survival (PFS). As per the SPA, if the data is positive, we plan to use the ORR data from the trial as the basis for submission of a Biologics License Application (BLA) for accelerated approval for TG-1101, with the PFS assessment intended to support a filing for full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4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Phase 3 trial, called the UNITY-CLL trial, is a randomized controlled clinical trial that includes two key objectives: first, to demonstrate contribution of each agent in the TG-1101 + TGR-1202 regimen (the combination sometimes referred to as "1303"), and second, to demonstrate superiority in Progression Free Survival (PFS) over the standard of care to support the submission for full approval of the combination. The study will randomize patients</w:t>
      </w:r>
    </w:p>
    <w:p>
      <w:pPr>
        <w:ind w:right="80"/>
        <w:spacing w:after="0" w:line="229" w:lineRule="auto"/>
        <w:rPr>
          <w:sz w:val="20"/>
          <w:szCs w:val="20"/>
          <w:color w:val="auto"/>
        </w:rPr>
      </w:pPr>
      <w:r>
        <w:rPr>
          <w:rFonts w:ascii="Arial" w:cs="Arial" w:eastAsia="Arial" w:hAnsi="Arial"/>
          <w:sz w:val="18"/>
          <w:szCs w:val="18"/>
          <w:color w:val="auto"/>
        </w:rPr>
        <w:t>into four treatment arms: TG-1101 + TGR-1202, TG-1101 alone, TGR-1202 alone, and an active control arm of obinutuzumab (GAZYVA</w:t>
      </w:r>
      <w:r>
        <w:rPr>
          <w:rFonts w:ascii="Arial" w:cs="Arial" w:eastAsia="Arial" w:hAnsi="Arial"/>
          <w:sz w:val="30"/>
          <w:szCs w:val="30"/>
          <w:color w:val="auto"/>
          <w:vertAlign w:val="superscript"/>
        </w:rPr>
        <w:t>®</w:t>
      </w:r>
      <w:r>
        <w:rPr>
          <w:rFonts w:ascii="Arial" w:cs="Arial" w:eastAsia="Arial" w:hAnsi="Arial"/>
          <w:sz w:val="18"/>
          <w:szCs w:val="18"/>
          <w:color w:val="auto"/>
        </w:rPr>
        <w:t>)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 Assuming early termination of the TG-1101 and TGR-1202 single agent arms, the study will enroll approximately 450 patients.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(δ) isoform is strongly expressed in cells of hematopoietic origin, and often implicated in B-cell related lymphomas.</w:t>
      </w:r>
    </w:p>
    <w:p>
      <w:pPr>
        <w:spacing w:after="0" w:line="18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various hematologic malignancies.</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hold exclusive rights to develop and commercialize TGR-1202 for all indications worldwide, except India which has been retained by Rhizen Pharmaceuticals, SA.</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Company’s Investigational New Drug (“IND”) application for TGR-1202 was accepted by the FDA in December 2012 and a first in-human Phase I clinical trial was initiated in January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Overview</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an enzyme based assay, TGR-1202 demonstrated potency and specificity towards PI3Kδ with &gt;1000, 50 and 48-fold selectivity over the α, β, and γ PI3K isoforms.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65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286385</wp:posOffset>
            </wp:positionH>
            <wp:positionV relativeFrom="page">
              <wp:posOffset>586105</wp:posOffset>
            </wp:positionV>
            <wp:extent cx="3687445" cy="1054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687445" cy="1054735"/>
                    </a:xfrm>
                    <a:prstGeom prst="rect">
                      <a:avLst/>
                    </a:prstGeom>
                    <a:noFill/>
                  </pic:spPr>
                </pic:pic>
              </a:graphicData>
            </a:graphic>
          </wp:anchor>
        </w:drawing>
        <w:t>Figure 1</w:t>
      </w:r>
      <w:r>
        <w:rPr>
          <w:rFonts w:ascii="Arial" w:cs="Arial" w:eastAsia="Arial" w:hAnsi="Arial"/>
          <w:sz w:val="18"/>
          <w:szCs w:val="18"/>
          <w:i w:val="1"/>
          <w:iCs w:val="1"/>
          <w:color w:val="auto"/>
        </w:rPr>
        <w:t>: Potency and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Specificity of TGR-1202</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towards PI3K Delta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Overview and Recent Developments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study in combination with TG-1101 with or without the BTK inhibitor, ibrutinib, our current combination clinical trials for TGR-1202 are:</w:t>
      </w:r>
    </w:p>
    <w:p>
      <w:pPr>
        <w:ind w:left="1300" w:hanging="320"/>
        <w:spacing w:after="0" w:line="184" w:lineRule="auto"/>
        <w:tabs>
          <w:tab w:leader="none" w:pos="1300" w:val="left"/>
        </w:tabs>
        <w:numPr>
          <w:ilvl w:val="0"/>
          <w:numId w:val="5"/>
        </w:numPr>
        <w:rPr>
          <w:rFonts w:ascii="Arial" w:cs="Arial" w:eastAsia="Arial" w:hAnsi="Arial"/>
          <w:sz w:val="34"/>
          <w:szCs w:val="34"/>
          <w:color w:val="auto"/>
          <w:vertAlign w:val="superscript"/>
        </w:rPr>
      </w:pPr>
      <w:r>
        <w:rPr>
          <w:rFonts w:ascii="Arial" w:cs="Arial" w:eastAsia="Arial" w:hAnsi="Arial"/>
          <w:sz w:val="17"/>
          <w:szCs w:val="17"/>
          <w:color w:val="auto"/>
        </w:rPr>
        <w:t>TGR-1202 in combination with the anti-CD20 antibody, obinutuzumab (GAZYVA</w:t>
      </w:r>
      <w:r>
        <w:rPr>
          <w:rFonts w:ascii="Arial" w:cs="Arial" w:eastAsia="Arial" w:hAnsi="Arial"/>
          <w:sz w:val="28"/>
          <w:szCs w:val="28"/>
          <w:color w:val="auto"/>
          <w:vertAlign w:val="superscript"/>
        </w:rPr>
        <w:t>®</w:t>
      </w:r>
      <w:r>
        <w:rPr>
          <w:rFonts w:ascii="Arial" w:cs="Arial" w:eastAsia="Arial" w:hAnsi="Arial"/>
          <w:sz w:val="17"/>
          <w:szCs w:val="17"/>
          <w:color w:val="auto"/>
        </w:rPr>
        <w:t>) and chlorambucil in patients with CLL;</w:t>
      </w:r>
    </w:p>
    <w:p>
      <w:pPr>
        <w:spacing w:after="0" w:line="1" w:lineRule="exact"/>
        <w:rPr>
          <w:rFonts w:ascii="Arial" w:cs="Arial" w:eastAsia="Arial" w:hAnsi="Arial"/>
          <w:sz w:val="34"/>
          <w:szCs w:val="34"/>
          <w:color w:val="auto"/>
          <w:vertAlign w:val="superscript"/>
        </w:rPr>
      </w:pPr>
    </w:p>
    <w:p>
      <w:pPr>
        <w:ind w:left="1300" w:right="200" w:hanging="320"/>
        <w:spacing w:after="0" w:line="183" w:lineRule="auto"/>
        <w:tabs>
          <w:tab w:leader="none" w:pos="1300" w:val="left"/>
        </w:tabs>
        <w:numPr>
          <w:ilvl w:val="0"/>
          <w:numId w:val="5"/>
        </w:numPr>
        <w:rPr>
          <w:rFonts w:ascii="Arial" w:cs="Arial" w:eastAsia="Arial" w:hAnsi="Arial"/>
          <w:sz w:val="32"/>
          <w:szCs w:val="32"/>
          <w:color w:val="auto"/>
          <w:vertAlign w:val="superscript"/>
        </w:rPr>
      </w:pPr>
      <w:r>
        <w:rPr>
          <w:rFonts w:ascii="Arial" w:cs="Arial" w:eastAsia="Arial" w:hAnsi="Arial"/>
          <w:sz w:val="17"/>
          <w:szCs w:val="17"/>
          <w:color w:val="auto"/>
        </w:rPr>
        <w:t>TGR-1202 in combination with the anti-CD30 antibody drug conjugate, brentuximab vedotin (ADCETRIS</w:t>
      </w:r>
      <w:r>
        <w:rPr>
          <w:rFonts w:ascii="Arial" w:cs="Arial" w:eastAsia="Arial" w:hAnsi="Arial"/>
          <w:sz w:val="27"/>
          <w:szCs w:val="27"/>
          <w:color w:val="auto"/>
          <w:vertAlign w:val="superscript"/>
        </w:rPr>
        <w:t>®</w:t>
      </w:r>
      <w:r>
        <w:rPr>
          <w:rFonts w:ascii="Arial" w:cs="Arial" w:eastAsia="Arial" w:hAnsi="Arial"/>
          <w:sz w:val="17"/>
          <w:szCs w:val="17"/>
          <w:color w:val="auto"/>
        </w:rPr>
        <w:t>), in patients with relapsed or refractory Hodgkin’s lymphoma;</w:t>
      </w: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TGR-1202 in combination with the BTK inhibitor, ibrutinib, in patients with previously treated CLL and MCL; and</w:t>
      </w:r>
    </w:p>
    <w:p>
      <w:pPr>
        <w:spacing w:after="0" w:line="9" w:lineRule="exact"/>
        <w:rPr>
          <w:rFonts w:ascii="Arial" w:cs="Arial" w:eastAsia="Arial" w:hAnsi="Arial"/>
          <w:sz w:val="18"/>
          <w:szCs w:val="18"/>
          <w:color w:val="auto"/>
        </w:rPr>
      </w:pPr>
    </w:p>
    <w:p>
      <w:pPr>
        <w:ind w:left="1300" w:right="1000" w:hanging="320"/>
        <w:spacing w:after="0" w:line="182" w:lineRule="auto"/>
        <w:tabs>
          <w:tab w:leader="none" w:pos="130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TGR-1202 in combination with the JAK inhibitor, ruxolitinib (JAKAFI</w:t>
      </w:r>
      <w:r>
        <w:rPr>
          <w:rFonts w:ascii="Arial" w:cs="Arial" w:eastAsia="Arial" w:hAnsi="Arial"/>
          <w:sz w:val="30"/>
          <w:szCs w:val="30"/>
          <w:color w:val="auto"/>
          <w:vertAlign w:val="superscript"/>
        </w:rPr>
        <w:t>®</w:t>
      </w:r>
      <w:r>
        <w:rPr>
          <w:rFonts w:ascii="Arial" w:cs="Arial" w:eastAsia="Arial" w:hAnsi="Arial"/>
          <w:sz w:val="18"/>
          <w:szCs w:val="18"/>
          <w:color w:val="auto"/>
        </w:rPr>
        <w:t>), in patients with previously treated Myelofibrosis or Polycythemia Vera.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Data from this ongoing Phase I study was most recently presented at the 57th Annual American Society of Hematology (ASH) meeting held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2015, and is summarized below:</w:t>
      </w:r>
    </w:p>
    <w:p>
      <w:pPr>
        <w:spacing w:after="0" w:line="211"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Overall, TGR-1202 was considered to be well-tolerated in the 81 patients evaluable for safety, with only 7% of patients discontinuing due to an adverse event. Limited Grade 3/4 adverse events were reported with anemia and neutropenia (each 9%) being the only grade 3/4 adverse events reported in greater than 5% of patients. Long-term safety has been well characterized with 47% (38 of 81) of patients on study more than 6 months, 27% (22 of 81) of patients on study more than 12 months, and the longest exposed to drug for more than 2.5 years. Of the 81 patients treated, 63 patients were evaluable for efficacy analysis, having been treated at therapeutic dose levels. TGR-1202 displayed marked clinical activity, reporting a 59% (10/17) response rate in patients with CLL (with a 94% nodal PR rate (16/17), and 75% (12/16) of follicular lymphoma patients demonstrated tumor reductions with a preliminary ORR of 38% (6/16).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Combination with obinutuzumab and chlorambucil in patients with CLL</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March 2014, the Company initiated a Phase I/Ib, open label, multi-center, clinical trial of TGR-1202 in combination with obinutuzumab and chlorambucil in patients with CLL, both treatment naïve and relapsed. The study entitled TGR-GA-106, " A Multi-center Phase I/Ib Study Evaluating the Efficacy and Safety of TGR-1202, a Novel PI3K Delta Inhibitor, in Combination with Obinutuzumab and Chlorambucil in Patients with Chronic Lymphocytic Leukemia (CLL)," is being led by Dr. Daruka Mahadevan of the West Clinic in Memphis, TN. As of February 2016, this study has completed enrollment.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Data from study was presented at the 57th Annual American Society of Hematology (ASH) meeting held in December 2015, and is summarized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35" w:right="239" w:bottom="1440" w:gutter="0" w:footer="0" w:header="0"/>
        </w:sectPr>
      </w:pPr>
    </w:p>
    <w:bookmarkStart w:id="9" w:name="page10"/>
    <w:bookmarkEnd w:id="9"/>
    <w:p>
      <w:pPr>
        <w:jc w:val="both"/>
        <w:ind w:right="120" w:firstLine="648"/>
        <w:spacing w:after="0" w:line="259" w:lineRule="auto"/>
        <w:rPr>
          <w:sz w:val="20"/>
          <w:szCs w:val="20"/>
          <w:color w:val="auto"/>
        </w:rPr>
      </w:pPr>
      <w:r>
        <w:rPr>
          <w:rFonts w:ascii="Arial" w:cs="Arial" w:eastAsia="Arial" w:hAnsi="Arial"/>
          <w:sz w:val="18"/>
          <w:szCs w:val="18"/>
          <w:color w:val="auto"/>
        </w:rPr>
        <w:t>Overall, the combination of TGR-1202, obinutuzumab and chlorambucil demonstrated acceptable tolerability, but notably differed from the toxicity profile observed with TGR-1202 and TG-1101 in patients with relapsed refractor CLL, specifically regarding neutropenia (78% vs. 30%), thrombocytopenia (78% vs. &lt; 10%), and transaminase elevations (39% vs. 8%). TGR-1202 with obinutuzumab and chlorambucil reported a 95% (17/18) ORR in patients with CLL (with a 100% (15/15) ORR in those patients that were treatment naïve).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TGR-1202 is being evaluated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It is anticipated that preliminary results from these studies will be presented at future medical conferences.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Solid Tumors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to the exploration of TGR-1202 in various hematologic malignancies, a study was opened in October 2015 to evaluate TGR-1202 as a single agent as well as in combination with various chemotherapies for the treatment of select solid tumors. The study, entitled TGR-1202-102, “A Phase I Study Evaluating the Safety and Efficacy of TGR-1202 Alone and in Combination with either nab-paclitaxel + Gemcitabine or with FOLFOX in Patients with Select Relapsed or Refractory Solid Tumors” is being run in collaboration with the Sarah Cannon Research Institute in Nashville, TN with Johanna Bendell, MD, Director of GI Oncology Research as the acting study chair.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 for TG-1101 &amp; TGR-1202</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lead products under development, TG-1101 and TGR-1202 are for the treatment of B-cell hematologic malignancies. Hematologic malignancies include cancers derived from the bone marrow and lymph tissue. The non-Hodgkin’s lymphomas (NHL) represent a heterogeneous subset of these malignancies. Underneath the single rubric of lymphoma exist some of the most aggressive growing cancers (Burkitt’s lymphoma, lymphoblastic lymphoma, diffuse large-B-cell lymphoma), as well as some of the most indolent (small lymphocytic lymphoma, follicular lymphoma, and marginal zone lymphoma). In the United States, NHL represents 4-5% of all new cancer cases, and is the eighth leading cause of cancer death. According to the American Cancer Society, it is estimated in 2016 that there will be 72,580 new cases in the United States, and 20,150 deaths from NHL, despite improvements in treatment. Chronic lymphocytic leukemia (CLL) affects mainly older adults and accounts for one third of all diagnosed cases of leukemia. In the US, an estimated 18,960 new cases of CLL will be reported in 2016 with deaths totaling 4,660 due to the disease according to American Cancer Society estimates. Despite improvements in therapy, up to one third of patients with aggressive NHL continue to die from their disease, and indolent lymphomas remain incurable in the absence of allogeneic stem cell transplant. The treatment paradigm for hematologic malignancies is well standardized in front line settings, with the anti-CD20 monoclonal antibody, rituximab, administered generally in combination with chemotherapeutic agents. While front line therapies are generally efficacious, there are numerous downsides, including a high rate of toxicity associated with exposure to chemotherapeutic agents. While initially responsive, most patients with hematologic malignancies will eventually relapse and require second, third, and sometimes more lines of therapy. As a result, there is a pressing need for new, innovative, targeted therapies for the treatment of this heterogeneous group of diseases.</w:t>
      </w:r>
    </w:p>
    <w:p>
      <w:pPr>
        <w:spacing w:after="0" w:line="17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Anti-CD20 antibodies have been approved and studied in a variety of diseases falling into several therapeutic areas including oncology, autoimmune disorders, and neurologic disease. NHL and CLL are the most common B-cell proliferative diseases for which rituximab, the first anti-CD20 antibody approved by the FDA, is the current gold standard treatment. While the addition of rituximab to chemotherapeutic treatment of NHL has dramatically improved patient outcomes, many patients will relapse or become refractory to rituximab containing regimens.</w:t>
      </w:r>
    </w:p>
    <w:p>
      <w:pPr>
        <w:spacing w:after="0" w:line="17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Rituximab resistance is becoming an increasing concern for clinicians as relapsing patients are exposed to multiple lines of rituximab containing regimens to treat recurrence of disease. It is estimated that over half of patients initially responsive to their first exposure to rituximab do not respond upon retreatment (Davis et al, 2000).</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believe these factors contribute to an immediate and sustained need for an anti-CD20 monoclonal antibody that is differentiated and potentially therapeutically superior to the gold standard rituximab in order to extend and enhance CD20 therapy as it stands today.</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right="20" w:firstLine="648"/>
        <w:spacing w:after="0" w:line="270" w:lineRule="auto"/>
        <w:rPr>
          <w:sz w:val="20"/>
          <w:szCs w:val="20"/>
          <w:color w:val="auto"/>
        </w:rPr>
      </w:pPr>
      <w:r>
        <w:rPr>
          <w:rFonts w:ascii="Arial" w:cs="Arial" w:eastAsia="Arial" w:hAnsi="Arial"/>
          <w:sz w:val="17"/>
          <w:szCs w:val="17"/>
          <w:color w:val="auto"/>
        </w:rPr>
        <w:t>In addition to anti-CD20 therapy, novel targeted agents are now being introduced which target specific signaling pathways and enzymes known to exhibit aberrant activity and overexpression in B-cell malignancies such as Bruton’s Tyrosine Kinase (BTK), and Phosphoinositide-3-Kinase delta (PI3K delta). The PI3K/AKT/mTOR pathway has been the target of numerous pharmaceutical agents, both approved and in development, however only recently has the delta isoform of PI3K been identified as a potential target for the treatment of hematologic malignancies and other B-cell lymphoproliferative disorders. Idelalisib (ZYDELIG™), a PI3K delta specific inhibitor from Gilead Pharmaceuticals, was approved by the FDA in 2014 for patients with CLL and indolent NHL. Duvelisib (also known as IPI-145), a PI3K delta and gamma specific inhibitor under development by Infinity Pharmaceuticals has also shown preliminary activity in hematologic malignancies of both B- and T-cell origin. Other agents targeting kinases downstream of the B-cell receptor, such as the BTK inhibitor, ibrutinib, have displayed high rates of response in patients with relapsed and refractory B-cell malignancies and have been recently approved for these indications. While these agents have demonstrated high levels of single agent activity in B-cell disorders, their clinical activity has been shown to be greatly enhanced when utilized in combination with anti-CD20 agents.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novel targeted agents gain FDA approval for the treatment of relapsed and refractory disease, it is anticipated that the size of this market will expand greatly as branded drugs enter use in multiple lines of therapy. Given the nature of the disease state for patients with hematologic malignancies, characterized by indolent disease progression and chronic relapses, the Company anticipates a great and growing need for novel agents that can be used alone or in combination with approved agents, and those currently under development to enhance the quality of life and extend the length of survival for patients suffering from hematologic malignancies.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Interleukin-1 Receptor Associated Kinase 4, referred to as IRAK4, is a key signaling kinase that becomes inappropriately activated in tumors that carry certain oncogenic mutations of MYD88, which can be found in most patients with Waldenström's Macroglobulinemia, a rare B-cell cancer, as well as in a sub-set of patients with Non-Hodgkin's Lymphoma and Chronic Lymphocytic Leukemia. Additionally, IRAK4 is a key component of signaling pathways which regulate immune and inflammatory processes suggesting that inhibition of IRAK4 may also be useful in the treatment of autoimmune related disorders. We hold global rights to develop and commercialize the IRAK4 program, which was licensed from Ligand Pharmaceuticals. Our IRAK4 program is currently in pre-clinical development. In April 2015, we presented pre-clinical data on the IRAK4 compounds at the 2015 American Association for Cancer Research (AACR) Annual Meeting held in Philadelphia, PA.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TIME TO COMPLETE PRODUCT DEVELOPMENT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information below provides estimates regarding the costs associated with the completion of the current development phase and our current estimated range of the time that will be necessary to complete that development phase for our key pipeline products. We also direct your attention to the risk factors which could significantly affect our ability to meet these cost and time estimates found in this report in Item 1A under the heading “Risks Related to the Company’s Business and Industry.”</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Development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Completion</w:t>
            </w:r>
          </w:p>
        </w:tc>
        <w:tc>
          <w:tcPr>
            <w:tcW w:w="120" w:type="dxa"/>
            <w:vAlign w:val="bottom"/>
          </w:tcPr>
          <w:p>
            <w:pPr>
              <w:spacing w:after="0"/>
              <w:rPr>
                <w:sz w:val="18"/>
                <w:szCs w:val="18"/>
                <w:color w:val="auto"/>
              </w:rPr>
            </w:pPr>
          </w:p>
        </w:tc>
        <w:tc>
          <w:tcPr>
            <w:tcW w:w="3520" w:type="dxa"/>
            <w:vAlign w:val="bottom"/>
          </w:tcPr>
          <w:p>
            <w:pPr>
              <w:ind w:left="1020"/>
              <w:spacing w:after="0"/>
              <w:rPr>
                <w:sz w:val="20"/>
                <w:szCs w:val="20"/>
                <w:color w:val="auto"/>
              </w:rPr>
            </w:pPr>
            <w:r>
              <w:rPr>
                <w:rFonts w:ascii="Arial" w:cs="Arial" w:eastAsia="Arial" w:hAnsi="Arial"/>
                <w:sz w:val="18"/>
                <w:szCs w:val="18"/>
                <w:b w:val="1"/>
                <w:bCs w:val="1"/>
                <w:color w:val="auto"/>
              </w:rPr>
              <w:t>Estimated cost to</w:t>
            </w:r>
          </w:p>
        </w:tc>
      </w:tr>
      <w:tr>
        <w:trPr>
          <w:trHeight w:val="234"/>
        </w:trPr>
        <w:tc>
          <w:tcPr>
            <w:tcW w:w="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candidate</w:t>
            </w:r>
          </w:p>
        </w:tc>
        <w:tc>
          <w:tcPr>
            <w:tcW w:w="120" w:type="dxa"/>
            <w:vAlign w:val="bottom"/>
          </w:tcPr>
          <w:p>
            <w:pPr>
              <w:spacing w:after="0"/>
              <w:rPr>
                <w:sz w:val="20"/>
                <w:szCs w:val="20"/>
                <w:color w:val="auto"/>
              </w:rPr>
            </w:pPr>
          </w:p>
        </w:tc>
        <w:tc>
          <w:tcPr>
            <w:tcW w:w="3000" w:type="dxa"/>
            <w:vAlign w:val="bottom"/>
            <w:gridSpan w:val="2"/>
          </w:tcPr>
          <w:p>
            <w:pPr>
              <w:ind w:left="780"/>
              <w:spacing w:after="0"/>
              <w:rPr>
                <w:sz w:val="20"/>
                <w:szCs w:val="20"/>
                <w:color w:val="auto"/>
              </w:rPr>
            </w:pPr>
            <w:r>
              <w:rPr>
                <w:rFonts w:ascii="Arial" w:cs="Arial" w:eastAsia="Arial" w:hAnsi="Arial"/>
                <w:sz w:val="18"/>
                <w:szCs w:val="18"/>
                <w:b w:val="1"/>
                <w:bCs w:val="1"/>
                <w:color w:val="auto"/>
              </w:rPr>
              <w:t>Target indication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status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of phase</w:t>
            </w:r>
          </w:p>
        </w:tc>
        <w:tc>
          <w:tcPr>
            <w:tcW w:w="120" w:type="dxa"/>
            <w:vAlign w:val="bottom"/>
          </w:tcPr>
          <w:p>
            <w:pPr>
              <w:spacing w:after="0"/>
              <w:rPr>
                <w:sz w:val="20"/>
                <w:szCs w:val="20"/>
                <w:color w:val="auto"/>
              </w:rPr>
            </w:pPr>
          </w:p>
        </w:tc>
        <w:tc>
          <w:tcPr>
            <w:tcW w:w="3520" w:type="dxa"/>
            <w:vAlign w:val="bottom"/>
          </w:tcPr>
          <w:p>
            <w:pPr>
              <w:ind w:left="1120"/>
              <w:spacing w:after="0"/>
              <w:rPr>
                <w:sz w:val="20"/>
                <w:szCs w:val="20"/>
                <w:color w:val="auto"/>
              </w:rPr>
            </w:pPr>
            <w:r>
              <w:rPr>
                <w:rFonts w:ascii="Arial" w:cs="Arial" w:eastAsia="Arial" w:hAnsi="Arial"/>
                <w:sz w:val="18"/>
                <w:szCs w:val="18"/>
                <w:b w:val="1"/>
                <w:bCs w:val="1"/>
                <w:color w:val="auto"/>
              </w:rPr>
              <w:t>complete phase</w:t>
            </w: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TG-1101</w:t>
            </w:r>
          </w:p>
        </w:tc>
        <w:tc>
          <w:tcPr>
            <w:tcW w:w="12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 combination with ibrutinib in</w:t>
            </w:r>
          </w:p>
        </w:tc>
        <w:tc>
          <w:tcPr>
            <w:tcW w:w="1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Phase III</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Approximately $10 million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(ublituximab)</w:t>
            </w:r>
          </w:p>
        </w:tc>
        <w:tc>
          <w:tcPr>
            <w:tcW w:w="3120" w:type="dxa"/>
            <w:vAlign w:val="bottom"/>
            <w:gridSpan w:val="3"/>
          </w:tcPr>
          <w:p>
            <w:pPr>
              <w:ind w:left="120"/>
              <w:spacing w:after="0"/>
              <w:rPr>
                <w:sz w:val="20"/>
                <w:szCs w:val="20"/>
                <w:color w:val="auto"/>
              </w:rPr>
            </w:pPr>
            <w:r>
              <w:rPr>
                <w:rFonts w:ascii="Arial" w:cs="Arial" w:eastAsia="Arial" w:hAnsi="Arial"/>
                <w:sz w:val="18"/>
                <w:szCs w:val="18"/>
                <w:color w:val="auto"/>
              </w:rPr>
              <w:t>previously treated high-risk CLL</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120" w:type="dxa"/>
            <w:vAlign w:val="bottom"/>
            <w:gridSpan w:val="3"/>
          </w:tcPr>
          <w:p>
            <w:pPr>
              <w:ind w:left="120"/>
              <w:spacing w:after="0"/>
              <w:rPr>
                <w:sz w:val="20"/>
                <w:szCs w:val="20"/>
                <w:color w:val="auto"/>
              </w:rPr>
            </w:pPr>
            <w:r>
              <w:rPr>
                <w:rFonts w:ascii="Arial" w:cs="Arial" w:eastAsia="Arial" w:hAnsi="Arial"/>
                <w:sz w:val="18"/>
                <w:szCs w:val="18"/>
                <w:color w:val="auto"/>
              </w:rPr>
              <w:t>patients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TG-1101 &amp; TGR-1202</w:t>
            </w:r>
          </w:p>
        </w:tc>
        <w:tc>
          <w:tcPr>
            <w:tcW w:w="3120" w:type="dxa"/>
            <w:vAlign w:val="bottom"/>
            <w:gridSpan w:val="3"/>
          </w:tcPr>
          <w:p>
            <w:pPr>
              <w:ind w:left="120"/>
              <w:spacing w:after="0"/>
              <w:rPr>
                <w:sz w:val="20"/>
                <w:szCs w:val="20"/>
                <w:color w:val="auto"/>
              </w:rPr>
            </w:pPr>
            <w:r>
              <w:rPr>
                <w:rFonts w:ascii="Arial" w:cs="Arial" w:eastAsia="Arial" w:hAnsi="Arial"/>
                <w:sz w:val="18"/>
                <w:szCs w:val="18"/>
                <w:color w:val="auto"/>
              </w:rPr>
              <w:t>In combination in CLL patients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Phase III</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Approximately $15 million</w:t>
            </w:r>
          </w:p>
        </w:tc>
      </w:tr>
    </w:tbl>
    <w:p>
      <w:pPr>
        <w:spacing w:after="0" w:line="202" w:lineRule="exact"/>
        <w:rPr>
          <w:sz w:val="20"/>
          <w:szCs w:val="20"/>
          <w:color w:val="auto"/>
        </w:rPr>
      </w:pPr>
    </w:p>
    <w:p>
      <w:pPr>
        <w:ind w:right="660"/>
        <w:spacing w:after="0" w:line="258" w:lineRule="auto"/>
        <w:rPr>
          <w:sz w:val="20"/>
          <w:szCs w:val="20"/>
          <w:color w:val="auto"/>
        </w:rPr>
      </w:pPr>
      <w:r>
        <w:rPr>
          <w:rFonts w:ascii="Arial" w:cs="Arial" w:eastAsia="Arial" w:hAnsi="Arial"/>
          <w:sz w:val="18"/>
          <w:szCs w:val="18"/>
          <w:color w:val="auto"/>
        </w:rPr>
        <w:t>*Completion of phase for this study indicates completion of Part I of the study, the ORR endpoint, which, if successful, would support an accelerated approval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Completion of phase for this study indicates completion of portion of study, which, if successful, would support an accelerated approval</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Completion dates and costs in the above table are estimates due to the uncertainties associated with clinical trials and the related requirements of development. In the cases where the requirements for clinical trials and development programs have not been fully defined, or are dependent on the success of other trials, we cannot estimate trial completion or cost with any certainty. The actual spending on each trial during the year is also dependent on funding. We therefore direct your attention to Item 7 under the heading “Liquidity and Capital Resources.”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This knowledge and experience we call “know-how.” To help protect our proprietary know-how which is not patentable, and for inventions for which patents may be difficult to enforce, we rely on trade secret protection and confidentiality agreements to protect our interests. To this end, we require all employees, consultants, advisors and other contractors to enter into confidentiality agreements which prohibit the disclosure of confidential information and, where applicable, require disclosure and assignment to us of the ideas, developments, discoveries and inventions important to our business.</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patents and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Generally, patent applications in the U.S. are maintained in secrecy for a period of 18 months or more. Since publication of discoveries in the scientific or patent literature often lag behind actual discoveries, we are not certain that we were the first to make the inventions covered by each of our pending patent applications or that we were the first to file those patent applications. The patent positions of biotechnology and pharmaceutical companies are highly uncertain and involve complex legal and factual questions. Therefore, we cannot predict the breadth of claims allowed in biotechnology and pharmaceutical patents, or their enforceability. To date, there has been no consistent policy regarding the breadth of claims allowed in biotechnology patents. Third parties or competitors may challenge or circumvent our patents or patent applications, if issued. If our competitors prepare and file patent applications in the U.S. that claim technology also claimed by us, we may have to participate in interference proceedings declared by the U.S. Patent and Trademark Office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w:t>
      </w:r>
    </w:p>
    <w:p>
      <w:pPr>
        <w:spacing w:after="0" w:line="18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 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TG-1101</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Pursuant to our license for TG-1101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protections include composition of matter patents relating to the structure and mechanism of action for TG-1101 as well as method of use patents which cover use of TG-1101 in combination with various agents and for various therapeutic indications.</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2" w:name="page13"/>
    <w:bookmarkEnd w:id="12"/>
    <w:p>
      <w:pPr>
        <w:ind w:right="40" w:firstLine="648"/>
        <w:spacing w:after="0" w:line="257" w:lineRule="auto"/>
        <w:rPr>
          <w:sz w:val="20"/>
          <w:szCs w:val="20"/>
          <w:color w:val="auto"/>
        </w:rPr>
      </w:pPr>
      <w:r>
        <w:rPr>
          <w:rFonts w:ascii="Arial" w:cs="Arial" w:eastAsia="Arial" w:hAnsi="Arial"/>
          <w:sz w:val="18"/>
          <w:szCs w:val="18"/>
          <w:color w:val="auto"/>
        </w:rPr>
        <w:t>In the United States, we have, through our license agreement, access to 12 issued patent and 6 patent applications covering TG-1101 which expire between 2021 and 2033, excluding any patent term extensions, as well as granted and pending foreign counterpart patent filings related to these patent families. These patents include claims related to the manufacture and use of TG-1101. Additionally, we have over 30 granted patents outside the US, and over 25 patent applications pending worldwide also including claims directed to the composition of matter and methods of treatment with TG-1101 in various settings.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TGR-1202</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Pursuant to our license for TGR-1202 with Rhizen, we have the exclusive commercial rights to a series of patent applications in the U.S. and abroad. The patent applications include composition of matter patents relating to the structure, mechanism of action, and formulation for TGR-1202 as well as method of use patents which cover use of TGR-1202 in combination with various agents and for various therapeutic indications. Our composition of matter patent for TGR-1202 has been issued in the United States, which affords patent protection until 2033, exclusive of patent term extensions. All other patent applications currently filed for TG-1202 are currently pending. Because the dates for any potential regulatory approval are currently unknown we cannot predict the expected expiration date, and it is possible that the life of these patents following regulatory approval could be minimal.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IRAK4</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Pursuant to our license for the IRAK4 program with Ligand, we have the exclusive commercial rights to a patent family which covers the composition of matter and proposed methods of use for various therapeutic indications. All patent applications currently filed for the IRAK4 program are currently pending. Because the date for any potential regulatory approval is currently unknown we cannot predict the expected expiration date, and it is possible that the life of these patents following regulatory approval could be minimal.</w:t>
      </w:r>
    </w:p>
    <w:p>
      <w:pPr>
        <w:spacing w:after="0" w:line="187" w:lineRule="exact"/>
        <w:rPr>
          <w:sz w:val="20"/>
          <w:szCs w:val="20"/>
          <w:color w:val="auto"/>
        </w:rPr>
      </w:pPr>
    </w:p>
    <w:p>
      <w:pPr>
        <w:ind w:right="240" w:firstLine="567"/>
        <w:spacing w:after="0" w:line="264" w:lineRule="auto"/>
        <w:rPr>
          <w:sz w:val="20"/>
          <w:szCs w:val="20"/>
          <w:color w:val="auto"/>
        </w:rPr>
      </w:pPr>
      <w:r>
        <w:rPr>
          <w:rFonts w:ascii="Arial" w:cs="Arial" w:eastAsia="Arial" w:hAnsi="Arial"/>
          <w:sz w:val="18"/>
          <w:szCs w:val="18"/>
          <w:color w:val="auto"/>
        </w:rPr>
        <w:t xml:space="preserve">The patent rights that we own or have licensed relating to our product candidates are limited in ways that may affect our ability to exclude third parties from competing against us if we obtain regulatory approval to market these product candidates. See </w:t>
      </w:r>
      <w:r>
        <w:rPr>
          <w:rFonts w:ascii="Arial" w:cs="Arial" w:eastAsia="Arial" w:hAnsi="Arial"/>
          <w:sz w:val="18"/>
          <w:szCs w:val="18"/>
          <w:i w:val="1"/>
          <w:iCs w:val="1"/>
          <w:color w:val="auto"/>
        </w:rPr>
        <w:t>“Item 1A – Risk Factors — Risks Related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Intellectual Property.</w:t>
      </w:r>
      <w:r>
        <w:rPr>
          <w:rFonts w:ascii="Arial" w:cs="Arial" w:eastAsia="Arial" w:hAnsi="Arial"/>
          <w:sz w:val="18"/>
          <w:szCs w:val="18"/>
          <w:color w:val="auto"/>
        </w:rPr>
        <w:t>”</w:t>
      </w:r>
    </w:p>
    <w:p>
      <w:pPr>
        <w:spacing w:after="0" w:line="181" w:lineRule="exact"/>
        <w:rPr>
          <w:sz w:val="20"/>
          <w:szCs w:val="20"/>
          <w:color w:val="auto"/>
        </w:rPr>
      </w:pPr>
    </w:p>
    <w:p>
      <w:pPr>
        <w:ind w:right="240" w:firstLine="567"/>
        <w:spacing w:after="0" w:line="259" w:lineRule="auto"/>
        <w:rPr>
          <w:sz w:val="20"/>
          <w:szCs w:val="20"/>
          <w:color w:val="auto"/>
        </w:rPr>
      </w:pPr>
      <w:r>
        <w:rPr>
          <w:rFonts w:ascii="Arial" w:cs="Arial" w:eastAsia="Arial" w:hAnsi="Arial"/>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187"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81" w:lineRule="exact"/>
        <w:rPr>
          <w:sz w:val="20"/>
          <w:szCs w:val="20"/>
          <w:color w:val="auto"/>
        </w:rPr>
      </w:pPr>
    </w:p>
    <w:p>
      <w:pPr>
        <w:ind w:right="460" w:firstLine="567"/>
        <w:spacing w:after="0" w:line="277" w:lineRule="auto"/>
        <w:rPr>
          <w:sz w:val="20"/>
          <w:szCs w:val="20"/>
          <w:color w:val="auto"/>
        </w:rPr>
      </w:pPr>
      <w:r>
        <w:rPr>
          <w:rFonts w:ascii="Arial" w:cs="Arial" w:eastAsia="Arial" w:hAnsi="Arial"/>
          <w:sz w:val="18"/>
          <w:szCs w:val="18"/>
          <w:color w:val="auto"/>
        </w:rPr>
        <w:t>In addition, the limited patent protection described above may adversely affect the value of our product candidates and may inhibit our ability to obtain a corporate partner at terms acceptable to us, if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depend upon trademarks, trade secrets, know-how and continuing technological advances to develop and maintain our competitive position. To maintain the confidentiality of trade secrets and proprietary information, we require our employees, scientific advisors, consultants and collaborators, upon commencement of a relationship with us, to execute confidentiality agreements and, in the case of parties other than our research and development collaborators, to agree to assign their inventions to us. These agreements are designed to protect our proprietary information and to grant us ownership of technologies that are developed in connection with their relationship with us. These agreements may not, however, provide protection for our trade secrets in the event of unauthorized disclosure of such information.</w:t>
      </w:r>
    </w:p>
    <w:p>
      <w:pPr>
        <w:spacing w:after="0" w:line="19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addition to patent protection, we may utilize orphan drug regulations or other provisions of the Food, Drug and Cosmetic Act of 1938, as amended, or FDCA, to provide market exclusivity for certain of our drug candidates. Orphan drug regulations provide incentives to pharmaceutical and biotechnology companies to develop and manufacture drugs for the treatment of rare diseases, currently defined as diseases that exist in fewer than 200,000 individuals in the U.S., or, diseases that affect more than 200,000 individuals in the U.S. but that the sponsor does not realistically anticipate will generate a net profit. Under these provisions, a manufacturer of a designated orphan-drug can seek tax benefits, and the holder of the first FDA approval of a designated orphan product will be granted a seven-year period of marketing exclusivity for such FDA-approved orphan product.</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right="100" w:firstLine="648"/>
        <w:spacing w:after="0" w:line="255" w:lineRule="auto"/>
        <w:rPr>
          <w:sz w:val="20"/>
          <w:szCs w:val="20"/>
          <w:color w:val="auto"/>
        </w:rPr>
      </w:pPr>
      <w:r>
        <w:rPr>
          <w:rFonts w:ascii="Arial" w:cs="Arial" w:eastAsia="Arial" w:hAnsi="Arial"/>
          <w:sz w:val="18"/>
          <w:szCs w:val="18"/>
          <w:color w:val="auto"/>
        </w:rPr>
        <w:t>Pursuant to these regulations, TG-1101 (ublituximab) has received Orphan-Drug designation from the FDA for the treatment of Marginal Zone Lymphoma (Nodal and Extranodal) in September 2013, for the treatment of CLL in August of 2010, and Orphan-Drug designation by the European Medicines Agency (“EMA”) for the treatment of CLL in November of 2009. We believe that TG-1101 may be eligible for additional orphan drug designations; however, we cannot assure you that TG-1101, or any other drug candidates we may acquire or in-license, will obtain such orphan drug designations. Additionally, upon FDA approval, we believe that TG-1101 would qualify as a New Chemical Entity, or NCE, which provides for five years of exclusivity following approval.</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cannot assure you that any other drug candidates we may acquire or in-license, will obtain such orphan drug designation or that we will be the first to receive FDA approval for such drugs so as to be eligible for market exclusivity protection.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 AND COLLABORATIONS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have formed strategic alliances with a number of companies for the manufacture and commercialization of our products. Our current key strategic alliances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LFB Biotechnologies S.A.S, GTC Biotherapeutics, LFB/GTC LLC.</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January 2012, we entered into an exclusive license agreement with LFB Biotechnologies, GTC Biotherapeutics, and LFB/GTC LLC, all wholly-owned subsidiaries of LFB Group, relating to the development of TG-1101. Under the license agreement, we have acquired the exclusive worldwide rights (exclusive of France/Belgium) for the development and commercialization of TG-1101 (ublituximab). To date, we have made no payments to LFB Group and LFB Group is eligible to receive payments of up to an aggregate of approximately $31.0 million upon our successful achievement of certain clinical development, regulatory and sales milestones, in addition to royalty payments on net sales of TG-1101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Ildong Pharmaceutical Co. Ltd.</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 To date, we have received $2 million in the form of an upfront payment from Ildong, and are eligible to receive sales based milestone payments up to an aggregate of $5 million and royalty payments on net sales of TG-1101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September 2014, we exercised our option to license the global rights to TGR-1202, thereby entering into an exclusive licensing agreement (the “TGR-1202 License”) with Rhizen Pharmaceuticals, S A (“Rhizen”) for the development and commercialization of TGR-1202. Prior to this, we had been jointly developing TGR-1202 in a 50:50 joint venture with Rhizen.</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ind w:firstLine="648"/>
        <w:spacing w:after="0" w:line="287" w:lineRule="auto"/>
        <w:rPr>
          <w:sz w:val="20"/>
          <w:szCs w:val="20"/>
          <w:color w:val="auto"/>
        </w:rPr>
      </w:pPr>
      <w:r>
        <w:rPr>
          <w:rFonts w:ascii="Arial" w:cs="Arial" w:eastAsia="Arial" w:hAnsi="Arial"/>
          <w:sz w:val="16"/>
          <w:szCs w:val="16"/>
          <w:color w:val="auto"/>
        </w:rPr>
        <w:t>Under the terms of the TGR-1202 License, Rhizen received a $4.0 million cash payment and 371,530 shares of our common stock as an upfront license fee. With respect to TGR-1202, Rhizen will be eligible to receive regulatory filing, approval and sales 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TGR-1202 is co-formulated with another drug to create a new product (a "New Product"), Rhizen will be eligible to receive similar regulatory approval and sales based milestone payments for such New Product. Additionally, Rhizen will be entitled to tiered royalties that escalate from high single digits to low double digits on our future net sales of TGR-1202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TGR-1202, provided that they are price competitive with alternative manufacturers. The license will terminate on a country by country basis upon the expiration of the last licensed patent right or any other exclusivity right in such country, unless the agreement is earlier terminated (i) by us for any reason, (ii) by either party due to a breach of the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June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 The license will terminate on a country by country basis upon the expiration of the last licensed patent right or 10 years after the first commercial sale of a product in such country, unless the agreement is earlier terminated by either party due to a breach of the agreement in the event of the insolvency of the other 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 March 2015, we entered into a Global Collaboration (the “Collaboration”) with Checkpoint Therapeutics, Inc. (“Checkpoint”), a subsidiary of Fortress Biotech, Inc. (“FBIO”) for the development and commercialization of Checkpoint’s anti-PD-L1 and anti-GITR antibody research programs in the field of hematological malignancies.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Under the terms of the Collaboration, we will make an up-front payment of $500,000 as well as make development and sales-based milestone payments up to an aggregate of $164 million, and will pay a tiered single digit royalty on net sales. The royalty term will terminate on a country by country basis upon the later of (i) ten years after the first commercial sale of any applicable licensed product in such country, or (ii) the expiration of the last-to-expire patent held by Dana Farber containing a valid claim to any licensed product in such country.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18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drugs that we are attempting to develop will have to compete with existing therapies. In addition, a large number of companies are pursuing the development of pharmaceuticals that target the same diseases and conditions that we are targeting. Other companies have products or drug candidates in various stages of pre-clinical or clinical development to treat diseases for which we are also seeking to discover and develop drug candidates. Some of these potential competing drugs are further advanced in development than our drug candidates and may be commercialized earlier.</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right="40" w:firstLine="648"/>
        <w:spacing w:after="0" w:line="214" w:lineRule="auto"/>
        <w:rPr>
          <w:sz w:val="20"/>
          <w:szCs w:val="20"/>
          <w:color w:val="auto"/>
        </w:rPr>
      </w:pPr>
      <w:r>
        <w:rPr>
          <w:rFonts w:ascii="Arial" w:cs="Arial" w:eastAsia="Arial" w:hAnsi="Arial"/>
          <w:sz w:val="18"/>
          <w:szCs w:val="18"/>
          <w:color w:val="auto"/>
        </w:rPr>
        <w:t>If approved, we expect TG-1101 to compete directly with Roche Group’s Rituxan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(rituximab) and Gazyva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(obinutuzumab), and Genmab and GlaxoSmithKline’s Arzerra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(ofatumumab) among others, each of which is currently approved for the treatment of various diseases including NHL and CLL. In addition, other pharmaceutical companies are developing anti-CD20 antibodies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5"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With respect to TGR-1202, if approved, we expect to compete directly with Gilead’s Zydelig™ (idelalisib), as well as with other PI3K delta inhibitors which are currently in development, which, if approved, would potentially compete with TGR-1202, such as Infinity Pharmaceuticals’ duvelisib (IPI-145). In addition, there are numerous other novel therapies targeting similar pathways to TGR-1202 in development, which would also compete with TGR-1202 in similar indications, such as the BTK inhibitor, ibrutinib (FDA approved for Mantle Cell Lymphoma, CLL, and Waldenstrom’s Macroglobulinemia marketed by AbbVie and Janssen), the BTK inhibitor acalabrutinib or ACP-196 (under clinical development by AstraZeneca), or the BCL-2 inhibitor venetoclax or ABT-199 (under clinical development by AbbVie and Roche), among others.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can be found under Item 1A - Risk Factors – Other Risks Related to Our Business within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limited experience in manufacturing products for clinical or commercial purposes. We currently do not have any manufacturing capabilities. We have established contract manufacturing relationships for the supply of TG-1101 as part of our license agreement with LFB Biotechnologies. We have also established contract manufacturing relationships for the supply of TGR-1202 as part of our licensing agreement with Rhizen, and contract manufacturing relationships to support our IRAK4 development program. As with any supply program, obtaining pre-clinical and clinical materials of sufficient quality and quantity to meet the requirements of our development programs cannot be guaranteed and we cannot ensure that we will be successful in this endeavor. In addition, we anticipate the need for the current scale of production for each of our products to be significantly expanded as we enter later stages of development.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time of commercial sale, to the extent possible and commercially practicable, we would seek to engage a back-up supplier for each of our product candidates. Until such time, we expect that we will rely on a single contract manufacturer to produce each of our product candidates under current Good Manufacturing Practice, or cGMP, regulations. Our third-party manufacturers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expect to similarly rely on contract manufacturing relationships for any products that we may in-license or acquire in the future. However, there can be no assurance that we will be able to successfully contract with such manufacturers on terms acceptable to us, or at all.</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Contract manufacturers are subject to ongoing periodic and unannounced inspections by the FDA, the Drug Enforcement Administration and corresponding state agencies to ensure strict compliance with cGMP and other state and federal regulations. Our contractors outside of the United States face similar challenges from the numerous local and regional agencies and authorized bodies. We do not have control over third-party manufacturers’ compliance with these regulations and standards, other than through contractual obligations. If they are deemed out of compliance with cGMPs, product recalls could result, inventory could be destroyed, production could be stopped and supplies could be delayed or otherwise disrupted.</w:t>
      </w:r>
    </w:p>
    <w:p>
      <w:pPr>
        <w:spacing w:after="0" w:line="17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If we need to change manufacturers after commercialization, the FDA and corresponding foreign regulatory agencies must approve these new manufacturers in advance, which will involve testing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GOVERNMENT AND INDUSTRY REGULATION</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Numerous governmental authorities, principally the FDA and corresponding state and foreign regulatory agencies, impose substantial regulations upon the clinical development, manufacture and marketing of our drug candidates, as well as our ongoing research and development activities. None of our drug candidates have been approved for sale in any market in which we have marketing rights. Before marketing in the U.S., any drug that we develop must undergo rigorous pre-clinical testing and clinical trials and an extensive regulatory approval process implemented by the FDA under the FDCA. The FDA regulates, among other things, the pre-clinical and clinical testing, safety, efficacy, approval, manufacturing, record keeping, adverse event reporting, packaging, labeling, storage, advertising, promotion, export, sale and distribution of biopharmaceutical products.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FDA may permit expedited development, evaluation, and marketing of new therapies intended to treat persons with serious or life-threatening conditions for which there is an unmet medical need under its fast track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8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 drug is intended to treat a serious or life-threatening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 drug is intended to treat a serious aspect of the condition;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the drug has the potential to address unmet medical needs, and this potential is being evaluated in the planned drug development program.</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ordinarily are eligible for priority review of a completed application in six months or less and also may be permitted to submit portions of a New Drug Application (“NDA”) to the FDA for review before the complete application is submitted.</w:t>
      </w:r>
    </w:p>
    <w:p>
      <w:pPr>
        <w:spacing w:after="0" w:line="19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Sponsors of drugs designated as fast track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Approval will be subject to the requirement that the applicant study the drug further to verify and describe its clinical benefit where there is uncertainty as to the relation of the surrogate endpoint to clinical benefit or uncertainty as to the relation of the observed clinical benefit to ultimate outcome. Post-marketing studies are usually underway at the time an applicant files the NDA. When required to be conducted, such post-marketing studies must also be adequate and well-controlled. The applicant must carry out any such post-marketing studies with due diligence. Many companies who have been granted the right to utilize an accelerated approval approach have failed to obtain approval. Moreover, negative or inconclusive results from the clinical trials we hope to conduct or adverse medical events could cause us to have to repeat or terminate the clinical trials. Accordingly, we may not be able to complete the clinical trials within an acceptable time frame, if at all, and, therefore, could not submit the NDA to the FDA or foreign regulatory authorities for marketing approval.</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sponsors may also apply to the FDA for Breakthrough Therapy Designation. The Breakthrough Therapy Designation is intended to expedite the development and review of a potential new drug for serious or life-threatening diseases where “preliminary clinical evidence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7" w:name="page18"/>
    <w:bookmarkEnd w:id="17"/>
    <w:p>
      <w:pPr>
        <w:ind w:right="740" w:firstLine="648"/>
        <w:spacing w:after="0" w:line="277" w:lineRule="auto"/>
        <w:rPr>
          <w:sz w:val="20"/>
          <w:szCs w:val="20"/>
          <w:color w:val="auto"/>
        </w:rPr>
      </w:pPr>
      <w:r>
        <w:rPr>
          <w:rFonts w:ascii="Arial" w:cs="Arial" w:eastAsia="Arial" w:hAnsi="Arial"/>
          <w:sz w:val="18"/>
          <w:szCs w:val="18"/>
          <w:color w:val="auto"/>
        </w:rPr>
        <w:t>Clinical testing must meet requirements for institutional review board oversight, informed consent and good clinical practices, and must be conducted pursuant to an IND, unless exempted.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NDA approval, clinical trials are typically conducted in the following sequential phases:</w:t>
      </w:r>
    </w:p>
    <w:p>
      <w:pPr>
        <w:spacing w:after="0" w:line="225" w:lineRule="exact"/>
        <w:rPr>
          <w:sz w:val="20"/>
          <w:szCs w:val="20"/>
          <w:color w:val="auto"/>
        </w:rPr>
      </w:pPr>
    </w:p>
    <w:p>
      <w:pPr>
        <w:ind w:left="980" w:right="7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drug is administered to a small group of humans, either healthy volunteers or patients, to test for safety, dosage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excretion, and clinical pharmacology.</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Studies are conducted on a larger number of patients to assess the efficacy of the product, to ascertain dose tolerance and the optimal</w:t>
      </w:r>
      <w:r>
        <w:rPr>
          <w:rFonts w:ascii="Arial" w:cs="Arial" w:eastAsia="Arial" w:hAnsi="Arial"/>
          <w:sz w:val="18"/>
          <w:szCs w:val="18"/>
          <w:i w:val="1"/>
          <w:iCs w:val="1"/>
          <w:color w:val="auto"/>
        </w:rPr>
        <w:t xml:space="preserve"> </w:t>
      </w:r>
      <w:r>
        <w:rPr>
          <w:rFonts w:ascii="Arial" w:cs="Arial" w:eastAsia="Arial" w:hAnsi="Arial"/>
          <w:sz w:val="18"/>
          <w:szCs w:val="18"/>
          <w:color w:val="auto"/>
        </w:rPr>
        <w:t>dose range, and to gather additional data relating to safety and potential adverse events.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Studies establish safety and efficacy in an expanded patient population.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The FDA may require Phase 4 post-marketing studies to find out more about the drug’s long-term risks, benefits, and optimal use, or to</w:t>
      </w:r>
      <w:r>
        <w:rPr>
          <w:rFonts w:ascii="Arial" w:cs="Arial" w:eastAsia="Arial" w:hAnsi="Arial"/>
          <w:sz w:val="18"/>
          <w:szCs w:val="18"/>
          <w:i w:val="1"/>
          <w:iCs w:val="1"/>
          <w:color w:val="auto"/>
        </w:rPr>
        <w:t xml:space="preserve"> </w:t>
      </w:r>
      <w:r>
        <w:rPr>
          <w:rFonts w:ascii="Arial" w:cs="Arial" w:eastAsia="Arial" w:hAnsi="Arial"/>
          <w:sz w:val="18"/>
          <w:szCs w:val="18"/>
          <w:color w:val="auto"/>
        </w:rPr>
        <w:t>test the drug in different populations.</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181" w:lineRule="exact"/>
        <w:rPr>
          <w:sz w:val="20"/>
          <w:szCs w:val="20"/>
          <w:color w:val="auto"/>
        </w:rPr>
      </w:pPr>
    </w:p>
    <w:p>
      <w:pPr>
        <w:ind w:left="980" w:right="9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slow patient enrollment due to the nature of the clinical trial plan, the proximity of patients to clinical sites, the eligibility criteria for participation in the study or other factors;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 or delays in approvals from a study site’s review board;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treatment time required to demonstrate efficacy or determine the appropriate product dose;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supply of the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ineffectiveness of the drug candidates.</w:t>
      </w:r>
    </w:p>
    <w:p>
      <w:pPr>
        <w:spacing w:after="0" w:line="225"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the course of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Sponsors of drugs may apply for an SPA from the FDA. The SPA process is a procedure by which the FDA provides official evaluation and written guidance on the design and size of proposed protocols that are intended to form the basis for a new drug application. However,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Before receiving FDA approval to market a product, we must demonstrate that the product is safe and effective for its intended use by submitting to the FDA an NDA or BLA containing the pre-clinical and clinical data that have been accumulated, together with chemistry and manufacturing and controls specifications and information, and proposed labeling, among other things. The FDA may refuse to accept an NDA/BLA for filing if certain content criteria are not met and, even after accepting an NDA/BLA, the FDA may often require additional information, including clinical data, before approval of marketing a product.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p>
      <w:pPr>
        <w:ind w:right="160" w:firstLine="648"/>
        <w:spacing w:after="0" w:line="264" w:lineRule="auto"/>
        <w:rPr>
          <w:sz w:val="20"/>
          <w:szCs w:val="20"/>
          <w:color w:val="auto"/>
        </w:rPr>
      </w:pPr>
      <w:r>
        <w:rPr>
          <w:rFonts w:ascii="Arial" w:cs="Arial" w:eastAsia="Arial" w:hAnsi="Arial"/>
          <w:sz w:val="18"/>
          <w:szCs w:val="18"/>
          <w:color w:val="auto"/>
        </w:rPr>
        <w:t>It is also becoming more common for the FDA to request a Risk Evaluation and Mitigation Strategy, or REMS, as part of a NDA/BLA. The REMS plan contains post-market obligations of the sponsor to train prescribing physicians, monitor off-label drug use, and conduct sufficient Phase 4 follow-up studies and registries to ensure the continued safe use of the drug.</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part of the approval process, the FDA must inspect and approve each manufacturing facility. Among the conditions of approval is the requirement that a manufacturer’s quality control and manufacturing procedures conform to cGMP. Manufacturers must expend significant time, money and effort to ensure continued compliance, and the FDA conducts periodic inspections to certify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the FDA grants approval, the approval will be limited to those disease states, conditions and patient populations for which the product is safe and effective, as demonstrated through clinical studies. Further, a product may be marketed only in those dosage forms and for those indications approved in the NDA/BLA. Certain changes to an approved NDA/BLA, including, with certain exceptions, any significant changes to labeling, require approval of a supplemental application before the drug may be marketed as changed. Any products that we manufacture or distribute pursuant to FDA approvals are subject to continuing monitoring and regulation by the FDA, including compliance with cGMP and the reporting of adverse experiences with the drugs. The nature of marketing claims that the FDA will permit us to make in the labeling and advertising of our products will generally be limited to those specified in FDA approved labeling, and the advertising of our products will be subject to comprehensive monitoring and regulation by the FDA. Drugs whose review was accelerated may carry additional restrictions on marketing activities, including the requirement that all promotional materials are pre-submitted to the FDA. Claims exceeding those contained in approved labeling will constitute a violation of the FDCA. Violations of the FDCA or regulatory requirements at any time during the product development process, approval process, or marketing and sale following approval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18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At present, companies are typically required to apply for foreign marketing authorizations at a national level. However, within the European Union, registration procedures are available to companies wishing to market a product in more than one European Union member state.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1, 2016, we had forty full and part-time employees. None of our employees are represented by a collective bargaining agreement, and we have never experienced a work stoppage. We consider our relations with our employees to be good.</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You should carefully consider the following risks and uncertainties. If any of the following occurs,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You should carefully consider the following risk factors and the other information contained elsewhere in this Annual Report before making an investment in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inhibitors, nor for our anti-PD-L1 and anti-GITR antibodies. Additionally, there can be no assurance given that any of the molecules under development in our IRAK4 inhibitor program or in our anti-PD-L1 and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0" w:name="page21"/>
    <w:bookmarkEnd w:id="20"/>
    <w:p>
      <w:pPr>
        <w:ind w:right="80" w:firstLine="648"/>
        <w:spacing w:after="0" w:line="270" w:lineRule="auto"/>
        <w:rPr>
          <w:sz w:val="20"/>
          <w:szCs w:val="20"/>
          <w:color w:val="auto"/>
        </w:rPr>
      </w:pPr>
      <w:r>
        <w:rPr>
          <w:rFonts w:ascii="Arial" w:cs="Arial" w:eastAsia="Arial" w:hAnsi="Arial"/>
          <w:sz w:val="17"/>
          <w:szCs w:val="17"/>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anti-PD-L1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accordingly if our pre-clinical assets advance into clinical development, no assurance can be made that a safe and efficacious dose can be found.</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7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September 2014, we announced a Phase 3 clinical trial for TG-1101 in previously treated patients with high-risk CLL, and in September 2015 we announced a Phase 3 clinical trial for the combination of TG-1101 + TGR-1202 for patients with CLL, each of which are being conducted pursuant to SPAs with the FDA.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Additionally,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 Even with “fast track” or “priority review” status which we intend to seek for our product candidates, such designations do not necessarily mean a faster development process or regulatory review process or necessarily confer any advantage with respect to approval compared to conventional FDA procedures.</w:t>
      </w:r>
    </w:p>
    <w:p>
      <w:pPr>
        <w:spacing w:after="0" w:line="17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w:t>
      </w:r>
    </w:p>
    <w:p>
      <w:pPr>
        <w:spacing w:after="0" w:line="267" w:lineRule="auto"/>
        <w:rPr>
          <w:sz w:val="20"/>
          <w:szCs w:val="20"/>
          <w:color w:val="auto"/>
        </w:rPr>
      </w:pPr>
      <w:r>
        <w:rPr>
          <w:rFonts w:ascii="Arial" w:cs="Arial" w:eastAsia="Arial" w:hAnsi="Arial"/>
          <w:sz w:val="17"/>
          <w:szCs w:val="17"/>
          <w:color w:val="auto"/>
        </w:rPr>
        <w:t>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Further, with respect to TGR-1202, although more than 80 patients have been dosed in the ongoing first-in-human dose-escalation Phase I single agent study, the full adverse effect profile of TGR-1202 is not known. It is unknown as the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right="80" w:firstLine="648"/>
        <w:spacing w:after="0" w:line="254"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0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3" w:name="page24"/>
    <w:bookmarkEnd w:id="23"/>
    <w:p>
      <w:pPr>
        <w:ind w:right="20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ind w:right="30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are currently in the process of engaging a secondary manufacturer for TG-1101 to meet our current clinical and future commercial needs and anticipate engaging additional manufacturing sources for TGR-1202 to meet expanded clinical trial and commercial needs. No assurance can be given that the secondary manufacturing will be successful or that material manufactured by the secondary manufacturer will perform comparably to TG-1101 or TGR-1202 as manufactured to date and used in currently available pre-clinical data and or in early clinical trials reported in this or any previous filing. If the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right="6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If approved, we expect TG-1101 to compete directly with Roche Group’s Rituxan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(rituximab) and Gazyva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(obinutuzumab or GA-101), and Genmab and GlaxoSmithKline’s Arzerra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With respect to TGR-1202, there are several PI3K delta targeted compounds both approved, such as Gilead’s Zydelig™ (idelalisib), and in development, including, but not limited to, Infinity Pharmaceuticals’ duvelisib (IPI-145)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and WM and marketed by AbbVie and Janssen), the BTK inhibitor ACP-196 (under development by AstraZeneca), or the BCL-2 inhibitor ABT-199 (under clinical development by AbbVie and Roche).</w:t>
      </w:r>
    </w:p>
    <w:p>
      <w:pPr>
        <w:spacing w:after="0" w:line="193" w:lineRule="exact"/>
        <w:rPr>
          <w:sz w:val="20"/>
          <w:szCs w:val="20"/>
          <w:color w:val="auto"/>
        </w:rPr>
      </w:pPr>
    </w:p>
    <w:p>
      <w:pPr>
        <w:ind w:right="56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6" w:name="page27"/>
    <w:bookmarkEnd w:id="26"/>
    <w:p>
      <w:pPr>
        <w:ind w:firstLine="648"/>
        <w:spacing w:after="0" w:line="255"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firstLine="648"/>
        <w:spacing w:after="0" w:line="255"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18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of March 1, 2016, we had forty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ind w:right="160" w:firstLine="648"/>
        <w:spacing w:after="0" w:line="274"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46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0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1" w:name="page32"/>
    <w:bookmarkEnd w:id="31"/>
    <w:p>
      <w:pPr>
        <w:ind w:right="200" w:firstLine="648"/>
        <w:spacing w:after="0" w:line="254" w:lineRule="auto"/>
        <w:rPr>
          <w:sz w:val="20"/>
          <w:szCs w:val="20"/>
          <w:color w:val="auto"/>
        </w:rPr>
      </w:pPr>
      <w:r>
        <w:rPr>
          <w:rFonts w:ascii="Arial" w:cs="Arial" w:eastAsia="Arial" w:hAnsi="Arial"/>
          <w:sz w:val="18"/>
          <w:szCs w:val="18"/>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US for TG-1101 and TGR-1202, no patents to date have been issued for our IRAK4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50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ind w:left="980" w:right="6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6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2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right="16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6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60" w:hanging="324"/>
        <w:spacing w:after="0" w:line="261"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December 31, 2015, we had net cash, cash equivalents, investment securities and interest receivable of approximately $102.4 million. We believe that our cash and cash equivalents and investments will sustain our operations for more than 24 months from December 31, 2015.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6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never been profitable and, as of December 31, 2015, we had an accumulated deficit of $158.1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right="42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4" w:name="page35"/>
    <w:bookmarkEnd w:id="34"/>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55%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PROPERTIES.</w:t>
      </w:r>
    </w:p>
    <w:p>
      <w:pPr>
        <w:spacing w:after="0" w:line="233" w:lineRule="exact"/>
        <w:rPr>
          <w:sz w:val="20"/>
          <w:szCs w:val="20"/>
          <w:color w:val="auto"/>
        </w:rPr>
      </w:pPr>
    </w:p>
    <w:p>
      <w:pPr>
        <w:ind w:right="60" w:firstLine="648"/>
        <w:spacing w:after="0" w:line="227" w:lineRule="auto"/>
        <w:rPr>
          <w:sz w:val="20"/>
          <w:szCs w:val="20"/>
          <w:color w:val="auto"/>
        </w:rPr>
      </w:pPr>
      <w:r>
        <w:rPr>
          <w:rFonts w:ascii="Arial" w:cs="Arial" w:eastAsia="Arial" w:hAnsi="Arial"/>
          <w:sz w:val="18"/>
          <w:szCs w:val="18"/>
          <w:color w:val="auto"/>
        </w:rPr>
        <w:t>Our corporate and executive office is located in New York, New York. Our New York facility consists of office space at 3 Columbus Circle,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10019. We are not currently under a lease agreement at 3 Columbus Circle. We are also currently leasing small office spaces in Cary, North Carolina and Kingsport, Tennessee to accommodate our clinical operations groups. We believe that our existing facilities are adequate to meet our current requirements. We do not own any real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common stock is listed on the Nasdaq Capital Market and trades under the symbol “TGTX”. Prior to May 30, 2013 our stock was listed on the Over the Counter Bulletin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closing sale prices of our common stock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r>
      <w:tr>
        <w:trPr>
          <w:trHeight w:val="190"/>
        </w:trPr>
        <w:tc>
          <w:tcPr>
            <w:tcW w:w="51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Fiscal Year Ended December 31, 2015</w:t>
            </w:r>
          </w:p>
        </w:tc>
        <w:tc>
          <w:tcPr>
            <w:tcW w:w="2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2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Fourth Quarter</w:t>
            </w:r>
          </w:p>
        </w:tc>
        <w:tc>
          <w:tcPr>
            <w:tcW w:w="22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14.42</w:t>
            </w:r>
          </w:p>
        </w:tc>
        <w:tc>
          <w:tcPr>
            <w:tcW w:w="3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10.22</w:t>
            </w: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9.76</w:t>
            </w:r>
          </w:p>
        </w:tc>
      </w:tr>
      <w:tr>
        <w:trPr>
          <w:trHeight w:val="216"/>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13.24</w:t>
            </w: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12.77</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r>
      <w:tr>
        <w:trPr>
          <w:trHeight w:val="190"/>
        </w:trPr>
        <w:tc>
          <w:tcPr>
            <w:tcW w:w="51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Fiscal Year Ended December 31, 2014</w:t>
            </w:r>
          </w:p>
        </w:tc>
        <w:tc>
          <w:tcPr>
            <w:tcW w:w="2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2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Fourth Quarter</w:t>
            </w:r>
          </w:p>
        </w:tc>
        <w:tc>
          <w:tcPr>
            <w:tcW w:w="22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18.25</w:t>
            </w:r>
          </w:p>
        </w:tc>
        <w:tc>
          <w:tcPr>
            <w:tcW w:w="3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9.38</w:t>
            </w: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w:t>
            </w:r>
          </w:p>
        </w:tc>
      </w:tr>
      <w:tr>
        <w:trPr>
          <w:trHeight w:val="216"/>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4.51</w:t>
            </w: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record holders of our common stock as of March 1, 2016 was 299.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future determination to pay dividends will be at the discretion of our board of directors.</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2015, regarding the securities authorized for issuance under our equity compensation plan, the TG Therapeutics, Inc. Amended and Restated 2012 Incentive Plan.</w:t>
      </w:r>
    </w:p>
    <w:p>
      <w:pPr>
        <w:spacing w:after="0" w:line="166"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Equity Compensation Plan Information</w:t>
      </w:r>
    </w:p>
    <w:p>
      <w:pPr>
        <w:sectPr>
          <w:pgSz w:w="11900" w:h="16838" w:orient="portrait"/>
          <w:cols w:equalWidth="0" w:num="1">
            <w:col w:w="11320"/>
          </w:cols>
          <w:pgMar w:left="24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2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2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Equity compensation plans approved by security holders Equity compensation plans not approved by security holders Total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available for</w:t>
            </w:r>
          </w:p>
        </w:tc>
      </w:tr>
      <w:tr>
        <w:trPr>
          <w:trHeight w:val="216"/>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securities to be</w:t>
            </w: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8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issued upon</w:t>
            </w: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exercise price of</w:t>
            </w:r>
          </w:p>
        </w:tc>
        <w:tc>
          <w:tcPr>
            <w:tcW w:w="8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outstanding</w:t>
            </w: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securities reflected</w:t>
            </w:r>
          </w:p>
        </w:tc>
      </w:tr>
      <w:tr>
        <w:trPr>
          <w:trHeight w:val="234"/>
        </w:trPr>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outstanding 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options</w:t>
            </w:r>
          </w:p>
        </w:tc>
        <w:tc>
          <w:tcPr>
            <w:tcW w:w="80" w:type="dxa"/>
            <w:vAlign w:val="bottom"/>
          </w:tcPr>
          <w:p>
            <w:pPr>
              <w:spacing w:after="0"/>
              <w:rPr>
                <w:sz w:val="20"/>
                <w:szCs w:val="20"/>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in column (a))</w:t>
            </w:r>
          </w:p>
        </w:tc>
      </w:tr>
      <w:tr>
        <w:trPr>
          <w:trHeight w:val="195"/>
        </w:trPr>
        <w:tc>
          <w:tcPr>
            <w:tcW w:w="1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16"/>
                <w:szCs w:val="16"/>
                <w:color w:val="auto"/>
              </w:rPr>
            </w:pPr>
          </w:p>
        </w:tc>
      </w:tr>
      <w:tr>
        <w:trPr>
          <w:trHeight w:val="216"/>
        </w:trPr>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4,164,631</w:t>
            </w:r>
          </w:p>
        </w:tc>
        <w:tc>
          <w:tcPr>
            <w:tcW w:w="20" w:type="dxa"/>
            <w:vAlign w:val="bottom"/>
          </w:tcPr>
          <w:p>
            <w:pPr>
              <w:spacing w:after="0"/>
              <w:rPr>
                <w:sz w:val="18"/>
                <w:szCs w:val="18"/>
                <w:color w:val="auto"/>
              </w:rPr>
            </w:pPr>
          </w:p>
        </w:tc>
      </w:tr>
      <w:tr>
        <w:trPr>
          <w:trHeight w:val="244"/>
        </w:trPr>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50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4,164,631</w:t>
            </w:r>
          </w:p>
        </w:tc>
        <w:tc>
          <w:tcPr>
            <w:tcW w:w="20" w:type="dxa"/>
            <w:vAlign w:val="bottom"/>
          </w:tcPr>
          <w:p>
            <w:pPr>
              <w:spacing w:after="0"/>
              <w:rPr>
                <w:sz w:val="19"/>
                <w:szCs w:val="19"/>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-462280</wp:posOffset>
            </wp:positionV>
            <wp:extent cx="651764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-179705</wp:posOffset>
            </wp:positionV>
            <wp:extent cx="651764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1631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-1988820</wp:posOffset>
            </wp:positionV>
            <wp:extent cx="6517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820"/>
          </w:cols>
          <w:pgMar w:left="240" w:top="908" w:right="3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information about all of our equity compensation plans see Note 5 to our Consolidated Financial Statements included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PERFORMANCE GRAPH</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6"/>
          <w:szCs w:val="16"/>
          <w:color w:val="auto"/>
        </w:rPr>
        <w:t>The following graph compares the cumulative total stockholder return on our common stock for the period from December 31, 2011</w:t>
      </w:r>
      <w:r>
        <w:rPr>
          <w:rFonts w:ascii="Arial" w:cs="Arial" w:eastAsia="Arial" w:hAnsi="Arial"/>
          <w:sz w:val="26"/>
          <w:szCs w:val="26"/>
          <w:b w:val="1"/>
          <w:bCs w:val="1"/>
          <w:color w:val="auto"/>
          <w:vertAlign w:val="superscript"/>
        </w:rPr>
        <w:t>(1)</w:t>
      </w:r>
      <w:r>
        <w:rPr>
          <w:rFonts w:ascii="Arial" w:cs="Arial" w:eastAsia="Arial" w:hAnsi="Arial"/>
          <w:sz w:val="16"/>
          <w:szCs w:val="16"/>
          <w:color w:val="auto"/>
        </w:rPr>
        <w:t xml:space="preserve"> through December 31, 2015, with the cumulative total return over such period on (i) the U.S. Index of The Nasdaq Stock Market and (ii) the Biotechnology Index of The Nasdaq Stock Market. The graph assumes an investment of $100 on December 31, 2011, in our common stock (at the adjusted closing market price) and in each of the indices listed above, and assumes the reinvestment of all dividends. Measurement points are December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127000</wp:posOffset>
            </wp:positionV>
            <wp:extent cx="5574030" cy="3104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403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180" w:hanging="4"/>
        <w:spacing w:after="0" w:line="238" w:lineRule="auto"/>
        <w:tabs>
          <w:tab w:leader="none" w:pos="872" w:val="left"/>
        </w:tabs>
        <w:numPr>
          <w:ilvl w:val="0"/>
          <w:numId w:val="26"/>
        </w:numPr>
        <w:rPr>
          <w:rFonts w:ascii="Arial" w:cs="Arial" w:eastAsia="Arial" w:hAnsi="Arial"/>
          <w:sz w:val="26"/>
          <w:szCs w:val="26"/>
          <w:b w:val="1"/>
          <w:bCs w:val="1"/>
          <w:color w:val="auto"/>
          <w:vertAlign w:val="superscript"/>
        </w:rPr>
      </w:pPr>
      <w:r>
        <w:rPr>
          <w:rFonts w:ascii="Arial" w:cs="Arial" w:eastAsia="Arial" w:hAnsi="Arial"/>
          <w:sz w:val="16"/>
          <w:szCs w:val="16"/>
          <w:color w:val="auto"/>
        </w:rPr>
        <w:t>In connection with the Company having entered into and consummated an exchange transaction agreement (the “Exchange Transaction”) with Opus Point Partners, LLC (“Opus”) and TG Biologics, Inc. (formerly known as TG Therapeutics, Inc.) (“TG Bio”), we used the start date of December 31, 2011 to be in agreement with this transaction.</w:t>
      </w:r>
    </w:p>
    <w:p>
      <w:pPr>
        <w:spacing w:after="0" w:line="172" w:lineRule="exact"/>
        <w:rPr>
          <w:rFonts w:ascii="Arial" w:cs="Arial" w:eastAsia="Arial" w:hAnsi="Arial"/>
          <w:sz w:val="26"/>
          <w:szCs w:val="26"/>
          <w:b w:val="1"/>
          <w:bCs w:val="1"/>
          <w:color w:val="auto"/>
          <w:vertAlign w:val="superscript"/>
        </w:rPr>
      </w:pPr>
    </w:p>
    <w:p>
      <w:pPr>
        <w:ind w:left="860" w:hanging="204"/>
        <w:spacing w:after="0"/>
        <w:tabs>
          <w:tab w:leader="none" w:pos="860" w:val="left"/>
        </w:tabs>
        <w:numPr>
          <w:ilvl w:val="0"/>
          <w:numId w:val="26"/>
        </w:numPr>
        <w:rPr>
          <w:rFonts w:ascii="Arial" w:cs="Arial" w:eastAsia="Arial" w:hAnsi="Arial"/>
          <w:sz w:val="25"/>
          <w:szCs w:val="25"/>
          <w:b w:val="1"/>
          <w:bCs w:val="1"/>
          <w:color w:val="auto"/>
          <w:vertAlign w:val="superscript"/>
        </w:rPr>
      </w:pPr>
      <w:r>
        <w:rPr>
          <w:rFonts w:ascii="Arial" w:cs="Arial" w:eastAsia="Arial" w:hAnsi="Arial"/>
          <w:sz w:val="16"/>
          <w:szCs w:val="16"/>
          <w:color w:val="auto"/>
        </w:rPr>
        <w:t>$100 invested on 12/31/11 in stock or index, including reinvestment of dividends. Fiscal Years ending December 31.</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Statement of Operations Data for the years ended December 31, 2015, 2014, 2013, 2012 and 2011, and Balance Sheet Data as of December 31, 2015, 2014, 2013, 2012 and 2011, as set forth below are derived from our audited consolidated financial statements. This financial data should be read in conjunction with “Item 7. Management’s Discussion and Analysis of Financial Condition and Results of Operations” and “Item 8. Financial Statements and Supplementary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12"/>
          </w:tcPr>
          <w:p>
            <w:pPr>
              <w:jc w:val="right"/>
              <w:ind w:right="220"/>
              <w:spacing w:after="0"/>
              <w:rPr>
                <w:sz w:val="20"/>
                <w:szCs w:val="20"/>
                <w:color w:val="auto"/>
              </w:rPr>
            </w:pPr>
            <w:r>
              <w:rPr>
                <w:rFonts w:ascii="Arial" w:cs="Arial" w:eastAsia="Arial" w:hAnsi="Arial"/>
                <w:sz w:val="18"/>
                <w:szCs w:val="18"/>
                <w:b w:val="1"/>
                <w:bCs w:val="1"/>
                <w:color w:val="auto"/>
                <w:w w:val="95"/>
              </w:rPr>
              <w:t>Years ended December 31,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152,381</w:t>
            </w:r>
          </w:p>
        </w:tc>
        <w:tc>
          <w:tcPr>
            <w:tcW w:w="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152,381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152,381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19,048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89"/>
              </w:rPr>
              <w:t>Noncash stock expense associated with in-licensing</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80"/>
              <w:spacing w:after="0"/>
              <w:rPr>
                <w:sz w:val="20"/>
                <w:szCs w:val="20"/>
                <w:color w:val="auto"/>
              </w:rPr>
            </w:pPr>
            <w:r>
              <w:rPr>
                <w:rFonts w:ascii="Arial" w:cs="Arial" w:eastAsia="Arial" w:hAnsi="Arial"/>
                <w:sz w:val="18"/>
                <w:szCs w:val="18"/>
                <w:color w:val="auto"/>
              </w:rPr>
              <w:t>agreements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5,350,094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w w:val="97"/>
              </w:rPr>
              <w:t>16,578,000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4,261,406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8,731,566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1,041,519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455,809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Other research and development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w w:val="97"/>
              </w:rPr>
              <w:t>43,445,817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6"/>
          </w:tcPr>
          <w:p>
            <w:pPr>
              <w:jc w:val="right"/>
              <w:ind w:right="180"/>
              <w:spacing w:after="0"/>
              <w:rPr>
                <w:sz w:val="20"/>
                <w:szCs w:val="20"/>
                <w:color w:val="auto"/>
              </w:rPr>
            </w:pPr>
            <w:r>
              <w:rPr>
                <w:rFonts w:ascii="Arial" w:cs="Arial" w:eastAsia="Arial" w:hAnsi="Arial"/>
                <w:sz w:val="18"/>
                <w:szCs w:val="18"/>
                <w:color w:val="auto"/>
              </w:rPr>
              <w:t>26,004,687</w:t>
            </w:r>
          </w:p>
        </w:tc>
        <w:tc>
          <w:tcPr>
            <w:tcW w:w="340" w:type="dxa"/>
            <w:vAlign w:val="bottom"/>
          </w:tcPr>
          <w:p>
            <w:pPr>
              <w:spacing w:after="0"/>
              <w:rPr>
                <w:sz w:val="19"/>
                <w:szCs w:val="19"/>
                <w:color w:val="auto"/>
              </w:rPr>
            </w:pPr>
          </w:p>
        </w:tc>
        <w:tc>
          <w:tcPr>
            <w:tcW w:w="1040" w:type="dxa"/>
            <w:vAlign w:val="bottom"/>
            <w:gridSpan w:val="6"/>
          </w:tcPr>
          <w:p>
            <w:pPr>
              <w:jc w:val="right"/>
              <w:ind w:right="60"/>
              <w:spacing w:after="0"/>
              <w:rPr>
                <w:sz w:val="20"/>
                <w:szCs w:val="20"/>
                <w:color w:val="auto"/>
              </w:rPr>
            </w:pPr>
            <w:r>
              <w:rPr>
                <w:rFonts w:ascii="Arial" w:cs="Arial" w:eastAsia="Arial" w:hAnsi="Arial"/>
                <w:sz w:val="18"/>
                <w:szCs w:val="18"/>
                <w:color w:val="auto"/>
                <w:w w:val="97"/>
              </w:rPr>
              <w:t>12,621,161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3,994,182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47,707,223</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40,086,347</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7"/>
              </w:rPr>
              <w:t>13,662,680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21,027,991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w w:val="97"/>
              </w:rPr>
              <w:t>11,435,686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6"/>
          </w:tcPr>
          <w:p>
            <w:pPr>
              <w:jc w:val="right"/>
              <w:ind w:right="180"/>
              <w:spacing w:after="0"/>
              <w:rPr>
                <w:sz w:val="20"/>
                <w:szCs w:val="20"/>
                <w:color w:val="auto"/>
              </w:rPr>
            </w:pPr>
            <w:r>
              <w:rPr>
                <w:rFonts w:ascii="Arial" w:cs="Arial" w:eastAsia="Arial" w:hAnsi="Arial"/>
                <w:sz w:val="18"/>
                <w:szCs w:val="18"/>
                <w:color w:val="auto"/>
              </w:rPr>
              <w:t>12,373,726</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w w:val="92"/>
              </w:rPr>
              <w:t>4,161,629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2,966,373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86,494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4,189,488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3,413,400</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2,496,461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1,815,083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general and administrative</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7"/>
              </w:rPr>
              <w:t>15,625,174</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15,787,126</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6,658,090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4,781,456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554,691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2"/>
              </w:rPr>
              <w:t>Impairment of in-process research and development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w w:val="92"/>
              </w:rPr>
              <w:t>2,797,600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1,104,700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w w:val="97"/>
              </w:rPr>
              <w:t>63,332,397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6"/>
          </w:tcPr>
          <w:p>
            <w:pPr>
              <w:jc w:val="right"/>
              <w:ind w:right="180"/>
              <w:spacing w:after="0"/>
              <w:rPr>
                <w:sz w:val="20"/>
                <w:szCs w:val="20"/>
                <w:color w:val="auto"/>
              </w:rPr>
            </w:pPr>
            <w:r>
              <w:rPr>
                <w:rFonts w:ascii="Arial" w:cs="Arial" w:eastAsia="Arial" w:hAnsi="Arial"/>
                <w:sz w:val="18"/>
                <w:szCs w:val="18"/>
                <w:color w:val="auto"/>
              </w:rPr>
              <w:t>55,873,473</w:t>
            </w:r>
          </w:p>
        </w:tc>
        <w:tc>
          <w:tcPr>
            <w:tcW w:w="340" w:type="dxa"/>
            <w:vAlign w:val="bottom"/>
          </w:tcPr>
          <w:p>
            <w:pPr>
              <w:spacing w:after="0"/>
              <w:rPr>
                <w:sz w:val="19"/>
                <w:szCs w:val="19"/>
                <w:color w:val="auto"/>
              </w:rPr>
            </w:pPr>
          </w:p>
        </w:tc>
        <w:tc>
          <w:tcPr>
            <w:tcW w:w="1040" w:type="dxa"/>
            <w:vAlign w:val="bottom"/>
            <w:gridSpan w:val="6"/>
          </w:tcPr>
          <w:p>
            <w:pPr>
              <w:jc w:val="right"/>
              <w:ind w:right="60"/>
              <w:spacing w:after="0"/>
              <w:rPr>
                <w:sz w:val="20"/>
                <w:szCs w:val="20"/>
                <w:color w:val="auto"/>
              </w:rPr>
            </w:pPr>
            <w:r>
              <w:rPr>
                <w:rFonts w:ascii="Arial" w:cs="Arial" w:eastAsia="Arial" w:hAnsi="Arial"/>
                <w:sz w:val="18"/>
                <w:szCs w:val="18"/>
                <w:color w:val="auto"/>
                <w:w w:val="97"/>
              </w:rPr>
              <w:t>23,118,370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w w:val="97"/>
              </w:rPr>
              <w:t>26,914,147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881,974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w w:val="92"/>
              </w:rPr>
              <w:t>(63,180,016)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6"/>
          </w:tcPr>
          <w:p>
            <w:pPr>
              <w:jc w:val="right"/>
              <w:ind w:right="120"/>
              <w:spacing w:after="0"/>
              <w:rPr>
                <w:sz w:val="20"/>
                <w:szCs w:val="20"/>
                <w:color w:val="auto"/>
              </w:rPr>
            </w:pPr>
            <w:r>
              <w:rPr>
                <w:rFonts w:ascii="Arial" w:cs="Arial" w:eastAsia="Arial" w:hAnsi="Arial"/>
                <w:sz w:val="18"/>
                <w:szCs w:val="18"/>
                <w:color w:val="auto"/>
                <w:w w:val="97"/>
              </w:rPr>
              <w:t>(55,721,092)</w:t>
            </w:r>
          </w:p>
        </w:tc>
        <w:tc>
          <w:tcPr>
            <w:tcW w:w="340" w:type="dxa"/>
            <w:vAlign w:val="bottom"/>
          </w:tcPr>
          <w:p>
            <w:pPr>
              <w:spacing w:after="0"/>
              <w:rPr>
                <w:sz w:val="19"/>
                <w:szCs w:val="19"/>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w w:val="92"/>
              </w:rPr>
              <w:t>(22,965,989)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w w:val="92"/>
              </w:rPr>
              <w:t>(26,895,099)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(881,974)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(174,653)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5"/>
              </w:rPr>
              <w:t>(55,049)</w:t>
            </w: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(30,822)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w w:val="95"/>
              </w:rPr>
              <w:t>(95,427)</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(108,894)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(272,232)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972,736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930,701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952,888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905,744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Change in fair value of notes payable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(1,029,453)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6"/>
          </w:tcPr>
          <w:p>
            <w:pPr>
              <w:jc w:val="right"/>
              <w:ind w:right="120"/>
              <w:spacing w:after="0"/>
              <w:rPr>
                <w:sz w:val="20"/>
                <w:szCs w:val="20"/>
                <w:color w:val="auto"/>
              </w:rPr>
            </w:pPr>
            <w:r>
              <w:rPr>
                <w:rFonts w:ascii="Arial" w:cs="Arial" w:eastAsia="Arial" w:hAnsi="Arial"/>
                <w:sz w:val="18"/>
                <w:szCs w:val="18"/>
                <w:color w:val="auto"/>
              </w:rPr>
              <w:t>(720,040)</w:t>
            </w:r>
          </w:p>
        </w:tc>
        <w:tc>
          <w:tcPr>
            <w:tcW w:w="340" w:type="dxa"/>
            <w:vAlign w:val="bottom"/>
          </w:tcPr>
          <w:p>
            <w:pPr>
              <w:spacing w:after="0"/>
              <w:rPr>
                <w:sz w:val="19"/>
                <w:szCs w:val="19"/>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(3,300,951)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(1,659,872)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(231,370</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60,185</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(2,487,779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(1,042,147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2"/>
              </w:rPr>
              <w:t>(62,948,646)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7"/>
              </w:rPr>
              <w:t>(55,781,277)</w:t>
            </w:r>
          </w:p>
        </w:tc>
        <w:tc>
          <w:tcPr>
            <w:tcW w:w="34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2"/>
              </w:rPr>
              <w:t>(20,478,210)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(25,852,952)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330,000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loss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(62,948,646</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7"/>
              </w:rPr>
              <w:t>(55,781,277</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1"/>
              </w:rPr>
              <w:t>(20,478,210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(26,182,952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(889,071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(8,110,233)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spacing w:after="0" w:line="182" w:lineRule="exact"/>
              <w:rPr>
                <w:sz w:val="20"/>
                <w:szCs w:val="20"/>
                <w:color w:val="auto"/>
              </w:rPr>
            </w:pPr>
            <w:r>
              <w:rPr>
                <w:rFonts w:ascii="Arial" w:cs="Arial" w:eastAsia="Arial" w:hAnsi="Arial"/>
                <w:sz w:val="18"/>
                <w:szCs w:val="18"/>
                <w:color w:val="auto"/>
                <w:w w:val="93"/>
              </w:rPr>
              <w:t>Net loss attributable to TG Therapeutics, Inc. and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180" w:type="dxa"/>
            <w:vAlign w:val="bottom"/>
          </w:tcPr>
          <w:p>
            <w:pPr>
              <w:spacing w:after="0"/>
              <w:rPr>
                <w:sz w:val="21"/>
                <w:szCs w:val="21"/>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w w:val="92"/>
              </w:rPr>
              <w:t>(62,948,646)</w:t>
            </w:r>
          </w:p>
        </w:tc>
        <w:tc>
          <w:tcPr>
            <w:tcW w:w="4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w:t>
            </w:r>
          </w:p>
        </w:tc>
        <w:tc>
          <w:tcPr>
            <w:tcW w:w="1220" w:type="dxa"/>
            <w:vAlign w:val="bottom"/>
            <w:gridSpan w:val="6"/>
          </w:tcPr>
          <w:p>
            <w:pPr>
              <w:jc w:val="right"/>
              <w:ind w:right="120"/>
              <w:spacing w:after="0"/>
              <w:rPr>
                <w:sz w:val="20"/>
                <w:szCs w:val="20"/>
                <w:color w:val="auto"/>
              </w:rPr>
            </w:pPr>
            <w:r>
              <w:rPr>
                <w:rFonts w:ascii="Arial" w:cs="Arial" w:eastAsia="Arial" w:hAnsi="Arial"/>
                <w:sz w:val="18"/>
                <w:szCs w:val="18"/>
                <w:color w:val="auto"/>
                <w:w w:val="97"/>
              </w:rPr>
              <w:t>(55,781,277)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w w:val="92"/>
              </w:rPr>
              <w:t>(20,478,210)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w w:val="92"/>
              </w:rPr>
              <w:t>(18,072,719)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(853,074)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8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7"/>
              </w:rPr>
              <w:t>(1.38)</w:t>
            </w:r>
          </w:p>
        </w:tc>
        <w:tc>
          <w:tcPr>
            <w:tcW w:w="48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(1.64)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426"/>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Balance Sheet Information:</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5"/>
          </w:tcPr>
          <w:p>
            <w:pPr>
              <w:ind w:left="12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w w:val="89"/>
              </w:rPr>
              <w:t>2015</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89"/>
              </w:rPr>
              <w:t>2014</w:t>
            </w: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Cash, cash equivalents, investment securities and</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102,416,894</w:t>
            </w:r>
          </w:p>
        </w:tc>
        <w:tc>
          <w:tcPr>
            <w:tcW w:w="132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   78,861,334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45,431,532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16,455,995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9,748,491</w:t>
            </w:r>
          </w:p>
        </w:tc>
        <w:tc>
          <w:tcPr>
            <w:tcW w:w="100" w:type="dxa"/>
            <w:vAlign w:val="bottom"/>
            <w:shd w:val="clear" w:color="auto" w:fill="CCEEFF"/>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113,473,201</w:t>
            </w:r>
          </w:p>
        </w:tc>
        <w:tc>
          <w:tcPr>
            <w:tcW w:w="1320" w:type="dxa"/>
            <w:vAlign w:val="bottom"/>
            <w:gridSpan w:val="7"/>
          </w:tcPr>
          <w:p>
            <w:pPr>
              <w:jc w:val="right"/>
              <w:ind w:right="60"/>
              <w:spacing w:after="0"/>
              <w:rPr>
                <w:sz w:val="20"/>
                <w:szCs w:val="20"/>
                <w:color w:val="auto"/>
              </w:rPr>
            </w:pPr>
            <w:r>
              <w:rPr>
                <w:rFonts w:ascii="Arial" w:cs="Arial" w:eastAsia="Arial" w:hAnsi="Arial"/>
                <w:sz w:val="18"/>
                <w:szCs w:val="18"/>
                <w:color w:val="auto"/>
              </w:rPr>
              <w:t>86,746,890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48,112,390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22,074,037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14,537,358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(158,133,926)</w:t>
            </w:r>
          </w:p>
        </w:tc>
        <w:tc>
          <w:tcPr>
            <w:tcW w:w="13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(95,185,280)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(39,404,003)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(18,925,793)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(853,074)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20"/>
                <w:szCs w:val="20"/>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101,573,302</w:t>
            </w:r>
          </w:p>
        </w:tc>
        <w:tc>
          <w:tcPr>
            <w:tcW w:w="1320" w:type="dxa"/>
            <w:vAlign w:val="bottom"/>
            <w:gridSpan w:val="7"/>
          </w:tcPr>
          <w:p>
            <w:pPr>
              <w:jc w:val="right"/>
              <w:ind w:right="60"/>
              <w:spacing w:after="0"/>
              <w:rPr>
                <w:sz w:val="20"/>
                <w:szCs w:val="20"/>
                <w:color w:val="auto"/>
              </w:rPr>
            </w:pPr>
            <w:r>
              <w:rPr>
                <w:rFonts w:ascii="Arial" w:cs="Arial" w:eastAsia="Arial" w:hAnsi="Arial"/>
                <w:sz w:val="18"/>
                <w:szCs w:val="18"/>
                <w:color w:val="auto"/>
              </w:rPr>
              <w:t>80,101,884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40,054,492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15,550,301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9,636,202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36</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8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hematological malignancies. TG-1101 (ublituximab) is a novel, glycoengineered monoclonal antibody that targets a specific and unique epitope on the CD20 antigen found on mature B-lymphocytes. TG Therapeutics is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a pre-clinical programs seeking to develop IRAK4 (interleukin-1 receptor-associated kinase 4) inhibitors and anti-PD-L1 and anti-GITR antibodies.</w:t>
      </w:r>
    </w:p>
    <w:p>
      <w:pPr>
        <w:spacing w:after="0" w:line="18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 Research and development expenses for the years ended December 31, 2015, 2014 and 2013 were $43,445,817, $31,354,781 and $12,621,161, respectively, excluding non-cash compensation expenses related to research and development.</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sets forth the research and development expenses per project, exclusive of non-cash compensation expenses, for the periods presented.</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TG-1101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29,816,042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15,410,925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8,281,028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TGR-1202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11,671,889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14,249,856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4,340,133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IRAK4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1,068,466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PD-L1/GITR</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500,300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389,120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43,445,817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31,354,781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12,621,161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2015, 2014 and 2013</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840"/>
              <w:spacing w:after="0"/>
              <w:rPr>
                <w:sz w:val="20"/>
                <w:szCs w:val="20"/>
                <w:color w:val="auto"/>
              </w:rPr>
            </w:pPr>
            <w:r>
              <w:rPr>
                <w:rFonts w:ascii="Arial" w:cs="Arial" w:eastAsia="Arial" w:hAnsi="Arial"/>
                <w:sz w:val="18"/>
                <w:szCs w:val="18"/>
                <w:b w:val="1"/>
                <w:bCs w:val="1"/>
                <w:color w:val="auto"/>
                <w:w w:val="92"/>
              </w:rPr>
              <w:t>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152,381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152,381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Noncash stock expense associated with in-licensing agreements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5,350,094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4,261,406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8,731,566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1,041,519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43,445,817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26,004,687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12,621,161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19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47,707,223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40,086,347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13,662,680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11,435,686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12,373,726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4,189,488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3,413,400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2,496,461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15,625,174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15,787,126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in-process research and development</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2,797,600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63,332,397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55,873,473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23,118,370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(63,180,016)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(55,721,092)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(22,965,989)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60,185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(2,487,779)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(62,948,646)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(55,781,277)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(20,478,210)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Years Ended December 31, 2015 and 2014</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$152,381 for each of the years ended December 31, 2015 and 2014.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Noncash Stock Expense Associated with In-licensing Agreements. </w:t>
      </w:r>
      <w:r>
        <w:rPr>
          <w:rFonts w:ascii="Arial" w:cs="Arial" w:eastAsia="Arial" w:hAnsi="Arial"/>
          <w:sz w:val="16"/>
          <w:szCs w:val="16"/>
          <w:color w:val="auto"/>
        </w:rPr>
        <w:t>Noncash stock expense associated with in-licensing agreements amounted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$5,350,094 for the year ended December 31, 2014. The expense during the year ended December 31, 2014 was recorded in conjunction with the stock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Rhizen of approximately $4,100,000 in connection with our license for TGR-1202, and approximately $1,200,000 for the common stock issued to Ligand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Pharmaceuticals as an upfront payment for the license to the IRAK4 inhibitors program.</w:t>
      </w:r>
    </w:p>
    <w:p>
      <w:pPr>
        <w:spacing w:after="0" w:line="21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totaled $4,261,406 for the year ended December 31, 2015, as compared to $8,731,566 during the comparable period in 2014. The decrease in noncash compensation expense was primarily related to milestone-based vesting of restricted stock grants to personnel during the year ended December 31, 2014 and a decrease in the measurement date fair value of certain consultant restricted stock during the period ended December 31, 2015.</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$17,441,130 from $26,004,687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2014 to $43,445,817 for the year ended December 31, 2015. The increase in other research and development expenses was due primarily to increases of approximately $11.7 million and $3.4 million for manufacturing and clinical trial expenses related to TG-1101 and TGR-1202, respectively, offset by a decrease of $4.0 million related to the upfront cash milestone payment to Rhizen to exercise the license option for TGR-1202 during the year ended December 31, 2014. We expect our other research and development costs to increase during 2016 as the enrollment of Phase 3 clinical trials increases and we prepare for launch.</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decreased by $938,040 from $12,373,726 for the year ended December 31, 2014 to $11,435,686 during the year ended December 31, 2015. The decrease in noncash compensation expense was primarily related to milestone-based vesting of restricted stock grants to personnel during the year ended December 31, 2014.</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i w:val="1"/>
          <w:iCs w:val="1"/>
          <w:color w:val="auto"/>
        </w:rPr>
        <w:t>Other General and Administrative Expenses</w:t>
      </w:r>
      <w:r>
        <w:rPr>
          <w:rFonts w:ascii="Arial" w:cs="Arial" w:eastAsia="Arial" w:hAnsi="Arial"/>
          <w:sz w:val="17"/>
          <w:szCs w:val="17"/>
          <w:color w:val="auto"/>
        </w:rPr>
        <w:t>. Other general and administrative expenses increased by $776,088 from $3,413,400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2014 to $4,189,488 for the year ended December 31, 2015. The increase was due primarily to increased personnel and other general and administrative costs. We expect our other general and administrative expenses to increase modestly during 2016.</w:t>
      </w:r>
    </w:p>
    <w:p>
      <w:pPr>
        <w:spacing w:after="0" w:line="16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Other Expense (Income), Net</w:t>
      </w:r>
      <w:r>
        <w:rPr>
          <w:rFonts w:ascii="Arial" w:cs="Arial" w:eastAsia="Arial" w:hAnsi="Arial"/>
          <w:sz w:val="16"/>
          <w:szCs w:val="16"/>
          <w:color w:val="auto"/>
        </w:rPr>
        <w:t>. Other income increased by $291,555 from $60,185 of expense for the year ended December 31, 2014 to $231,370 of</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for the year ended December 31, 2015. The increase is mainly due to an increase in interest income for the year ended December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2014 and 2013</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$152,381 for each of the years ended December 31, 2014 and 2013.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Noncash Stock Expense Associated with In-licensing Agreements. </w:t>
      </w:r>
      <w:r>
        <w:rPr>
          <w:rFonts w:ascii="Arial" w:cs="Arial" w:eastAsia="Arial" w:hAnsi="Arial"/>
          <w:sz w:val="17"/>
          <w:szCs w:val="17"/>
          <w:color w:val="auto"/>
        </w:rPr>
        <w:t>Noncash stock expense associated with in-licensing agreements was $5,350,094</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2014, as compared to $0 for the year ended December 31, 2013. The expense during the year ended December 31, 2014 was recorded in conjunction with the stock issued to Rhizen of approximately $4,100,000 to exercise our option to license TGR-1202, and approximately $1,200,000 for the common stock issued to Ligand as an upfront payment for the license to the IRAK4 inhibitors program.</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sectPr>
      </w:pPr>
    </w:p>
    <w:bookmarkStart w:id="42" w:name="page43"/>
    <w:bookmarkEnd w:id="42"/>
    <w:p>
      <w:pPr>
        <w:ind w:right="240" w:firstLine="648"/>
        <w:spacing w:after="0" w:line="30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increased by $7,690,047 from $1,041,519 for the year ended December 31, 2013 to $8,731,566 during the year ended December 31, 2014. The increase in noncash compensation expense was primarily related to milestone-based vesting of restricted stock grants to employees and consultants during the year ended December 31, 2014. We expect noncash compensation expense (research and development) to remain at a comparable level in 2015.</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$13,383,526 from $12,621,161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2013 to $26,004,687 for the year ended December 31, 2014. The increase in other research and development expenses was due primarily to increased research and development expenses associated with TG-1101 and TGR-1202 of approximately $7,100,000 and $3,800,000, respectively. In addition, during the year ended December 31, 2014 we expensed $4,000,000 related to the upfront cash milestone payment to Rhizen to exercise the license option for TGR-1202. We expect our other research and development costs to increase during 2015 as we commence multiple Phase 3 registration programs.</w:t>
      </w:r>
    </w:p>
    <w:p>
      <w:pPr>
        <w:spacing w:after="0" w:line="15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 xml:space="preserve">Noncash Compensation Expense (General and Administrative). </w:t>
      </w:r>
      <w:r>
        <w:rPr>
          <w:rFonts w:ascii="Arial" w:cs="Arial" w:eastAsia="Arial" w:hAnsi="Arial"/>
          <w:sz w:val="16"/>
          <w:szCs w:val="16"/>
          <w:color w:val="auto"/>
        </w:rPr>
        <w:t>Noncash compensation expense (general and administrative)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increased by $8,212,097 from $4,161,629 for the year ended December 31, 2013 to $12,373,726 during the year ended December 31, 2014. The increase in noncash compensation expense was primarily related to milestone-based vesting of restricted stock grants to personnel during the year ended December 31, 2014. We expect noncash compensation expense (general and administrative) to remain at a comparable level in 2015.</w:t>
      </w:r>
    </w:p>
    <w:p>
      <w:pPr>
        <w:spacing w:after="0" w:line="15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i w:val="1"/>
          <w:iCs w:val="1"/>
          <w:color w:val="auto"/>
        </w:rPr>
        <w:t>Other General and Administrative Expenses</w:t>
      </w:r>
      <w:r>
        <w:rPr>
          <w:rFonts w:ascii="Arial" w:cs="Arial" w:eastAsia="Arial" w:hAnsi="Arial"/>
          <w:sz w:val="17"/>
          <w:szCs w:val="17"/>
          <w:color w:val="auto"/>
        </w:rPr>
        <w:t>. Other general and administrative expenses increased by $916,939 from $2,496,461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2013 to $3,413,400 for the year ended December 31, 2014. The increase was due primarily to Delaware franchise taxes, legal fees and Nasdaq listing fees. We expect our other general and administrative expenses to increase modestly during 2015.</w:t>
      </w:r>
    </w:p>
    <w:p>
      <w:pPr>
        <w:spacing w:after="0" w:line="166" w:lineRule="exact"/>
        <w:rPr>
          <w:sz w:val="20"/>
          <w:szCs w:val="20"/>
          <w:color w:val="auto"/>
        </w:rPr>
      </w:pPr>
    </w:p>
    <w:p>
      <w:pPr>
        <w:ind w:right="460" w:firstLine="648"/>
        <w:spacing w:after="0" w:line="276" w:lineRule="auto"/>
        <w:rPr>
          <w:sz w:val="20"/>
          <w:szCs w:val="20"/>
          <w:color w:val="auto"/>
        </w:rPr>
      </w:pPr>
      <w:r>
        <w:rPr>
          <w:rFonts w:ascii="Arial" w:cs="Arial" w:eastAsia="Arial" w:hAnsi="Arial"/>
          <w:sz w:val="17"/>
          <w:szCs w:val="17"/>
          <w:i w:val="1"/>
          <w:iCs w:val="1"/>
          <w:color w:val="auto"/>
        </w:rPr>
        <w:t>Impairment of in-process research and development</w:t>
      </w:r>
      <w:r>
        <w:rPr>
          <w:rFonts w:ascii="Arial" w:cs="Arial" w:eastAsia="Arial" w:hAnsi="Arial"/>
          <w:sz w:val="17"/>
          <w:szCs w:val="17"/>
          <w:color w:val="auto"/>
        </w:rPr>
        <w:t>. The impairments recognized in 2013 related to the in-process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 recorded in connection with the Exchange Transaction. As of December 31, 2013, as a result of expiring intellectual property, uncertain regulatory pathways, and market changes affecting the commercial potential for the Ariston in-process research and development asset (AST-726), the Company determined that the asset's carrying value was no longer recoverable. Impairment testing of our indefinite lived intangible assets is performed annually or when a triggering event occurs that could indicate a potential impairment.</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decreased by $2,547,964 from $2,487,779 of income for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to $60,185 of expense for the year ended December 31, 2014. Other income for the year ended December 31, 2013 included a change in the fair value of notes payable of approximately $2,500,000 resulting from the valuation of the convertible notes payable to zero except for the conversion feature of the notes payable. See Note 4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primary sources of cash have been from the sale of equity securities,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we had $102.4 million in cash and cash equivalents, investment securities, and interest receivable.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anticipate that our cash and cash equivalents as of December 31, 2015 are sufficient to fund our anticipated operating cash requirements for more than 24 months from December 31, 2015.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Cash used in operating activities for the year ended December 31, 2015 was $44,690,272 as compared to $35,059,919 for the year ended December 31, 2014. The increase in cash used in operating activities was due primarily to increased expenditures associated with our clinical development programs for TG-1101 and TGR-1202.</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ind w:right="500" w:firstLine="648"/>
        <w:spacing w:after="0" w:line="264" w:lineRule="auto"/>
        <w:rPr>
          <w:sz w:val="20"/>
          <w:szCs w:val="20"/>
          <w:color w:val="auto"/>
        </w:rPr>
      </w:pPr>
      <w:r>
        <w:rPr>
          <w:rFonts w:ascii="Arial" w:cs="Arial" w:eastAsia="Arial" w:hAnsi="Arial"/>
          <w:sz w:val="18"/>
          <w:szCs w:val="18"/>
          <w:color w:val="auto"/>
        </w:rPr>
        <w:t>For the year ended December 31, 2015, net cash used in investing activities was $24,685,869 as compared to $18,355,289 for the year ended December 31, 2014. The increase in net cash used in investing activities was primarily due to an increase in our investment in held-to-maturity treasury securities.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year ended December 31, 2015, net cash provided by financing activities of $68,723,686 related to our program under an At-the-Market Issuance Sales Agreement (the “ATM Program”), as well as proceeds from the exercise of warrants. For the year ended December 31, 2014, net cash provided by financing activities of $68,643,526 related to net proceeds from the issuance of Common Stock of our underwritten public offering in March 2014, as well as proceeds from the exercise of warrants, net of payment of notes payable of $677,778.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June 21, 2013, we entered into an At-the-Market Issuance Sales Agreement (the “2013 ATM”) with MLV &amp; Co. LLC (“MLV”) under which we could issue and sell shares of our common stock, having aggregate offering proceeds of up to $50.0 million, from time to time through MLV, acting as the sales agent. Under the agreement we would pay MLV a commission rate of up to 3.0% of the gross proceeds from the sale of any shares of common stock sold through MLV.</w:t>
      </w:r>
    </w:p>
    <w:p>
      <w:pPr>
        <w:spacing w:after="0" w:line="18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During the year ended December 31, 2014, we sold a total of 4,850,055 shares of common stock under this arrangement for aggregate total gross proceeds of approximately $50.0 million at an average selling price of $10.31 per share. Net proceeds were approximately $48.8 million after deducting commissions and other transaction costs. We have fully utilized the capacity under the 2013 ATM and, accordingly, no further sales can be made under the 2013 ATM.</w:t>
      </w:r>
    </w:p>
    <w:p>
      <w:pPr>
        <w:spacing w:after="0" w:line="187"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In December 2014, we amended our 2013 ATM with MLV (the “2015 ATM”) such that we could issue and sell additional shares of our common stock, having an aggregate offering price of up to $75.0 million, from time to time through MLV, acting as the sales agent. Under the 2015 ATM, we would pay MLV a commission rate of up to 3.0% of the gross proceeds from the sale of any shares of common stock sold through MLV.</w:t>
      </w:r>
    </w:p>
    <w:p>
      <w:pPr>
        <w:spacing w:after="0" w:line="166"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During the year ended December 31, 2015, we sold a total of 4,094,498 shares of common stock under the 2015 ATM for aggregate total gross proceeds of approximately $68.2 million at an average selling price of $16.66 per share, resulting in net proceeds of approximately $67.0 million after deducting commissions and other transaction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March 11, 2014, we announced the pricing of an underwritten sale of 2,702,809 shares of our common stock at a price of $6.71 per share for gross proceeds of approximately $18.1 million. Net proceeds from this offering were approximately $16.8 million, net of underwriting discounts and offering expenses of approximately $1.3 million.</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which they exercised. Total net proceeds from this offering, including the overallotment, were approximately $37.6 million, net of underwriting discounts and offering expenses of approximately $2.7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31, 2015, we have known contractual obligations, commitments and contingencies of $16.3 million related to our operating lease obligations.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2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 due by period</w:t>
            </w:r>
          </w:p>
        </w:tc>
        <w:tc>
          <w:tcPr>
            <w:tcW w:w="9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91"/>
        </w:trPr>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Less than 1</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4"/>
              </w:rPr>
              <w:t>More than 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3-5 years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years</w:t>
            </w:r>
          </w:p>
        </w:tc>
        <w:tc>
          <w:tcPr>
            <w:tcW w:w="1140" w:type="dxa"/>
            <w:vAlign w:val="bottom"/>
          </w:tcPr>
          <w:p>
            <w:pPr>
              <w:spacing w:after="0"/>
              <w:rPr>
                <w:sz w:val="20"/>
                <w:szCs w:val="20"/>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16,335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1,992</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12,268</w:t>
            </w:r>
          </w:p>
        </w:tc>
        <w:tc>
          <w:tcPr>
            <w:tcW w:w="1140" w:type="dxa"/>
            <w:vAlign w:val="bottom"/>
          </w:tcPr>
          <w:p>
            <w:pPr>
              <w:spacing w:after="0"/>
              <w:rPr>
                <w:sz w:val="19"/>
                <w:szCs w:val="19"/>
                <w:color w:val="auto"/>
              </w:rPr>
            </w:pPr>
          </w:p>
        </w:tc>
      </w:tr>
      <w:tr>
        <w:trPr>
          <w:trHeight w:val="210"/>
        </w:trPr>
        <w:tc>
          <w:tcPr>
            <w:tcW w:w="37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3"/>
              </w:rPr>
              <w:t>16,335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1,992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642"/>
        </w:trPr>
        <w:tc>
          <w:tcPr>
            <w:tcW w:w="3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October 3, 2014, we entered into a Desk Space Agreement (the “Desk Agreement”) with Fortress, to occupy approximately 40% of the New York City office space recently leased by Fortress. This Desk Agreement requires us to pay our respective share of the average annual rent and other costs of the 15 year lease. We approximate an average annual rental obligation of $1.1 million under the Desk Agreement. Fortress does not expect to take possession of the space until early 2016.</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Total rental expense was approximately $0.3 million, $0.1 million and $0.01 million for the years ended December 31, 2015, 2014 and 2013, respectively.</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Future minimum lease commitments as of December 31, 2015, in the aggregate total approximately $16.3 million through December 31, 2031. The preceding table shows future minimum lease commitments, which include our office leases in New York, North Carolina and Tennessee, by period as of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license revenue in accordance with the revenue recognition guidance of the Financial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Board (“FASB”) Accounting Standards Codification (“ASC”),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9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restricted stock and warrants issued to employees, consultants and other third-parties vest upon the achievement of certain milestones, the total expense is uncertain. Compensation expense for such awards that vest upon the achievement of milestones is recognized when the achievement of such milestone becomes probable.</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5" w:name="page46"/>
    <w:bookmarkEnd w:id="45"/>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assessed as of the balance sheet date to ascertain if there has been any impairment of the recorded value. If there is an impairment the asset is written down to its current fair value by the recording of an expense.</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3"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December 31, 2015 and 2014, there was $799,391 of goodwill on our consolidated balance sheets.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2014, the FASB issued an update to ASC 606, Revenue from Contracts with Customers. This update to ASC 606 provides a five-step process to determine when and how revenue is recognized. The core principle of the guidance is that a Company should recognize revenue upon transfer of promised goods or services to customers in an amount that reflects the expected consideration to be received in exchange for those goods or services. This update to ASC 606 will also result in enhanced disclosures about revenue, providing guidance for transactions that were not previously addressed comprehensively, and improving guidance for multiple-element arrangements. This update to ASC 606 is effective for us beginning in fiscal 2018. We are currently evaluating the impact of this update on our consolidated financial statements.</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August 2014, the FASB issued Accounting Standards Update 2014-15, Presentation of Financial Statements—Going Concern, which requires that management of an entity should evaluate whether there are conditions or events, considered in the aggregate, that raise substantial doubt about the entity’s ability to continue as a going concern within one year after the date that the financial statements are issued or available to be issued. This update will become effective beginning January 1, 2017, with early adoption permitted. The provisions of this standard are not expected to significantly impact the Company.</w:t>
      </w:r>
    </w:p>
    <w:p>
      <w:pPr>
        <w:spacing w:after="0" w:line="15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November 2015, the FASB issued Accounting Standards Update 2015-17, Balance Sheet Classification of Deferred Taxes. This update requires that deferred tax liabilities and assets be classified as noncurrent in a classified statement of financial position. The amendments in this update apply to all entities that present a classified statement of financial position. This update will become effective for public business entities for annual periods beginning after December 15, 2016, and interim periods within those annual periods. The provisions of this standard are not expected to significantly impact the Company.</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February 2016, the FASB issued ASU No. 2016-02, “Leases (Topic 842),”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The Company is currently evaluating the impact the standard may have on its consolidated financial statements and related disclosures.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December 31, 2015, our portfolio of financial instruments consists of cash equivalents and short-term and long-term interest bearing securities, including government debt and money market funds. The average duration of all of our held-to-maturity investments held as of December 31, 2015, was less than 12 months. Due to the relative short-term nature of these financial instruments, we believe there is no material exposure to interest rate risk, and/or credit risk, arising from our portfolio of financial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financial statements and the notes thereto, included in Part IV, Item 15(a), part 1, are incorporated by reference into this Item 8.</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December 31, 2015, management carried out an evaluation, under the supervision and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participation of our Chief Executive Officer and our Chief Financial Officer, of the effectiveness of the design and operation of our disclosure controls and procedures (as defined in Rules 13a-15(e) and 15d-15(e) of the Securities Exchange Act of 1934, as amended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and Chief Financial Officers concluded that, as of December 31, 2015, our disclosure controls and procedures were effective.</w:t>
      </w:r>
    </w:p>
    <w:p>
      <w:pPr>
        <w:spacing w:after="0" w:line="16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Management's Report on Internal Control over Financial Reporting. </w:t>
      </w:r>
      <w:r>
        <w:rPr>
          <w:rFonts w:ascii="Arial" w:cs="Arial" w:eastAsia="Arial" w:hAnsi="Arial"/>
          <w:sz w:val="16"/>
          <w:szCs w:val="16"/>
          <w:color w:val="auto"/>
        </w:rPr>
        <w:t>Our management is responsible for establishing and maintaining adequate</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 over financial reporting (as defined in Rule 13a-15(f) or Rule 15d-15(f) under the Exchange Act). Our management assessed the effectiveness of our internal control over financial reporting as of December 31, 2015. In making this assessment, our management used the criteria established in Internal Control – Integrated Framework (2013) issued by the Committee of Sponsoring Organizations of the Treadway Commission, or COSO Framework. Our management has concluded that, as of December 31, 2015, our internal control over financial reporting was effective based on these criteria.</w:t>
      </w:r>
    </w:p>
    <w:p>
      <w:pPr>
        <w:spacing w:after="0" w:line="158"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2015 was audited by CohnReznick LLP, our independent registered public accounting firm, as stated in their report appearing below, which expressed an unqualified opinion on the effectiveness of our internal control over financial reporting as of December 31, 2015.</w:t>
      </w:r>
    </w:p>
    <w:p>
      <w:pPr>
        <w:spacing w:after="0" w:line="18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were no changes in our internal control over financial reporting during the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2015 that have materially affected, or are reasonably likely to materially affect, our internal control over financial reporting.</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Our management, including our Chief Executive Officer and Chief Financial Officer, does not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TG Therapeutics, Inc. and Subsidiaries’ internal control over financial reporting as of December 31, 2015, based on criteria established in Internal Control-Integrated Framework (2013) issued by the Committee of Sponsoring Organizations of the Treadway Commission (COSO). TG Therapeutics,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TG Therapeutics, Inc.’s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TG Therapeutics, Inc. and Subsidiaries has maintained, in all material respects, effective internal control over financial reporting as of December 31, 2015 based on the criteria established in Internal Control-Integrated Framework (2013) issued by the Committee of Sponsoring Organizations of the Treadway Commission (COSO).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of TG Therapeutics, Inc. and Subsidiaries as of December 31, 2015 and 2014, and for each of the three years in the period ended December 31, 2015 and our report dated March 15, 2016, expressed an unqualified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2016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2016 Annual Meeting of Stockholders.</w:t>
      </w:r>
    </w:p>
    <w:p>
      <w:pPr>
        <w:spacing w:after="0" w:line="24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2016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2016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2016 Annual Meeting of Stockholders.</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50" w:name="page51"/>
    <w:bookmarkEnd w:id="50"/>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ind w:left="820"/>
              <w:spacing w:after="0"/>
              <w:rPr>
                <w:sz w:val="20"/>
                <w:szCs w:val="20"/>
                <w:color w:val="auto"/>
              </w:rPr>
            </w:pPr>
            <w:r>
              <w:rPr>
                <w:rFonts w:ascii="Arial" w:cs="Arial" w:eastAsia="Arial" w:hAnsi="Arial"/>
                <w:sz w:val="18"/>
                <w:szCs w:val="18"/>
                <w:b w:val="1"/>
                <w:bCs w:val="1"/>
                <w:color w:val="auto"/>
              </w:rPr>
              <w:t>1.</w:t>
            </w:r>
          </w:p>
        </w:tc>
        <w:tc>
          <w:tcPr>
            <w:tcW w:w="9240" w:type="dxa"/>
            <w:vAlign w:val="bottom"/>
          </w:tcPr>
          <w:p>
            <w:pPr>
              <w:ind w:left="100"/>
              <w:spacing w:after="0"/>
              <w:rPr>
                <w:sz w:val="20"/>
                <w:szCs w:val="20"/>
                <w:color w:val="auto"/>
              </w:rPr>
            </w:pPr>
            <w:r>
              <w:rPr>
                <w:rFonts w:ascii="Arial" w:cs="Arial" w:eastAsia="Arial" w:hAnsi="Arial"/>
                <w:sz w:val="18"/>
                <w:szCs w:val="18"/>
                <w:b w:val="1"/>
                <w:bCs w:val="1"/>
                <w:color w:val="auto"/>
              </w:rPr>
              <w:t>Consolidated Financial Statements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gridSpan w:val="2"/>
          </w:tcPr>
          <w:p>
            <w:pPr>
              <w:ind w:left="800"/>
              <w:spacing w:after="0"/>
              <w:rPr>
                <w:sz w:val="20"/>
                <w:szCs w:val="20"/>
                <w:color w:val="auto"/>
              </w:rPr>
            </w:pPr>
            <w:r>
              <w:rPr>
                <w:rFonts w:ascii="Arial" w:cs="Arial" w:eastAsia="Arial" w:hAnsi="Arial"/>
                <w:sz w:val="18"/>
                <w:szCs w:val="18"/>
                <w:color w:val="auto"/>
              </w:rPr>
              <w:t>The following consolidated financial statements of TG Therapeutics, Inc. are filed as part of this report.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9240" w:type="dxa"/>
            <w:vAlign w:val="bottom"/>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2015 and 2014</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2015, 2014 and 2013</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32"/>
        </w:trPr>
        <w:tc>
          <w:tcPr>
            <w:tcW w:w="1040" w:type="dxa"/>
            <w:vAlign w:val="bottom"/>
            <w:gridSpan w:val="2"/>
          </w:tcPr>
          <w:p>
            <w:pPr>
              <w:ind w:left="820"/>
              <w:spacing w:after="0"/>
              <w:rPr>
                <w:sz w:val="20"/>
                <w:szCs w:val="20"/>
                <w:color w:val="auto"/>
              </w:rPr>
            </w:pPr>
            <w:r>
              <w:rPr>
                <w:rFonts w:ascii="Arial" w:cs="Arial" w:eastAsia="Arial" w:hAnsi="Arial"/>
                <w:sz w:val="18"/>
                <w:szCs w:val="18"/>
                <w:b w:val="1"/>
                <w:bCs w:val="1"/>
                <w:color w:val="auto"/>
              </w:rPr>
              <w:t>2.</w:t>
            </w:r>
          </w:p>
        </w:tc>
        <w:tc>
          <w:tcPr>
            <w:tcW w:w="9240" w:type="dxa"/>
            <w:vAlign w:val="bottom"/>
          </w:tcPr>
          <w:p>
            <w:pPr>
              <w:ind w:left="100"/>
              <w:spacing w:after="0"/>
              <w:rPr>
                <w:sz w:val="20"/>
                <w:szCs w:val="20"/>
                <w:color w:val="auto"/>
              </w:rPr>
            </w:pPr>
            <w:r>
              <w:rPr>
                <w:rFonts w:ascii="Arial" w:cs="Arial" w:eastAsia="Arial" w:hAnsi="Arial"/>
                <w:sz w:val="18"/>
                <w:szCs w:val="18"/>
                <w:b w:val="1"/>
                <w:bCs w:val="1"/>
                <w:color w:val="auto"/>
              </w:rPr>
              <w:t>Consolidated Financial Statement Schedules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166" w:lineRule="exact"/>
        <w:rPr>
          <w:sz w:val="20"/>
          <w:szCs w:val="20"/>
          <w:color w:val="auto"/>
        </w:rPr>
      </w:pPr>
    </w:p>
    <w:p>
      <w:pPr>
        <w:ind w:left="1140" w:hanging="322"/>
        <w:spacing w:after="0"/>
        <w:tabs>
          <w:tab w:leader="none" w:pos="11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Exhibit Description</w:t>
      </w:r>
    </w:p>
    <w:p>
      <w:pPr>
        <w:spacing w:after="0" w:line="211" w:lineRule="exact"/>
        <w:rPr>
          <w:sz w:val="20"/>
          <w:szCs w:val="20"/>
          <w:color w:val="auto"/>
        </w:rPr>
      </w:pPr>
    </w:p>
    <w:p>
      <w:pPr>
        <w:ind w:left="1040" w:right="340" w:hanging="687"/>
        <w:spacing w:after="0" w:line="277" w:lineRule="auto"/>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TG Therapeutics, Inc. dated April 26, 2012 (incorporated by reference to Exhibit 3.2 to the Registrant’s Form 10-Q for the quarter ended June 30, 2012).</w:t>
      </w:r>
    </w:p>
    <w:p>
      <w:pPr>
        <w:spacing w:after="0" w:line="170" w:lineRule="exact"/>
        <w:rPr>
          <w:sz w:val="20"/>
          <w:szCs w:val="20"/>
          <w:color w:val="auto"/>
        </w:rPr>
      </w:pPr>
    </w:p>
    <w:p>
      <w:pPr>
        <w:ind w:left="1040" w:right="340" w:hanging="687"/>
        <w:spacing w:after="0" w:line="277" w:lineRule="auto"/>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Amended and Restated Certificate of Incorporation of TG Therapeutics, Inc. dated June 9, 2014 (incorporated by reference to Exhibit 3.2 to the Registrant’s Form 10-Q for the quarter ended June 30, 2014).</w:t>
      </w:r>
    </w:p>
    <w:p>
      <w:pPr>
        <w:spacing w:after="0" w:line="170" w:lineRule="exact"/>
        <w:rPr>
          <w:sz w:val="20"/>
          <w:szCs w:val="20"/>
          <w:color w:val="auto"/>
        </w:rPr>
      </w:pPr>
    </w:p>
    <w:p>
      <w:pPr>
        <w:ind w:left="1040" w:right="520" w:hanging="687"/>
        <w:spacing w:after="0" w:line="277" w:lineRule="auto"/>
        <w:tabs>
          <w:tab w:leader="none" w:pos="10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TG Therapeutics, Inc. dated July 18, 2014 (incorporated by reference to Exhibit 3.1 to the Registrant’s Current Report on Form 8-K filed on July 21, 2014).</w:t>
      </w:r>
    </w:p>
    <w:p>
      <w:pPr>
        <w:spacing w:after="0" w:line="170"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stock certificate (incorporated by reference to Exhibit 4.1 to the Registrant’s Form 10-K for the year ended December 31,</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2011).</w:t>
      </w:r>
    </w:p>
    <w:p>
      <w:pPr>
        <w:spacing w:after="0" w:line="211" w:lineRule="exact"/>
        <w:rPr>
          <w:sz w:val="20"/>
          <w:szCs w:val="20"/>
          <w:color w:val="auto"/>
        </w:rPr>
      </w:pPr>
    </w:p>
    <w:p>
      <w:pPr>
        <w:ind w:left="1040" w:right="480" w:hanging="687"/>
        <w:spacing w:after="0" w:line="277" w:lineRule="auto"/>
        <w:tabs>
          <w:tab w:leader="none" w:pos="10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warrant to purchase common stock of TG Therapeutics, Inc. (incorporated by reference to Exhibit 4.1 to the Registrant’s Current Report on Form 8-K filed on November 13, 2012).</w:t>
      </w:r>
    </w:p>
    <w:p>
      <w:pPr>
        <w:spacing w:after="0" w:line="170" w:lineRule="exact"/>
        <w:rPr>
          <w:sz w:val="20"/>
          <w:szCs w:val="20"/>
          <w:color w:val="auto"/>
        </w:rPr>
      </w:pPr>
    </w:p>
    <w:p>
      <w:pPr>
        <w:ind w:left="1040" w:right="380" w:hanging="687"/>
        <w:spacing w:after="0" w:line="277" w:lineRule="auto"/>
        <w:tabs>
          <w:tab w:leader="none" w:pos="10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Form of Warrant issued to stockholders (incorporated by reference to Exhibit 10.34 to the Registrant’s Form 10-K for the fiscal year ended December 31, 2011).</w:t>
      </w:r>
    </w:p>
    <w:p>
      <w:pPr>
        <w:spacing w:after="0" w:line="170" w:lineRule="exact"/>
        <w:rPr>
          <w:sz w:val="20"/>
          <w:szCs w:val="20"/>
          <w:color w:val="auto"/>
        </w:rPr>
      </w:pPr>
    </w:p>
    <w:p>
      <w:pPr>
        <w:ind w:left="1040" w:right="360" w:hanging="687"/>
        <w:spacing w:after="0" w:line="264" w:lineRule="auto"/>
        <w:tabs>
          <w:tab w:leader="none" w:pos="10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Stockholder Protection Rights Agreement, dated July 18, 2014 between TG Therapeutics, Inc. and American Stock Transfer &amp; Trust Company, LLC, as Rights Agent (incorporated by reference to Exhibit 4.1 to the Registrant’s Current Report on Form 8-K filed on July 21, 2014).</w:t>
      </w:r>
    </w:p>
    <w:p>
      <w:pPr>
        <w:spacing w:after="0" w:line="181" w:lineRule="exact"/>
        <w:rPr>
          <w:sz w:val="20"/>
          <w:szCs w:val="20"/>
          <w:color w:val="auto"/>
        </w:rPr>
      </w:pPr>
    </w:p>
    <w:p>
      <w:pPr>
        <w:ind w:left="1040" w:right="560" w:hanging="732"/>
        <w:spacing w:after="0" w:line="277" w:lineRule="auto"/>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Convertible Promissory Note, dated March 1, 2011 (incorporated by reference to Exhibit 10.1 to the Registrant’s Current Report on Form 8-K filed on March 7, 2011).</w:t>
      </w:r>
    </w:p>
    <w:p>
      <w:pPr>
        <w:spacing w:after="0" w:line="170"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Employment Agreement, effective December 29, 2011, between the Registrant and Michael Weiss (incorporated by reference to Exhibit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10.30 to the Registrant’s Form 10-K for the fiscal year ended December 31, 2011). †</w:t>
      </w:r>
    </w:p>
    <w:p>
      <w:pPr>
        <w:spacing w:after="0" w:line="211" w:lineRule="exact"/>
        <w:rPr>
          <w:sz w:val="20"/>
          <w:szCs w:val="20"/>
          <w:color w:val="auto"/>
        </w:rPr>
      </w:pPr>
    </w:p>
    <w:p>
      <w:pPr>
        <w:ind w:left="1040" w:right="840" w:hanging="732"/>
        <w:spacing w:after="0" w:line="308" w:lineRule="auto"/>
        <w:tabs>
          <w:tab w:leader="none" w:pos="10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Restricted Stock Subscription Agreement, effective December 29, 2011, between the Registrant and Michael Weiss (incorporated by reference to Exhibit 10.31 to the Registrant’s Form 10-K for the fiscal year ended December 31, 2011). †</w:t>
      </w: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099" w:gutter="0" w:footer="0" w:header="0"/>
        </w:sectPr>
      </w:pPr>
    </w:p>
    <w:bookmarkStart w:id="51" w:name="page52"/>
    <w:bookmarkEnd w:id="51"/>
    <w:p>
      <w:pPr>
        <w:ind w:left="1032" w:right="80" w:hanging="732"/>
        <w:spacing w:after="0" w:line="277" w:lineRule="auto"/>
        <w:tabs>
          <w:tab w:leader="none" w:pos="101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Amendment to Restricted Stock Agreement, dated July 12, 2013, by and between TG Therapeutics, Inc. and Michael S. Weiss (incorporated by reference to Exhibit 10.1 to the Registrant’s Current Report on Form 8-K filed on July 16, 2013). †</w:t>
      </w:r>
    </w:p>
    <w:p>
      <w:pPr>
        <w:spacing w:after="0" w:line="170" w:lineRule="exact"/>
        <w:rPr>
          <w:sz w:val="20"/>
          <w:szCs w:val="20"/>
          <w:color w:val="auto"/>
        </w:rPr>
      </w:pPr>
    </w:p>
    <w:p>
      <w:pPr>
        <w:ind w:left="1032" w:right="600" w:hanging="732"/>
        <w:spacing w:after="0" w:line="308" w:lineRule="auto"/>
        <w:tabs>
          <w:tab w:leader="none" w:pos="1012"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Amendment to Restricted Stock Agreements, dated December 31, 2014, by and between TG Therapeutics, Inc. and Michael S. Weiss (incorporated by reference to Exhibit 10.1 to the Registrant’s Current Report on Form 8-K filed on January 7, 2015). †</w:t>
      </w:r>
    </w:p>
    <w:p>
      <w:pPr>
        <w:spacing w:after="0" w:line="147" w:lineRule="exact"/>
        <w:rPr>
          <w:sz w:val="20"/>
          <w:szCs w:val="20"/>
          <w:color w:val="auto"/>
        </w:rPr>
      </w:pPr>
    </w:p>
    <w:p>
      <w:pPr>
        <w:ind w:left="1032" w:right="140" w:hanging="732"/>
        <w:spacing w:after="0" w:line="277" w:lineRule="auto"/>
        <w:tabs>
          <w:tab w:leader="none" w:pos="1012"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Employment Agreement, effective December 29, 2011, between the Registrant and Sean Power (incorporated by reference to Exhibit 10.32 to the Registrant’s Form 10-K for the fiscal year ended December 31, 2011). †</w:t>
      </w:r>
    </w:p>
    <w:p>
      <w:pPr>
        <w:spacing w:after="0" w:line="170" w:lineRule="exact"/>
        <w:rPr>
          <w:sz w:val="20"/>
          <w:szCs w:val="20"/>
          <w:color w:val="auto"/>
        </w:rPr>
      </w:pPr>
    </w:p>
    <w:p>
      <w:pPr>
        <w:ind w:left="1032" w:hanging="732"/>
        <w:spacing w:after="0" w:line="277" w:lineRule="auto"/>
        <w:tabs>
          <w:tab w:leader="none" w:pos="1012"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Restricted Stock Subscription Agreement, effective December 29, 2011 between the Registrant and Sean Power (incorporated by reference to Exhibit 10.33 to the Registrant’s Form 10-K for the fiscal year ended December 31, 2011). †</w:t>
      </w:r>
    </w:p>
    <w:p>
      <w:pPr>
        <w:spacing w:after="0" w:line="170" w:lineRule="exact"/>
        <w:rPr>
          <w:sz w:val="20"/>
          <w:szCs w:val="20"/>
          <w:color w:val="auto"/>
        </w:rPr>
      </w:pPr>
    </w:p>
    <w:p>
      <w:pPr>
        <w:ind w:left="1032" w:right="40" w:hanging="732"/>
        <w:spacing w:after="0" w:line="277" w:lineRule="auto"/>
        <w:tabs>
          <w:tab w:leader="none" w:pos="1012"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Amendment to Restricted Stock Agreement, dated July 12, 2013, by and between TG Therapeutics, Inc. and Sean A. Power (incorporated by reference to Exhibit 10.2 to the Registrant’s Current Report on Form 8-K filed on July 16, 2013). †</w:t>
      </w:r>
    </w:p>
    <w:p>
      <w:pPr>
        <w:spacing w:after="0" w:line="170" w:lineRule="exact"/>
        <w:rPr>
          <w:sz w:val="20"/>
          <w:szCs w:val="20"/>
          <w:color w:val="auto"/>
        </w:rPr>
      </w:pPr>
    </w:p>
    <w:p>
      <w:pPr>
        <w:ind w:left="1032" w:right="780" w:hanging="732"/>
        <w:spacing w:after="0" w:line="308" w:lineRule="auto"/>
        <w:tabs>
          <w:tab w:leader="none" w:pos="1012"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Amendment to Restricted Stock Agreements, dated December 31, 2014, by and between TG Therapeutics, Inc. and Sean A. Power (incorporated by reference to Exhibit 10.2 to the Registrant’s Current Report on Form 8-K filed on January 7, 2015). †</w:t>
      </w:r>
    </w:p>
    <w:p>
      <w:pPr>
        <w:spacing w:after="0" w:line="147" w:lineRule="exact"/>
        <w:rPr>
          <w:sz w:val="20"/>
          <w:szCs w:val="20"/>
          <w:color w:val="auto"/>
        </w:rPr>
      </w:pPr>
    </w:p>
    <w:p>
      <w:pPr>
        <w:ind w:left="1032" w:right="220" w:hanging="777"/>
        <w:spacing w:after="0" w:line="342" w:lineRule="auto"/>
        <w:tabs>
          <w:tab w:leader="none" w:pos="1012"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License Agreement, dated January 30, 2012, by and among the Registrant, GTC Biotherapeutics, Inc., LFB Biotechnologies S.A.S. and LFB/GTC LLC (incorporated by reference to Exhibit 10.35 to the Registrant’s Form 10-K for the fiscal year ended December 31, 2011). *</w:t>
      </w:r>
    </w:p>
    <w:p>
      <w:pPr>
        <w:spacing w:after="0" w:line="124" w:lineRule="exact"/>
        <w:rPr>
          <w:sz w:val="20"/>
          <w:szCs w:val="20"/>
          <w:color w:val="auto"/>
        </w:rPr>
      </w:pPr>
    </w:p>
    <w:p>
      <w:pPr>
        <w:ind w:left="1032" w:right="360" w:hanging="773"/>
        <w:spacing w:after="0" w:line="277" w:lineRule="auto"/>
        <w:tabs>
          <w:tab w:leader="none" w:pos="1012"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TG Therapeutics, Inc. Amended and Restated 2012 Incentive Plan, dated May 14, 2012 (incorporated by reference to Exhibit 10.1 to the Registrant’s Form 10-Q/A for the quarter ended March 31, 2012).</w:t>
      </w:r>
    </w:p>
    <w:p>
      <w:pPr>
        <w:spacing w:after="0" w:line="170" w:lineRule="exact"/>
        <w:rPr>
          <w:sz w:val="20"/>
          <w:szCs w:val="20"/>
          <w:color w:val="auto"/>
        </w:rPr>
      </w:pPr>
    </w:p>
    <w:p>
      <w:pPr>
        <w:ind w:left="1032" w:right="720" w:hanging="777"/>
        <w:spacing w:after="0" w:line="342" w:lineRule="auto"/>
        <w:tabs>
          <w:tab w:leader="none" w:pos="1012"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First Amendment to TG Therapeutics, Inc. Amended and Restated 2012 Incentive Plan, filed with the Registrant’s Definitive Proxy Statement for the Annual Meeting of Stockholders on June 4, 2015, filed on April 24, 2015, and incorporated herein by reference.</w:t>
      </w:r>
    </w:p>
    <w:p>
      <w:pPr>
        <w:spacing w:after="0" w:line="124" w:lineRule="exact"/>
        <w:rPr>
          <w:sz w:val="20"/>
          <w:szCs w:val="20"/>
          <w:color w:val="auto"/>
        </w:rPr>
      </w:pPr>
    </w:p>
    <w:p>
      <w:pPr>
        <w:ind w:left="1032" w:right="500" w:hanging="777"/>
        <w:spacing w:after="0" w:line="277" w:lineRule="auto"/>
        <w:tabs>
          <w:tab w:leader="none" w:pos="1012"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Sublicense Agreement between TG Therapeutics, Inc. and Ildong Pharmaceutical Co. Ltd., dated November 13, 2012 (incorporated by reference to Exhibit 10.37 to the Registrant’s Form 10-K for the fiscal year ended December 31, 2012). *</w:t>
      </w:r>
    </w:p>
    <w:p>
      <w:pPr>
        <w:spacing w:after="0" w:line="170" w:lineRule="exact"/>
        <w:rPr>
          <w:sz w:val="20"/>
          <w:szCs w:val="20"/>
          <w:color w:val="auto"/>
        </w:rPr>
      </w:pPr>
    </w:p>
    <w:p>
      <w:pPr>
        <w:ind w:left="1032" w:hanging="777"/>
        <w:spacing w:after="0" w:line="277" w:lineRule="auto"/>
        <w:tabs>
          <w:tab w:leader="none" w:pos="1012"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License Agreement between TG Therapeutics, Inc. and Ligand Pharmaceuticals Incorporated, dated June 23, 2014 (incorporated by reference to Exhibit 10.1 to the Registrant’s Form 10-Q for the quarter ended June 30, 2014).*</w:t>
      </w:r>
    </w:p>
    <w:p>
      <w:pPr>
        <w:spacing w:after="0" w:line="170" w:lineRule="exact"/>
        <w:rPr>
          <w:sz w:val="20"/>
          <w:szCs w:val="20"/>
          <w:color w:val="auto"/>
        </w:rPr>
      </w:pPr>
    </w:p>
    <w:p>
      <w:pPr>
        <w:ind w:left="1032" w:right="100" w:hanging="777"/>
        <w:spacing w:after="0" w:line="277" w:lineRule="auto"/>
        <w:tabs>
          <w:tab w:leader="none" w:pos="1012"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Licensing Agreement between TG Therapeutics, Inc. and Rhizen Pharmaceuticals SA, dated September 22, 2014 (incorporated by reference to Exhibit 10.1 to the Registrant’s Current Report on Form 8-K filed on January 20, 2015). *</w:t>
      </w:r>
    </w:p>
    <w:p>
      <w:pPr>
        <w:spacing w:after="0" w:line="170" w:lineRule="exact"/>
        <w:rPr>
          <w:sz w:val="20"/>
          <w:szCs w:val="20"/>
          <w:color w:val="auto"/>
        </w:rPr>
      </w:pPr>
    </w:p>
    <w:p>
      <w:pPr>
        <w:ind w:left="1032" w:right="40" w:hanging="777"/>
        <w:spacing w:after="0" w:line="277" w:lineRule="auto"/>
        <w:tabs>
          <w:tab w:leader="none" w:pos="1012"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Collaboration Agreement between TG Therapeutics, Inc. and Checkpoint Therapeutics, Inc., dated March 3, 2015 (incorporated by reference to Exhibit 10.1 to the Registrant’s Form 10-Q for the quarter ended March 31, 2015). *</w:t>
      </w:r>
    </w:p>
    <w:p>
      <w:pPr>
        <w:spacing w:after="0" w:line="170"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Principal Executive Officer</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Principal Financial Officer</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ind w:left="1032" w:right="40" w:hanging="708"/>
        <w:spacing w:after="0" w:line="259" w:lineRule="auto"/>
        <w:tabs>
          <w:tab w:leader="none" w:pos="10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following financial information from TG Therapeutics, Inc.’s Annual Report on Form 10-K for the year ended December 31, 2015, formatted in XBRL (eXtensible Business Reporting Language): (i) Consolidated Balance Sheets, (ii) Consolidated Statements of Operations, (iii) Consolidated Statements of Stockholders’ Equity, (iv) Consolidated Statements of Cash Flows, (v) the Notes to Consolidated Financial Statements.</w:t>
      </w:r>
    </w:p>
    <w:p>
      <w:pPr>
        <w:spacing w:after="0" w:line="321" w:lineRule="exact"/>
        <w:rPr>
          <w:rFonts w:ascii="Arial" w:cs="Arial" w:eastAsia="Arial" w:hAnsi="Arial"/>
          <w:sz w:val="18"/>
          <w:szCs w:val="18"/>
          <w:color w:val="auto"/>
        </w:rPr>
      </w:pPr>
    </w:p>
    <w:p>
      <w:pPr>
        <w:ind w:left="652" w:hanging="652"/>
        <w:spacing w:after="0"/>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1809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5592" w:right="4140" w:hanging="5592"/>
        <w:spacing w:after="0" w:line="762" w:lineRule="auto"/>
        <w:tabs>
          <w:tab w:leader="none" w:pos="6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omitted portions of this exhibit.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2"/>
          </w:cols>
          <w:pgMar w:left="248" w:top="1125" w:right="4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Report of Independent Registered Public Accounting Firm</w:t>
              </w:r>
            </w:hyperlink>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Balance Sheets as of December 31, 2015 and 2014</w:t>
              </w:r>
            </w:hyperlink>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 for the years ended December 31, 2015, 2014 and 2013</w:t>
              </w:r>
            </w:hyperlink>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Stockholders’ Equity for the years ended December 31, 2015, 2014 and 2013</w:t>
              </w:r>
            </w:hyperlink>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December 31, 2015, 2014 and 2013</w:t>
              </w:r>
            </w:hyperlink>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Notes to Consolidated Financial Statements</w:t>
              </w:r>
            </w:hyperlink>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6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TG Therapeutics, Inc. and Subsidiaries (the “Company”) as of December 31, 2015 and 2014, and the related consolidated statements of operations, stockholders’ equity and cash flows for each of the three years in the period ended December 31, 2015. TG Therapeutics, Inc.’s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TG Therapeutics, Inc. and Subsidiaries as of December 31, 2015 and 2014, and their results of operations and cash flows for each of the three years in the period ended December 31, 2015, in conformity with accounting principles generally accepted in the United States of America.</w:t>
      </w:r>
    </w:p>
    <w:p>
      <w:pPr>
        <w:spacing w:after="0" w:line="181"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TG Therapeutics, Inc. and Subsidiaries’ internal control over financial reporting as of December 31, 2015 based on criteria established in Internal Control – Integrated Framework (2013) issued by the Committee of Sponsoring Organizations of the Treadway Commission (COSO) and our report dated March 15, 2016 expressed an unqualified opinion.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 as of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55,061,329</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Short-term investment securities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22,166,512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23,062,034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receivable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Prepaid research and development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9,151,142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6,179,743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308,327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86,873,331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579,143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Long-term investment securities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25,003,032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799,391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799,391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171,182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137,101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113,473,201</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86,746,890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9,346,068</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3,991,625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818,472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152,381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211,549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10,528,470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1,371,429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11,899,899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6,645,006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Preferred stock, $0.001 par value per share (10,000,000 shares authorized, none issued and outstanding as of</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2015 and 2014)</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w w:val="91"/>
              </w:rPr>
              <w:t>Common stock, $0.001 par value per share (150,000,000 shares authorized, 54,095,110 and 44,974,248 shares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9"/>
              </w:rPr>
              <w:t>issued, 54,053,801 and 44,932,939 shares outstanding at December 31, 2015 and 2014, respectively)</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54,095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Contingently issuable shares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259,887,464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175,476,521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41,309 shares at December 31, 2015 and 2014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(234,337)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(158,133,926)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(95,185,280)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101,573,302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80,101,884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113,473,201</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86,746,890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152,381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152,381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stock expense associated with in-licensing agreements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5,350,094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4,261,406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8,731,566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1,041,519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43,445,817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26,004,687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12,621,161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47,707,223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40,086,347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13,662,680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11,435,686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12,373,726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4,161,629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4,189,488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3,413,400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2,496,461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15,625,174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15,787,126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6,658,090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in-process research and development</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2,797,600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63,332,397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55,873,473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23,118,370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(63,180,016)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(55,721,092)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(22,965,989)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(174,653)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(55,049)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(30,822)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972,736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930,701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952,888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notes payable</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(1,029,453)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(720,040)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(3,300,951)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(231,370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60,185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(2,487,779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(62,948,646)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(55,781,277)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(20,478,210)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3"/>
              </w:rPr>
              <w:t>Weighted average shares used in computing basic and diluted net loss per common share</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45,646,414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34,068,926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25,413,964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Contingently</w:t>
            </w:r>
          </w:p>
        </w:tc>
        <w:tc>
          <w:tcPr>
            <w:tcW w:w="1320" w:type="dxa"/>
            <w:vAlign w:val="bottom"/>
            <w:gridSpan w:val="4"/>
          </w:tcPr>
          <w:p>
            <w:pPr>
              <w:ind w:left="100"/>
              <w:spacing w:after="0"/>
              <w:rPr>
                <w:sz w:val="20"/>
                <w:szCs w:val="20"/>
                <w:color w:val="auto"/>
              </w:rPr>
            </w:pPr>
            <w:r>
              <w:rPr>
                <w:rFonts w:ascii="Arial" w:cs="Arial" w:eastAsia="Arial" w:hAnsi="Arial"/>
                <w:sz w:val="14"/>
                <w:szCs w:val="14"/>
                <w:b w:val="1"/>
                <w:bCs w:val="1"/>
                <w:color w:val="auto"/>
              </w:rPr>
              <w:t>Additional paid-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issuable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w:t>
            </w:r>
          </w:p>
        </w:tc>
        <w:tc>
          <w:tcPr>
            <w:tcW w:w="1920" w:type="dxa"/>
            <w:vAlign w:val="bottom"/>
            <w:gridSpan w:val="6"/>
          </w:tcPr>
          <w:p>
            <w:pPr>
              <w:jc w:val="right"/>
              <w:ind w:right="48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6"/>
                <w:szCs w:val="16"/>
                <w:color w:val="auto"/>
              </w:rPr>
            </w:pPr>
          </w:p>
        </w:tc>
        <w:tc>
          <w:tcPr>
            <w:tcW w:w="110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capital</w:t>
            </w:r>
          </w:p>
        </w:tc>
        <w:tc>
          <w:tcPr>
            <w:tcW w:w="90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19"/>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8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1, 2013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25,820,738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25,821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34,534,805</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13,526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(84,538)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(18,925,793)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15,550,301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tcPr>
          <w:p>
            <w:pPr>
              <w:spacing w:after="0" w:line="130" w:lineRule="exact"/>
              <w:rPr>
                <w:sz w:val="20"/>
                <w:szCs w:val="20"/>
                <w:color w:val="auto"/>
              </w:rPr>
            </w:pPr>
            <w:r>
              <w:rPr>
                <w:rFonts w:ascii="Arial" w:cs="Arial" w:eastAsia="Arial" w:hAnsi="Arial"/>
                <w:sz w:val="14"/>
                <w:szCs w:val="14"/>
                <w:color w:val="auto"/>
              </w:rPr>
              <w:t>Issuance of common stock in connection with</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auto"/>
              </w:rPr>
              <w:t>exercise of warrants</w:t>
            </w:r>
          </w:p>
        </w:tc>
        <w:tc>
          <w:tcPr>
            <w:tcW w:w="780" w:type="dxa"/>
            <w:vAlign w:val="bottom"/>
          </w:tcPr>
          <w:p>
            <w:pPr>
              <w:jc w:val="right"/>
              <w:spacing w:after="0"/>
              <w:rPr>
                <w:sz w:val="20"/>
                <w:szCs w:val="20"/>
                <w:color w:val="auto"/>
              </w:rPr>
            </w:pPr>
            <w:r>
              <w:rPr>
                <w:rFonts w:ascii="Arial" w:cs="Arial" w:eastAsia="Arial" w:hAnsi="Arial"/>
                <w:sz w:val="14"/>
                <w:szCs w:val="14"/>
                <w:color w:val="auto"/>
              </w:rPr>
              <w:t>1,013,009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2,279,760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2,280,773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 connection with</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cashless exercise of warrants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3,024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944,464</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(944)</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in public offering (net of</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offering costs of $2,664,970)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6,555,000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6,555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37,641,725</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37,648,280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tcPr>
          <w:p>
            <w:pPr>
              <w:spacing w:after="0" w:line="130" w:lineRule="exact"/>
              <w:rPr>
                <w:sz w:val="20"/>
                <w:szCs w:val="20"/>
                <w:color w:val="auto"/>
              </w:rPr>
            </w:pPr>
            <w:r>
              <w:rPr>
                <w:rFonts w:ascii="Arial" w:cs="Arial" w:eastAsia="Arial" w:hAnsi="Arial"/>
                <w:sz w:val="14"/>
                <w:szCs w:val="14"/>
                <w:color w:val="auto"/>
              </w:rPr>
              <w:t>Compensation in respect of restricted stock and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120"/>
              <w:spacing w:after="0" w:line="149" w:lineRule="exact"/>
              <w:rPr>
                <w:sz w:val="20"/>
                <w:szCs w:val="20"/>
                <w:color w:val="auto"/>
              </w:rPr>
            </w:pPr>
            <w:r>
              <w:rPr>
                <w:rFonts w:ascii="Arial" w:cs="Arial" w:eastAsia="Arial" w:hAnsi="Arial"/>
                <w:sz w:val="14"/>
                <w:szCs w:val="14"/>
                <w:color w:val="auto"/>
                <w:w w:val="97"/>
              </w:rPr>
              <w:t>stock options granted to employees, directors and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auto"/>
              </w:rPr>
              <w:t>consultants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5,203,148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5,203,148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Surrender of common stock for tax withholding</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(149,799)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(149,799)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(20,478,210)</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(20,478,210)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2013</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34,336,235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34,336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79,658,490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41,309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(234,337)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(39,404,003)</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40,054,492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 connection with</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1,560,826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3,555,063</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3,556,624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tcPr>
          <w:p>
            <w:pPr>
              <w:spacing w:after="0" w:line="130" w:lineRule="exact"/>
              <w:rPr>
                <w:sz w:val="20"/>
                <w:szCs w:val="20"/>
                <w:color w:val="auto"/>
              </w:rPr>
            </w:pPr>
            <w:r>
              <w:rPr>
                <w:rFonts w:ascii="Arial" w:cs="Arial" w:eastAsia="Arial" w:hAnsi="Arial"/>
                <w:sz w:val="14"/>
                <w:szCs w:val="14"/>
                <w:color w:val="auto"/>
              </w:rPr>
              <w:t>Issuance of common stock in connection with</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auto"/>
              </w:rPr>
              <w:t>exercise of options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46,000</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202,354</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202,400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982,793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(983)</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in public offering (net of</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offering costs of $1,344,440)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2,702,809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2,703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16,788,705</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16,791,408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in At the Market offering</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auto"/>
              </w:rPr>
              <w:t>(net of offering costs of $1,101,572)</w:t>
            </w:r>
          </w:p>
        </w:tc>
        <w:tc>
          <w:tcPr>
            <w:tcW w:w="780" w:type="dxa"/>
            <w:vAlign w:val="bottom"/>
          </w:tcPr>
          <w:p>
            <w:pPr>
              <w:jc w:val="right"/>
              <w:spacing w:after="0"/>
              <w:rPr>
                <w:sz w:val="20"/>
                <w:szCs w:val="20"/>
                <w:color w:val="auto"/>
              </w:rPr>
            </w:pPr>
            <w:r>
              <w:rPr>
                <w:rFonts w:ascii="Arial" w:cs="Arial" w:eastAsia="Arial" w:hAnsi="Arial"/>
                <w:sz w:val="14"/>
                <w:szCs w:val="14"/>
                <w:color w:val="auto"/>
              </w:rPr>
              <w:t>4,850,055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4,850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48,818,002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48,822,852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Compensation in respect of restricted stock and</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stock options granted to employees, directors and</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consultants</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21,105,292</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21,105,292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tcPr>
          <w:p>
            <w:pPr>
              <w:spacing w:after="0" w:line="130" w:lineRule="exact"/>
              <w:rPr>
                <w:sz w:val="20"/>
                <w:szCs w:val="20"/>
                <w:color w:val="auto"/>
              </w:rPr>
            </w:pPr>
            <w:r>
              <w:rPr>
                <w:rFonts w:ascii="Arial" w:cs="Arial" w:eastAsia="Arial" w:hAnsi="Arial"/>
                <w:sz w:val="14"/>
                <w:szCs w:val="14"/>
                <w:color w:val="auto"/>
              </w:rPr>
              <w:t>Common stock issued in connection with in-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auto"/>
              </w:rPr>
              <w:t>licensing agreements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496,530</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5,349,597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5,350,093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(55,781,277)</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(55,781,277)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line="142" w:lineRule="exact"/>
              <w:rPr>
                <w:sz w:val="20"/>
                <w:szCs w:val="20"/>
                <w:color w:val="auto"/>
              </w:rPr>
            </w:pPr>
            <w:r>
              <w:rPr>
                <w:rFonts w:ascii="Arial" w:cs="Arial" w:eastAsia="Arial" w:hAnsi="Arial"/>
                <w:sz w:val="14"/>
                <w:szCs w:val="14"/>
                <w:color w:val="auto"/>
              </w:rPr>
              <w:t>Balance at December 31, 2014</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44,974,248</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44,974</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175,476,521</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41,309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(234,337)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(95,185,280)</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80,101,884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40" w:type="dxa"/>
            <w:vAlign w:val="bottom"/>
          </w:tcPr>
          <w:p>
            <w:pPr>
              <w:spacing w:after="0" w:line="130" w:lineRule="exact"/>
              <w:rPr>
                <w:sz w:val="20"/>
                <w:szCs w:val="20"/>
                <w:color w:val="auto"/>
              </w:rPr>
            </w:pPr>
            <w:r>
              <w:rPr>
                <w:rFonts w:ascii="Arial" w:cs="Arial" w:eastAsia="Arial" w:hAnsi="Arial"/>
                <w:sz w:val="14"/>
                <w:szCs w:val="14"/>
                <w:color w:val="auto"/>
              </w:rPr>
              <w:t>Issuance of common stock in connection with</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auto"/>
              </w:rPr>
              <w:t>exercise of warrants</w:t>
            </w:r>
          </w:p>
        </w:tc>
        <w:tc>
          <w:tcPr>
            <w:tcW w:w="780" w:type="dxa"/>
            <w:vAlign w:val="bottom"/>
          </w:tcPr>
          <w:p>
            <w:pPr>
              <w:jc w:val="right"/>
              <w:spacing w:after="0"/>
              <w:rPr>
                <w:sz w:val="20"/>
                <w:szCs w:val="20"/>
                <w:color w:val="auto"/>
              </w:rPr>
            </w:pPr>
            <w:r>
              <w:rPr>
                <w:rFonts w:ascii="Arial" w:cs="Arial" w:eastAsia="Arial" w:hAnsi="Arial"/>
                <w:sz w:val="14"/>
                <w:szCs w:val="14"/>
                <w:color w:val="auto"/>
              </w:rPr>
              <w:t>2,946,703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2,946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1,064,393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1,067,339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 connection with</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cashless exercise of warrants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2,915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tcPr>
          <w:p>
            <w:pPr>
              <w:spacing w:after="0" w:line="130" w:lineRule="exact"/>
              <w:rPr>
                <w:sz w:val="20"/>
                <w:szCs w:val="20"/>
                <w:color w:val="auto"/>
              </w:rPr>
            </w:pPr>
            <w:r>
              <w:rPr>
                <w:rFonts w:ascii="Arial" w:cs="Arial" w:eastAsia="Arial" w:hAnsi="Arial"/>
                <w:sz w:val="14"/>
                <w:szCs w:val="14"/>
                <w:color w:val="auto"/>
              </w:rPr>
              <w:t>Issuance of common stock in connection with</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auto"/>
              </w:rPr>
              <w:t>conversion of notes payable</w:t>
            </w:r>
          </w:p>
        </w:tc>
        <w:tc>
          <w:tcPr>
            <w:tcW w:w="780" w:type="dxa"/>
            <w:vAlign w:val="bottom"/>
          </w:tcPr>
          <w:p>
            <w:pPr>
              <w:jc w:val="right"/>
              <w:spacing w:after="0"/>
              <w:rPr>
                <w:sz w:val="20"/>
                <w:szCs w:val="20"/>
                <w:color w:val="auto"/>
              </w:rPr>
            </w:pPr>
            <w:r>
              <w:rPr>
                <w:rFonts w:ascii="Arial" w:cs="Arial" w:eastAsia="Arial" w:hAnsi="Arial"/>
                <w:sz w:val="14"/>
                <w:szCs w:val="14"/>
                <w:color w:val="auto"/>
              </w:rPr>
              <w:t>522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6,924</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6,925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1,992,535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1,993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(1,993)</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(31,166)</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common stock to related party for cash</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(See Note 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114,855</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749,890</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tcPr>
          <w:p>
            <w:pPr>
              <w:spacing w:after="0" w:line="130" w:lineRule="exact"/>
              <w:rPr>
                <w:sz w:val="20"/>
                <w:szCs w:val="20"/>
                <w:color w:val="auto"/>
              </w:rPr>
            </w:pPr>
            <w:r>
              <w:rPr>
                <w:rFonts w:ascii="Arial" w:cs="Arial" w:eastAsia="Arial" w:hAnsi="Arial"/>
                <w:sz w:val="14"/>
                <w:szCs w:val="14"/>
                <w:color w:val="auto"/>
              </w:rPr>
              <w:t>Issuance of common stock in At-the-Market</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ind w:left="120"/>
              <w:spacing w:after="0"/>
              <w:rPr>
                <w:sz w:val="20"/>
                <w:szCs w:val="20"/>
                <w:color w:val="auto"/>
              </w:rPr>
            </w:pPr>
            <w:r>
              <w:rPr>
                <w:rFonts w:ascii="Arial" w:cs="Arial" w:eastAsia="Arial" w:hAnsi="Arial"/>
                <w:sz w:val="14"/>
                <w:szCs w:val="14"/>
                <w:color w:val="auto"/>
              </w:rPr>
              <w:t>offering (net of offering costs of $1,310,591)</w:t>
            </w:r>
          </w:p>
        </w:tc>
        <w:tc>
          <w:tcPr>
            <w:tcW w:w="780" w:type="dxa"/>
            <w:vAlign w:val="bottom"/>
          </w:tcPr>
          <w:p>
            <w:pPr>
              <w:jc w:val="right"/>
              <w:spacing w:after="0"/>
              <w:rPr>
                <w:sz w:val="20"/>
                <w:szCs w:val="20"/>
                <w:color w:val="auto"/>
              </w:rPr>
            </w:pPr>
            <w:r>
              <w:rPr>
                <w:rFonts w:ascii="Arial" w:cs="Arial" w:eastAsia="Arial" w:hAnsi="Arial"/>
                <w:sz w:val="14"/>
                <w:szCs w:val="14"/>
                <w:color w:val="auto"/>
              </w:rPr>
              <w:t>4,094,498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4,094</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66,894,609</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66,898,703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Compensation in respect of restricted stock granted</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 employees, directors and consultants</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15,697,092</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15,697,092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(62,948,646)</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(62,948,646)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December 31, 2015</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54,095,110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54,095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259,887,464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41,309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(234,337</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2"/>
              </w:rPr>
              <w:t>(158,133,926</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5"/>
              </w:rPr>
              <w:t>101,573,302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loss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(62,948,646)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(55,781,277)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(20,478,210)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6"/>
              </w:rPr>
              <w:t>Adjustments to reconcile consolidated net loss to net cash used in operating activities: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notes payable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15,697,092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21,105,292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5,203,148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Noncash stock expense associated with in-licensing agreements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5,350,094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Impairment of in-process research and development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2,797,600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Amortization of premium on investment securities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536,142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193,581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notes payable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210,661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restricted cash</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(575,012)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 decrease in other current assets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(3,105,771)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(4,563,067)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229,258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accrued interest receivable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 in other assets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(41,722)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accounts payable and accrued expenses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5,470,915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(603,377)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 (decrease) in interest payable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(94,590)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66,506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deferred revenue</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(152,381)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(44,690,272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(35,059,919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(10,739,110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(42,217)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(18,570)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held-to-maturity securities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(48,993,652)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(18,336,719)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(4,919,871)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maturity of short-term securities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24,350,000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(24,685,869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(18,355,289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(4,925,552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warrants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1,067,339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3,556,624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the exercise of options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202,400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Payment of notes payable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(677,778)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sale of common stock, net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67,760,517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65,614,260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37,648,280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(51,980)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68,723,686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68,643,526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39,694,133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(652,455)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15,228,318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24,029,471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55,713,784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40,485,466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16,455,995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55,061,329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55,713,784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40,485,466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Reclassification of deferred financing costs to additional paid-in capital</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(111,810)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payable to common 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left="4200"/>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novel treatments for B-cell malignancies and autoimmune diseases. Currently, the Company is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The Company also has pre-clinical programs seeking to develop IRAK4 (interleukin-1 receptor-associated kinase 4) inhibitors and anti-PD-L1 and anti-GITR antibodies.</w:t>
      </w:r>
    </w:p>
    <w:p>
      <w:pPr>
        <w:spacing w:after="0" w:line="18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December 31, 2015, we have an accumulated deficit of $158.1 million.</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2015, we had $102.4 million in cash and cash equivalents, investment securities, and interest receivable. We currently anticipate that our cash and cash equivalents to be sufficient to fund our anticipated operating cash requirements for more than 24 months from December 31, 2015.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May 2014, the Financial Accounting Standards Board (“FASB”) issued an update to Accounting Standards Codification (“ASC”) 606, Revenue from Contracts with Customers. This update to ASC 606 provides a five-step process to determine when and how revenue is recognized. The core principle of the guidance is that a Company should recognize revenue upon transfer of promised goods or services to customers in an amount that reflects the expected consideration to be received in exchange for those goods or services. This update to ASC 606 will also result in enhanced disclosures about revenue, providing guidance for transactions that were not previously addressed comprehensively, and improving guidance for multiple-element arrangements. This update to ASC 606 is effective for us beginning in fiscal 2018. We are currently evaluating the impact of this update on our consolidated financial statements.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left="4200"/>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August 2014, the FASB issued Accounting Standards Update 2014-15, Presentation of Financial Statements—Going Concern,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This update will become effective beginning January 1, 2017, with early adoption permitted. The provisions of this standard are not expected to significantly impact the Company.</w:t>
      </w:r>
    </w:p>
    <w:p>
      <w:pPr>
        <w:spacing w:after="0" w:line="15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November 2015, the FASB issued Accounting Standards Update 2015-17, Balance Sheet Classification of Deferred Taxes. This update requires that deferred tax liabilities and assets be classified as noncurrent in a classified statement of financial position. The amendments in this update apply to all entities that present a classified statement of financial position. This update will become effective for public business entities for annual periods beginning after December 15, 2016, and interim periods within those annual periods. The provisions of this standard are not expected to significantly impact the Company.</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February 2016, the FASB issued ASU No. 2016-02, “Leases (Topic 842),”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The Company is currently evaluating the impact the standard may have on its consolidated financial statements and related disclosures.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record cash pledged or held in trust as restricted cash. As of December 31, 2015, we have approximately $0.6 million of restricted cash pledged to secure a line of credit as a security deposit for a Desk Agreement (see Note 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Investment securities at December 31, 2015 and 2014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ind w:left="4200"/>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short-term investments and long-term investments. The Company maintains its cash and cash equivalents with high-credit quality financial institutions. At times, such amounts may exceed federally-insured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w:t>
      </w:r>
    </w:p>
    <w:p>
      <w:pPr>
        <w:spacing w:after="0" w:line="5" w:lineRule="exact"/>
        <w:rPr>
          <w:sz w:val="20"/>
          <w:szCs w:val="20"/>
          <w:color w:val="auto"/>
        </w:rPr>
      </w:pPr>
    </w:p>
    <w:p>
      <w:pPr>
        <w:ind w:right="220" w:firstLine="8"/>
        <w:spacing w:after="0" w:line="255"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Prepaid research and development in our consolidated balance sheet includes, among other things, certain fees related to development and manufacturing services. These development and manufacturing agreements often require payments in advance of services performed or goods received. Accordingly, as of December 31, 2015 and 2014, we recorded approximately $7.7 million and $5.8 million, respectively, in prepaid research and development related to such advance agreements.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 BASED COMPENSATION</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8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 becomes probable.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Basic net loss per common share is calculated by dividing net loss applicable to common shares by the weighted-average number of common shares outstanding for the period. Diluted net loss per common share is the same as basic net loss per common share,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7,064,396, 8,890,796 and 10,618,584 at December 31, 2015, 2014 and 2013, respectively. During the years ended December 31, 2015, 2014 and 2013 the Company incurred a net loss, therefore, all of the dilutive securities are excluded from the computation of diluted loss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GOODWILL</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cash and cash equivalents at December 31,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880" w:type="dxa"/>
            <w:vAlign w:val="bottom"/>
            <w:gridSpan w:val="4"/>
          </w:tcPr>
          <w:p>
            <w:pPr>
              <w:ind w:left="2260"/>
              <w:spacing w:after="0"/>
              <w:rPr>
                <w:sz w:val="20"/>
                <w:szCs w:val="20"/>
                <w:color w:val="auto"/>
              </w:rPr>
            </w:pPr>
            <w:r>
              <w:rPr>
                <w:rFonts w:ascii="Arial" w:cs="Arial" w:eastAsia="Arial" w:hAnsi="Arial"/>
                <w:sz w:val="18"/>
                <w:szCs w:val="18"/>
                <w:b w:val="1"/>
                <w:bCs w:val="1"/>
                <w:color w:val="auto"/>
                <w:w w:val="98"/>
              </w:rPr>
              <w:t>December 31, 2015</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6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8,265,583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12,364,537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Checking and bank deposits</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46,795,746</w:t>
            </w:r>
          </w:p>
        </w:tc>
        <w:tc>
          <w:tcPr>
            <w:tcW w:w="3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43,349,247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55,061,329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55,713,784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our investments as held-to-maturity. Held-to-maturity investments are recorded at amortized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December 31, 2015 and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rPr>
              <w:t>December 31, 2015</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as adjusted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holding losses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2"/>
              </w:rPr>
              <w:t>Obligations of domestic governmental agencies (maturing between January</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2016 and December 2016) (held-to-maturity)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22,166,512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22,822</w:t>
            </w:r>
          </w:p>
        </w:tc>
        <w:tc>
          <w:tcPr>
            <w:tcW w:w="260" w:type="dxa"/>
            <w:vAlign w:val="bottom"/>
            <w:gridSpan w:val="2"/>
          </w:tcPr>
          <w:p>
            <w:pPr>
              <w:jc w:val="right"/>
              <w:ind w:right="77"/>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w w:val="90"/>
              </w:rPr>
              <w:t>22,143,690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Obligations of domestic governmental agencies (maturing between January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2017 and December 2017) (held-to-maturity)</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25,003,032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85,846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24,917,186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 short-term and long-term investment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47,169,544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108,668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47,060,876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Obligations of domestic governmental agencies (maturing between January 2015 and December 2015) (held-to-maturity)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short-term investment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8"/>
          <w:szCs w:val="18"/>
          <w:b w:val="1"/>
          <w:bCs w:val="1"/>
          <w:color w:val="auto"/>
        </w:rPr>
        <w:t>December 31,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Estimated</w:t>
            </w:r>
          </w:p>
        </w:tc>
      </w:tr>
      <w:tr>
        <w:trPr>
          <w:trHeight w:val="234"/>
        </w:trPr>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as adjusted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holding 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holding losses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65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23,062,034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5,806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23,057,150</w:t>
            </w:r>
          </w:p>
        </w:tc>
      </w:tr>
      <w:tr>
        <w:trPr>
          <w:trHeight w:val="223"/>
        </w:trPr>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23,062,034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23,057,150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440" w:space="180"/>
            <w:col w:w="5800"/>
          </w:cols>
          <w:pgMar w:left="240" w:top="904" w:right="239" w:bottom="1440" w:gutter="0" w:footer="0" w:header="0"/>
          <w:type w:val="continuous"/>
        </w:sectPr>
      </w:pPr>
    </w:p>
    <w:p>
      <w:pPr>
        <w:spacing w:after="0" w:line="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December 31, 2015 and 2014, the fair values of cash and cash equivalents, restricted cash, and notes and interest payable, current portion approximate their carrying value.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cumulative liability including accrued and unpaid interest of the 5% Notes was approximately $19.9 million at December 31, 2015 and $19.5 million at December 31, 2014. No payments have been made on the 5% Notes as of December 31, 2015.</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December 31, 2015 and 2014.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the fair value measurements of applicable financial liabilities as of December 31,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7"/>
              </w:rPr>
              <w:t>as of December 31, 2015</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211,549</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7"/>
              </w:rPr>
              <w:t>as of December 31, 2014</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275,190</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275,190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for the years ended December 31, 2014 and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64,529</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Interest accrued on face value of 5% Notes</w:t>
            </w:r>
          </w:p>
        </w:tc>
        <w:tc>
          <w:tcPr>
            <w:tcW w:w="4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930,701</w:t>
            </w:r>
          </w:p>
        </w:tc>
        <w:tc>
          <w:tcPr>
            <w:tcW w:w="60" w:type="dxa"/>
            <w:vAlign w:val="bottom"/>
          </w:tcPr>
          <w:p>
            <w:pPr>
              <w:spacing w:after="0"/>
              <w:rPr>
                <w:sz w:val="18"/>
                <w:szCs w:val="18"/>
                <w:color w:val="auto"/>
              </w:rPr>
            </w:pPr>
          </w:p>
        </w:tc>
      </w:tr>
      <w:tr>
        <w:trPr>
          <w:trHeight w:val="230"/>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Level 3 liabilities</w:t>
            </w:r>
          </w:p>
        </w:tc>
        <w:tc>
          <w:tcPr>
            <w:tcW w:w="4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(720,040)</w:t>
            </w: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275,190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accrued on face value of 5% Notes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972,736</w:t>
            </w:r>
          </w:p>
        </w:tc>
        <w:tc>
          <w:tcPr>
            <w:tcW w:w="6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Conversion of 5% Notes</w:t>
            </w:r>
          </w:p>
        </w:tc>
        <w:tc>
          <w:tcPr>
            <w:tcW w:w="48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(6,924)</w:t>
            </w:r>
          </w:p>
        </w:tc>
      </w:tr>
      <w:tr>
        <w:trPr>
          <w:trHeight w:val="230"/>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Level 3 liabilities</w:t>
            </w:r>
          </w:p>
        </w:tc>
        <w:tc>
          <w:tcPr>
            <w:tcW w:w="4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(1,029,453)</w:t>
            </w: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There were no nonrecurring fair value measurements during the year ended December 31, 2015. The following table summarizes the assets measured at fair value on a nonrecurring basis as of December 31,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Fair value measurements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7"/>
              </w:rPr>
              <w:t>as of December 31, 2013</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w w:val="95"/>
              </w:rPr>
              <w:t>Total impairment charge</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for the year ended</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December 31, 2013</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1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(2,797,600)</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(2,797,600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December 31, 2013, as a result of expiring intellectual property rights, uncertain regulatory pathways, and market changes affecting the commercial potential for the Ariston in-process research and development asset (AST-726), we determined that the asset's carrying value was no longer recoverable. Accordingly, during the year ended December 31, 2013, we recorded a non-cash impairment charge of $2,797,600, which was recorded as impairment of in-process research and development in our consolidated statements of operations. The fair value of this asset was determined to be zero primarily as a result of the expiring intellectual property rights surrounding the asset. This fair value measurement technique is based on significant inputs not observable in the market and thus represents a Level 3 measurement within the fair value hierarchy.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Plan</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Accordingly, the Board of Directors declared a distribution of one right (a “Right”) for each outstanding share of common stock, to stockholders of record at the close of business on July 28, 2014,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one one-thousandth (1/1,000) of a share of Series A Junior Participating Preferred Stock, par value $0.001 per share (the "Preferred Stock"), at a purchase price of $100.00 (the "Exercise Price"), subject to adjustment. The description and terms of the Rights are set forth in the Rights Agreement. Each one one-thousandth of a share of Preferred Stock has substantially the same rights as one share of common stock. Subject to the terms and conditions of the Rights Agreement, Rights become exercisable ten days after the public announcement that a “Person” has become an “Acquiring Person” (as each such term is defined in the Rights Agreement). Any Rights held by an Acquiring Person are void and may not be exercised.</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112"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If a Person becomes an Acquiring Person, all holders of Rights, except the Acquiring Person, may purchase at the Right’s then-current exercise price, common stock having a market value equal to twice the exercise price. Moreover, at any time after a Person becomes an Acquiring Person (unless such Person acquires 50 percent or more of our common stock then outstanding, as more fully described in the Rights Agreement), the Board of Directors may exchange all (but not less than all) of the then outstanding Rights (other than rights owned by such Person, which would have become void) for shares of common stock at an exchange ratio of one share of common stock per Right, appropriately adjusted in order to protect the interests of holders of Rights.</w:t>
      </w:r>
    </w:p>
    <w:p>
      <w:pPr>
        <w:spacing w:after="0" w:line="15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Rights Agreement was approved by our Board of Directors on July 18, 2014. The Rights will expire at the close of business on its ten year anniversary, unless earlier exchanged or terminated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amended and restated certificate of incorporation authorizes the issuance of up to 150,000,000 shares of $0.001 par value common stock. At the annual shareholder meeting on June 6, 2014, an amendment to the Company's Certificate of Incorporation to decrease its authorized share capital by 350,000,000 shares from 500,000,000 to 150,000,000 was approved.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Total net proceeds from this offering, including the overallotment, were approximately $37.6 million, net of underwriting discounts and offering expenses of approximately $2.7 million. The shares were sold under a shelf registration statement on Form S-3 (File No. 333-189015) that was previously filed and declared effective by the SEC on June 17, 2013.</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March 11, 2014, we announced the pricing of an underwritten sale of 2,702,809 shares of our common stock at a price of $6.71 per share for gross proceeds of approximately $18.1 million. Net proceeds from this offering were approximately $16.8 million, net of underwriting discounts and offering expenses of approximately $1.3 million. The shares were sold under a shelf registration statement on Form S-3 (File No. 333-189015) that was previously filed and declared effective by the SEC on June 17, 2013.</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June 21, 2013, we entered into an At-the-Market Issuance Sales Agreement (the “2013 ATM”) with MLV &amp; Co. LLC (“MLV”) under which we could issue and sell shares of our common stock, having an aggregate offering price of up to $50.0 million, from time to time through MLV, acting as the sales agent. Under the agreement we would pay MLV a commission rate of up to 3.0% of the gross proceeds from the sale of any shares of common stock sold through MLV.</w:t>
      </w:r>
    </w:p>
    <w:p>
      <w:pPr>
        <w:spacing w:after="0" w:line="187"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During the year ended December 31, 2014, we sold a total of 4,850,055 shares of common stock under the 2013 ATM for aggregate total gross proceeds of approximately $50.0 million at an average selling price of $10.31 per share. Net proceeds were approximately $48.9 million after deducting commissions and other transactions costs.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(the “2015 ATM”) such that we may issue and sell additional shares of our common stock, having an aggregate offering price of up to $75.0 million, from time to time through MLV, acting as the sales agent. Under the 2015 ATM we pay MLV a commission rate of up to 3.0% of the gross proceeds from the sale of any shares of common stock sold through MLV.</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During the year ended December 31, 2015, we sold a total of 4,094,498 shares of common stock under the 2015 ATM for aggregate total gross proceeds of approximately $68.2 million at an average selling price of $16.66 per share, resulting in net proceeds of approximately $67.0 million after deducting commissions and other transaction costs.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currently have two shelf registration statements on Form S-3 filed and declared effective by the SEC (File No. 333-189015 and File No. 333-201339). After deducting shares already sold, approximately $248 million of common stock remains available for sale under these shelf registration statements. We may offer the securities under our shelf registration statements from time to time in response to market conditions or other circumstances if we believe such a plan is in the best interests of our stockholders. We believe that these shelf registration statements provide us with the flexibility to raise additional capital to finance our operations as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31, 2015 and 2014, 41,309 shares of common stock are being held in Treasury, at a cost of approximately $234,000, representing the fair market value on the date the shares were surrendered to the Company to satisfy employee tax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May 2012, we established the TG Therapeutics, Inc. Amended and Restated 2012 Incentive Plan (“2012 Incentive Plan”). Under the 2012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Incentive Plan, our compensation committee of board of directors is authorized to grant stock-based awards to directors, consultants, employees and officers.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2012 Incentive Plan authorizes grants to purchase up to 6,000,000 shares of authorized but unissued common stock.</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 amendment to the 2012 Incentive Plan was approved by stockholders in June 2015. Pursuant to this amendment, 6,000,000 shares were added to the 2012 Incentive Plan. As of December 31, 2015, no options were outstanding and up to an additional 4,164,631 shares may be issued under the 2012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years ended December 31, 2015,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intrinsic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of shares</w:t>
            </w: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exercise price</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term</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61.08</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2,249.85</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Expired</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46,591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46.37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Granted</w:t>
            </w:r>
          </w:p>
        </w:tc>
        <w:tc>
          <w:tcPr>
            <w:tcW w:w="1360" w:type="dxa"/>
            <w:vAlign w:val="bottom"/>
            <w:tcBorders>
              <w:top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(46,000)</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4.40</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Expired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4,457.57</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971.70</w:t>
            </w:r>
          </w:p>
        </w:tc>
        <w:tc>
          <w:tcPr>
            <w:tcW w:w="132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Granted</w:t>
            </w:r>
          </w:p>
        </w:tc>
        <w:tc>
          <w:tcPr>
            <w:tcW w:w="136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463.32</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2,811.53</w:t>
            </w: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Outstanding at December 31, 2015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Exercisable at December 31, 2015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F-14</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there are no unvested option awards and no unrecognized compensation cost related 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years ended December 31, 2015, 2014 and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6,614,243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944,464</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r>
      <w:tr>
        <w:trPr>
          <w:trHeight w:val="216"/>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(523,750)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7,034,957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r>
      <w:tr>
        <w:trPr>
          <w:trHeight w:val="216"/>
        </w:trPr>
        <w:tc>
          <w:tcPr>
            <w:tcW w:w="52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982,793</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13.55</w:t>
            </w:r>
          </w:p>
        </w:tc>
      </w:tr>
      <w:tr>
        <w:trPr>
          <w:trHeight w:val="216"/>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(1,616,749)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6,400,001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1,992,535</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12.89</w:t>
            </w:r>
          </w:p>
        </w:tc>
      </w:tr>
      <w:tr>
        <w:trPr>
          <w:trHeight w:val="216"/>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(1,001,455)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(31,166)</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16.76</w:t>
            </w:r>
          </w:p>
        </w:tc>
      </w:tr>
      <w:tr>
        <w:trPr>
          <w:trHeight w:val="223"/>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7,359,915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Total expense associated with restricted stock grants was $15,697,092, $20,726,512 and $5,146,743 during the years ended December 31, 2015, 2014 and 2013, respectively. As of December 31, 2015, there was approximately $22.9 million of total unrecognized compensation cost related to unvested time-based restricted stock, which is expected to be recognized over a weighted-average period of 2.2 years. This amount does not include, as of December 31, 2015, 411,172 shares of restricted stock outstanding which are milestone-based and vest upon certain corporate milestones; and 2,371,167 shares of restricted stock outstanding issued to non-employees. Milestone-based non-cash compensation expense will be measured and recorded if and when a milestone becomes probable. The expense for non-employee shares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years ended December 31, 2015,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Aggregate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Warrants</w:t>
            </w:r>
          </w:p>
        </w:tc>
        <w:tc>
          <w:tcPr>
            <w:tcW w:w="16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intrinsic</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4"/>
              </w:rPr>
              <w:t>exercise price</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value</w:t>
            </w:r>
          </w:p>
        </w:tc>
        <w:tc>
          <w:tcPr>
            <w:tcW w:w="8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6,781,007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14,563,539</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Issued</w:t>
            </w:r>
          </w:p>
        </w:tc>
        <w:tc>
          <w:tcPr>
            <w:tcW w:w="1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(1,018,068)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60"/>
              <w:spacing w:after="0"/>
              <w:rPr>
                <w:sz w:val="20"/>
                <w:szCs w:val="20"/>
                <w:color w:val="auto"/>
              </w:rPr>
            </w:pPr>
            <w:r>
              <w:rPr>
                <w:rFonts w:ascii="Arial" w:cs="Arial" w:eastAsia="Arial" w:hAnsi="Arial"/>
                <w:sz w:val="18"/>
                <w:szCs w:val="18"/>
                <w:color w:val="auto"/>
              </w:rPr>
              <w:t>Expired</w:t>
            </w:r>
          </w:p>
        </w:tc>
        <w:tc>
          <w:tcPr>
            <w:tcW w:w="2840" w:type="dxa"/>
            <w:vAlign w:val="bottom"/>
            <w:gridSpan w:val="3"/>
          </w:tcPr>
          <w:p>
            <w:pPr>
              <w:jc w:val="right"/>
              <w:ind w:right="100"/>
              <w:spacing w:after="0"/>
              <w:rPr>
                <w:sz w:val="20"/>
                <w:szCs w:val="20"/>
                <w:color w:val="auto"/>
              </w:rPr>
            </w:pPr>
            <w:r>
              <w:rPr>
                <w:rFonts w:ascii="Arial" w:cs="Arial" w:eastAsia="Arial" w:hAnsi="Arial"/>
                <w:sz w:val="18"/>
                <w:szCs w:val="18"/>
                <w:color w:val="auto"/>
              </w:rPr>
              <w:t>(43,992)</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6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5,718,947</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14,809,030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Issued</w:t>
            </w:r>
          </w:p>
        </w:tc>
        <w:tc>
          <w:tcPr>
            <w:tcW w:w="1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(1,560,826)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60"/>
              <w:spacing w:after="0"/>
              <w:rPr>
                <w:sz w:val="20"/>
                <w:szCs w:val="20"/>
                <w:color w:val="auto"/>
              </w:rPr>
            </w:pPr>
            <w:r>
              <w:rPr>
                <w:rFonts w:ascii="Arial" w:cs="Arial" w:eastAsia="Arial" w:hAnsi="Arial"/>
                <w:sz w:val="18"/>
                <w:szCs w:val="18"/>
                <w:color w:val="auto"/>
              </w:rPr>
              <w:t>Expired</w:t>
            </w:r>
          </w:p>
        </w:tc>
        <w:tc>
          <w:tcPr>
            <w:tcW w:w="2840" w:type="dxa"/>
            <w:vAlign w:val="bottom"/>
            <w:gridSpan w:val="3"/>
          </w:tcPr>
          <w:p>
            <w:pPr>
              <w:jc w:val="right"/>
              <w:ind w:right="100"/>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6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4,148,228</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61,792,184</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Issued</w:t>
            </w:r>
          </w:p>
        </w:tc>
        <w:tc>
          <w:tcPr>
            <w:tcW w:w="1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(2,950,115)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60"/>
              <w:spacing w:after="0"/>
              <w:rPr>
                <w:sz w:val="20"/>
                <w:szCs w:val="20"/>
                <w:color w:val="auto"/>
              </w:rPr>
            </w:pPr>
            <w:r>
              <w:rPr>
                <w:rFonts w:ascii="Arial" w:cs="Arial" w:eastAsia="Arial" w:hAnsi="Arial"/>
                <w:sz w:val="18"/>
                <w:szCs w:val="18"/>
                <w:color w:val="auto"/>
              </w:rPr>
              <w:t>Expired</w:t>
            </w:r>
          </w:p>
        </w:tc>
        <w:tc>
          <w:tcPr>
            <w:tcW w:w="2840" w:type="dxa"/>
            <w:vAlign w:val="bottom"/>
            <w:gridSpan w:val="3"/>
          </w:tcPr>
          <w:p>
            <w:pPr>
              <w:jc w:val="right"/>
              <w:ind w:right="100"/>
              <w:spacing w:after="0"/>
              <w:rPr>
                <w:sz w:val="20"/>
                <w:szCs w:val="20"/>
                <w:color w:val="auto"/>
              </w:rPr>
            </w:pPr>
            <w:r>
              <w:rPr>
                <w:rFonts w:ascii="Arial" w:cs="Arial" w:eastAsia="Arial" w:hAnsi="Arial"/>
                <w:sz w:val="18"/>
                <w:szCs w:val="18"/>
                <w:color w:val="auto"/>
              </w:rPr>
              <w:t>(11,364)</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6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1,186,749</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11,341,452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8"/>
                <w:szCs w:val="18"/>
                <w:color w:val="auto"/>
              </w:rPr>
              <w:t>F-15</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years ended December 31, 2015, 2014 and 2013.</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information about stock options and restricted stock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5"/>
              </w:rPr>
              <w:t>Stock-based compensation expense associated with restricted stock</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7"/>
              </w:rPr>
              <w:t>15,697,092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20,726,512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5,146,743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6"/>
          </w:tcPr>
          <w:p>
            <w:pPr>
              <w:spacing w:after="0"/>
              <w:rPr>
                <w:sz w:val="20"/>
                <w:szCs w:val="20"/>
                <w:color w:val="auto"/>
              </w:rPr>
            </w:pPr>
            <w:r>
              <w:rPr>
                <w:rFonts w:ascii="Arial" w:cs="Arial" w:eastAsia="Arial" w:hAnsi="Arial"/>
                <w:sz w:val="18"/>
                <w:szCs w:val="18"/>
                <w:color w:val="auto"/>
                <w:w w:val="98"/>
              </w:rPr>
              <w:t>Stock-based compensation expense associated with stock options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378,780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56,405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15,697,092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21,105,292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5,203,148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NOTES PAYABLE</w:t>
            </w: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00" w:type="dxa"/>
            <w:vAlign w:val="bottom"/>
            <w:gridSpan w:val="4"/>
          </w:tcPr>
          <w:p>
            <w:pPr>
              <w:ind w:left="640"/>
              <w:spacing w:after="0"/>
              <w:rPr>
                <w:sz w:val="20"/>
                <w:szCs w:val="20"/>
                <w:color w:val="auto"/>
              </w:rPr>
            </w:pPr>
            <w:r>
              <w:rPr>
                <w:rFonts w:ascii="Arial" w:cs="Arial" w:eastAsia="Arial" w:hAnsi="Arial"/>
                <w:sz w:val="18"/>
                <w:szCs w:val="18"/>
                <w:color w:val="auto"/>
                <w:w w:val="92"/>
              </w:rPr>
              <w:t>The following is a summary of notes payable: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December 31, 2015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jc w:val="center"/>
              <w:ind w:right="90"/>
              <w:spacing w:after="0"/>
              <w:rPr>
                <w:sz w:val="20"/>
                <w:szCs w:val="20"/>
                <w:color w:val="auto"/>
              </w:rPr>
            </w:pPr>
            <w:r>
              <w:rPr>
                <w:rFonts w:ascii="Arial" w:cs="Arial" w:eastAsia="Arial" w:hAnsi="Arial"/>
                <w:sz w:val="18"/>
                <w:szCs w:val="18"/>
                <w:b w:val="1"/>
                <w:bCs w:val="1"/>
                <w:color w:val="auto"/>
                <w:w w:val="90"/>
              </w:rPr>
              <w:t>December 31, 2014</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left="115"/>
              <w:spacing w:after="0" w:line="191"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left="215"/>
              <w:spacing w:after="0" w:line="191"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75"/>
              <w:spacing w:after="0"/>
              <w:rPr>
                <w:sz w:val="20"/>
                <w:szCs w:val="20"/>
                <w:color w:val="auto"/>
              </w:rPr>
            </w:pPr>
            <w:r>
              <w:rPr>
                <w:rFonts w:ascii="Arial" w:cs="Arial" w:eastAsia="Arial" w:hAnsi="Arial"/>
                <w:sz w:val="18"/>
                <w:szCs w:val="18"/>
                <w:b w:val="1"/>
                <w:bCs w:val="1"/>
                <w:color w:val="auto"/>
                <w:w w:val="93"/>
              </w:rPr>
              <w:t>current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left="175"/>
              <w:spacing w:after="0"/>
              <w:rPr>
                <w:sz w:val="20"/>
                <w:szCs w:val="20"/>
                <w:color w:val="auto"/>
              </w:rPr>
            </w:pPr>
            <w:r>
              <w:rPr>
                <w:rFonts w:ascii="Arial" w:cs="Arial" w:eastAsia="Arial" w:hAnsi="Arial"/>
                <w:sz w:val="18"/>
                <w:szCs w:val="18"/>
                <w:b w:val="1"/>
                <w:bCs w:val="1"/>
                <w:color w:val="auto"/>
                <w:w w:val="93"/>
              </w:rPr>
              <w:t>current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1060" w:type="dxa"/>
            <w:vAlign w:val="bottom"/>
          </w:tcPr>
          <w:p>
            <w:pPr>
              <w:jc w:val="center"/>
              <w:ind w:left="75"/>
              <w:spacing w:after="0"/>
              <w:rPr>
                <w:sz w:val="20"/>
                <w:szCs w:val="20"/>
                <w:color w:val="auto"/>
              </w:rPr>
            </w:pPr>
            <w:r>
              <w:rPr>
                <w:rFonts w:ascii="Arial" w:cs="Arial" w:eastAsia="Arial" w:hAnsi="Arial"/>
                <w:sz w:val="18"/>
                <w:szCs w:val="18"/>
                <w:b w:val="1"/>
                <w:bCs w:val="1"/>
                <w:color w:val="auto"/>
                <w:w w:val="92"/>
              </w:rPr>
              <w:t>portion,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Current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left="175"/>
              <w:spacing w:after="0"/>
              <w:rPr>
                <w:sz w:val="20"/>
                <w:szCs w:val="20"/>
                <w:color w:val="auto"/>
              </w:rPr>
            </w:pPr>
            <w:r>
              <w:rPr>
                <w:rFonts w:ascii="Arial" w:cs="Arial" w:eastAsia="Arial" w:hAnsi="Arial"/>
                <w:sz w:val="18"/>
                <w:szCs w:val="18"/>
                <w:b w:val="1"/>
                <w:bCs w:val="1"/>
                <w:color w:val="auto"/>
                <w:w w:val="92"/>
              </w:rPr>
              <w:t>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portion, net</w:t>
            </w:r>
          </w:p>
        </w:tc>
        <w:tc>
          <w:tcPr>
            <w:tcW w:w="140" w:type="dxa"/>
            <w:vAlign w:val="bottom"/>
          </w:tcPr>
          <w:p>
            <w:pPr>
              <w:spacing w:after="0"/>
              <w:rPr>
                <w:sz w:val="20"/>
                <w:szCs w:val="20"/>
                <w:color w:val="auto"/>
              </w:rPr>
            </w:pPr>
          </w:p>
        </w:tc>
        <w:tc>
          <w:tcPr>
            <w:tcW w:w="1060" w:type="dxa"/>
            <w:vAlign w:val="bottom"/>
          </w:tcPr>
          <w:p>
            <w:pPr>
              <w:jc w:val="center"/>
              <w:ind w:left="95"/>
              <w:spacing w:after="0"/>
              <w:rPr>
                <w:sz w:val="20"/>
                <w:szCs w:val="20"/>
                <w:color w:val="auto"/>
              </w:rPr>
            </w:pPr>
            <w:r>
              <w:rPr>
                <w:rFonts w:ascii="Arial" w:cs="Arial" w:eastAsia="Arial" w:hAnsi="Arial"/>
                <w:sz w:val="18"/>
                <w:szCs w:val="18"/>
                <w:b w:val="1"/>
                <w:bCs w:val="1"/>
                <w:color w:val="auto"/>
                <w:w w:val="88"/>
              </w:rPr>
              <w:t>net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2"/>
              </w:rPr>
              <w:t>portion, net</w:t>
            </w:r>
          </w:p>
        </w:tc>
        <w:tc>
          <w:tcPr>
            <w:tcW w:w="180" w:type="dxa"/>
            <w:vAlign w:val="bottom"/>
          </w:tcPr>
          <w:p>
            <w:pPr>
              <w:spacing w:after="0"/>
              <w:rPr>
                <w:sz w:val="20"/>
                <w:szCs w:val="20"/>
                <w:color w:val="auto"/>
              </w:rPr>
            </w:pPr>
          </w:p>
        </w:tc>
        <w:tc>
          <w:tcPr>
            <w:tcW w:w="920" w:type="dxa"/>
            <w:vAlign w:val="bottom"/>
            <w:gridSpan w:val="2"/>
          </w:tcPr>
          <w:p>
            <w:pPr>
              <w:jc w:val="center"/>
              <w:ind w:left="235"/>
              <w:spacing w:after="0"/>
              <w:rPr>
                <w:sz w:val="20"/>
                <w:szCs w:val="20"/>
                <w:color w:val="auto"/>
              </w:rPr>
            </w:pPr>
            <w:r>
              <w:rPr>
                <w:rFonts w:ascii="Arial" w:cs="Arial" w:eastAsia="Arial" w:hAnsi="Arial"/>
                <w:sz w:val="18"/>
                <w:szCs w:val="18"/>
                <w:b w:val="1"/>
                <w:bCs w:val="1"/>
                <w:color w:val="auto"/>
                <w:w w:val="88"/>
              </w:rPr>
              <w:t>net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275,190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3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275,190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Totals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211,549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89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211,549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275,190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535"/>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275,190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Manhattan, Ariston and Ariston Merger Corp., a Delaware corporation and wholly-owned subsidiary of Manhattan (the "Merger Sub"). Pursuant to the terms and conditions of the Merger Agreement, on March 8, 2010, the Merger Sub merged with and into Ariston (the "Merger"), with Ariston being the surviving corporation of the Merger. As a result of the Merger, Ariston became a wholly-owned subsidiary of Manhattan.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$1,125 per share. Ariston agreed to make quarterly payments on the 5% Notes equal to 50% of the net product cash flow received from the exploitation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of Ariston’s product candidates, AST-726 and AST-915. We have no obligation under the 5% Notes aside from a) 50% of the net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Ariston’s product candidates, if any, payable to noteholders; and b) the conversion feature, discussed above. Interest accrues monthly,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added to principal on an annual basis, every March 8, and is payable at maturity, which was March 8, 2015.</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cumulative liability including accrued and unpaid interest of these notes was approximately $19.9 million at December 31, 2015 and $19.5 million at December 31, 2014. No payments have been made on the 5% Notes as of December 31, 2015.</w:t>
      </w:r>
    </w:p>
    <w:p>
      <w:pPr>
        <w:spacing w:after="0" w:line="1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$86,359,000, $69,084,000 and $46,283,000 as of December 31, 2015, 2014 and 2013, respectively.</w:t>
      </w:r>
    </w:p>
    <w:p>
      <w:pPr>
        <w:spacing w:after="0" w:line="16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of December 31, 2015, we have U.S. net operating loss carryforwards (“NOLs”) of approximately $195,895,000. For income tax purposes, these NOLs will expire in various amounts through 2035. The Tax Reform Act of 1986 contains provisions which limit the ability to utilize net operating loss carryforwards in the case of certain events including significant changes in ownership interests. The Exchange Transaction with TG Bio may have resulted in a “change in ownership” as defined by IRC Section 382 of the Internal Revenue Code of 1986, as amended. Additionally, stock issuance activities may have resulted in a “change in ownership” as defined by IRC Section 382 of the Internal Revenue Code of 1986, as amended. Accordingly, a substantial portion of the Company’s NOLs above may be subject to annual limitations in reducing any future year’s taxable income.</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2015 and 2014 are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3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3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68,700,379</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52,350,293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3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4,962,298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3,358,934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Noncash compensation</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12,087,968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12,417,815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3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Foreign tax credit</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608,205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956,727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Deferred tax asset, excluding valuation allowance</w:t>
            </w:r>
          </w:p>
        </w:tc>
        <w:tc>
          <w:tcPr>
            <w:tcW w:w="3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86,358,850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69,083,769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(86,358,850)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(69,083,769)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color w:val="auto"/>
              </w:rPr>
              <w:t>F-17</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was no current or deferred income tax expense for the year ended December 31, 2015. Income tax expense differed from amounts computed by applying the US Federal income tax rate of 34% to pretax loss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gridSpan w:val="9"/>
          </w:tcPr>
          <w:p>
            <w:pPr>
              <w:jc w:val="right"/>
              <w:ind w:right="84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4"/>
              </w:rPr>
              <w:t>Loss before income taxes, as reported in the consolidated statements of operations</w:t>
            </w:r>
          </w:p>
        </w:tc>
        <w:tc>
          <w:tcPr>
            <w:tcW w:w="6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(62,948,646)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(55,781,277)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(20,478,210)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6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(21,402,540)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(18,965,634)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(6,962,592)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income taxes resulting from:</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Expected benefit from state and local taxes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(672,306)</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(2,533,156)</w:t>
            </w:r>
          </w:p>
        </w:tc>
        <w:tc>
          <w:tcPr>
            <w:tcW w:w="2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(917,810)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credits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(1,603,364)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(1,092,767)</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566,310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35,459</w:t>
            </w:r>
          </w:p>
        </w:tc>
        <w:tc>
          <w:tcPr>
            <w:tcW w:w="2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Permanent difference related to contingent note payable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(244,814)</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Impact of change in state tax rates on deferred taxes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5,836,819</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the balance of the valuation allowance for deferred tax assets</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17,275,081</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22,800,912</w:t>
            </w: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10,011,934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2011. However, NOLs and tax credits generated from those prior years could still be adjusted upon audit.</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Company recognizes interest and penalties to uncertain tax position in income tax expense in the statement of operations. There was no accrual for interest and penalties related to uncertain tax positions for 2015 and 2014. We do not believe that there will be a material change in our unrecognized tax positions over the next twelve months. All of the unrecognized tax benefits, if recognized, would be offset by the valuation allowance.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Anti-PD-L1 and anti-GITR</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March 3, 2015, we entered into a Global Collaboration Agreement (the “Collaboration”) with Checkpoint Therapeutics, Inc. (“Checkpoint”), a subsidiary of Fortress Biotech, Inc. (“Fortress”), a related party, for the development and commercialization of Checkpoint’s anti-PD-L1 and anti-GITR antibody research programs in the field of hematological malignancies. Checkpoint retains the rights to develop and commercialize these antibodies in solid tumors.</w:t>
      </w:r>
    </w:p>
    <w:p>
      <w:pPr>
        <w:spacing w:after="0" w:line="18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Under the terms of the Collaboration, we made an up-front payment of $0.5 million, will make development and sales-based milestone payments up to an aggregate of $164 million, and will pay a tiered single digit royalty on net sales. The royalty term will terminate on a country by country basis upon the later of (i) ten years after the first commercial sale of any applicable licensed product in such country, or (ii) the expiration of the last-to-expire patent held by the Dana Farber Cancer Institute containing a valid claim to any licensed product in such country.</w:t>
      </w:r>
    </w:p>
    <w:p>
      <w:pPr>
        <w:spacing w:after="0" w:line="187" w:lineRule="exact"/>
        <w:rPr>
          <w:sz w:val="20"/>
          <w:szCs w:val="20"/>
          <w:color w:val="auto"/>
        </w:rPr>
      </w:pPr>
    </w:p>
    <w:p>
      <w:pPr>
        <w:ind w:firstLine="693"/>
        <w:spacing w:after="0" w:line="277" w:lineRule="auto"/>
        <w:rPr>
          <w:sz w:val="20"/>
          <w:szCs w:val="20"/>
          <w:color w:val="auto"/>
        </w:rPr>
      </w:pPr>
      <w:r>
        <w:rPr>
          <w:rFonts w:ascii="Arial" w:cs="Arial" w:eastAsia="Arial" w:hAnsi="Arial"/>
          <w:sz w:val="18"/>
          <w:szCs w:val="18"/>
          <w:color w:val="auto"/>
        </w:rPr>
        <w:t>Michael Weiss, our Executive Chairman, Interim CEO and President is also the Executive Vice Chairman of Fortress and the Executive Chairman of Checkpoint (See Note 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September 22, 2014, we exercised our option to license the global rights to TGR-1202, thereby entering into an exclusive licensing agreement (the “TGR-1202 License”) with Rhizen Pharmaceuticals, SA (“Rhizen”) for the development and commercialization of TGR-1202. Prior to this, we had been jointly developing TGR-1202 in a 50:50 joint venture with Rhizen.</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Under the terms of the TGR-1202 License, Rhizen received a $4.0 million cash payment and 371,530 shares of our common stock as an upfront license fee. With respect to TGR-1202, Rhizen will be eligible to receive regulatory filing, approval and sales-based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TGR-1202 is co-formulated with another drug to create a new product (a "New Product"), Rhizen will be eligible to receive similar regulatory approval and sales-based milestone payments for such New Product. Additionally, Rhizen will be entitled to tiered royalties on our future net sales of TGR-1202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TGR-1202, provided that they are price competitive with alternative manufacturers.</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112"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TGR-1202 License, we recognized $4.1 million of noncash research and development expense during the year ended December 31, 2014 related to the issuance of the above mentioned common stock. In addition, we recognized $4.0 million of other research and development expense during the year ended December 31, 2014 related to the cash milestone payment.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On June 23,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connection with the license agreement, we recognized $1,211,250 of noncash research and development expense during the year ended December 31, 2014 in connection with the issuance of the above mentioned common stock.</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Additionally, Opus Point Partners, LLC, who identified the opportunity and advised us on the transaction, will also be entitled to receive a 1% royalty for annual sales of up to $1 billion. Michael S. Weiss, our Executive Chairman and Interim Chief Executive Officer, is a Managing Member of Opus Point Partners,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$152,000 for each of the years ended December 31, 2015, 2014 and 2013, and, at December 31, 2015, 2014 and 2013, have deferred revenue of approximately $1,524,000, $1,676,000 and $1,829,000, respectively, associated with this $2,000,000 payment (approximately $152,000 of which has been classified in current liabilities at December 31, 2015).</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LFB License Agreement, LFB Group maintained the right to purchase at least $750,000 in additional shares of common stock at a purchase price per share as defined in a November 2012 securities exchange agreement. Accordingly, in February 2015, LFB Group purchased 114,855 shares of our common stock at a price of $6.53 per share for net proceeds of $750,000. In May 2015, LFB Group exercised its warrant to purchase 2,500,000 shares of common stock at a purchase price of $0.001 per share.</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Under the terms of the LFB License Agreement, we utilize LFB Group for certain development and manufacturing services. We incurred approximately $9,300,000, $5,200,000 and $6,300,000 in expenses for such services during the years ended December 31, 2015, 2014 and 2013, respectively, which have been included in other research and development expenses in the accompanying consolidated statements of operations. As of December 31, 2015, and 2014, we had approximately $2.1 million and $0.1 million,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December 31, 2015 and 2014, we recorded $3.0 million and $1.9 million, respectively, in prepaid research and development for such advance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March 2014, we entered into a shared services agreement (the “Opus Shared Services Agreement”) with Opus Point Partners Management, LLC (“Opus”) in which the parties agreed to share a rented facility and costs for certain other services. Michael S. Weiss, our Executive Chairman and Interim Chief Executive Officer, is a Managing Member of Opus. During the years ended December 31, 2015 and 2014, we incurred expenses of approximately $0.3 million and $0.1 million, respectively, principally for rent, related to this Opus Shared Services Agreement. As of December 31, 2015 and 2014, we had approximately $0.1 million and $0.02 million, respectively, recorded in accounts payable related to this Opus Shared Services Agreement.</w:t>
      </w:r>
    </w:p>
    <w:p>
      <w:pPr>
        <w:spacing w:after="0" w:line="15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discussed in Note 8 above, in connection with the licensing agreement with Ligand, Opus Point Partners, LLC, who identified the opportunity and advised us on the transaction, will be entitled to receive a 1% royalty for annual sales of up to $1 billion.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Note 8 above, with regard to the Collaboration with Checkpoint, our Executive Chairman and Interim Chief Executive Officer is also the Executive Vice Chairman of Fortress and the Executive Chairman of Checkpoint. In addition, Mr. Weiss holds equity interests in TG, Fortress and Checkpoint.</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October 3, 2014, we entered into a Desk Space Agreement (the “Desk Agreement”) with Fortress, to occupy approximately 40% of the New York City office space recently leased by Fortress. This Desk Agreement requires us to pay our respective share of the average annual rent and other costs of the 15 year lease. We approximate an average annual rental obligation of $1.1 million under the Desk Agreement. Fortress does not expect to take possession of the space until early 2016.</w:t>
      </w:r>
    </w:p>
    <w:p>
      <w:pPr>
        <w:spacing w:after="0" w:line="18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In connection with the Desk Agreement, we paid approximately $0.1 million in advance rent, which is recorded in other current assets in the accompanying consolidated balance sheets as of December 31, 2015 and December 31, 2014. During the year ended December 31, 2015, we incurred expenses of approximately $0.2 million, principally for our share of project management services, related to this agreement, of which $0.1 million was recorded in accounts payable. Also in connection with this lease, in October 2014 we pledged $0.6 million to secure a line of credit as a security deposit for the Desk Agreement, which has been recorded as Restricted Cash in the accompanying consolidated balance sheets.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In July 2015, we entered into a Shared Services Agreement (the “Shared Services Agreement”) with Fortress to share the cost of certain services such as facilities use, shared personnel costs and other shared overhead and administrative costs. This Shared Services Agreement requires us to pay our respective share of services utilized. In connection with the Shared Services Agreement, we incurred expenses of approximately $0.1 million for shared services as of December 31, 2015, which included only costs for shared personnel costs.</w:t>
      </w:r>
    </w:p>
    <w:p>
      <w:pPr>
        <w:spacing w:after="0" w:line="171"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On September 1, 2015, we paid $25,000 to Checkpoint as an option fee for the exclusive right to enter into a collaboration for certain additional compounds licensed by Checkpoint. The option has not been exercised as of December 31, 2015. As of December 31, 2015, we had approximately $0.3 million recorded in accounts payable related to a sponsored research agreement.</w:t>
      </w:r>
    </w:p>
    <w:p>
      <w:pPr>
        <w:spacing w:after="0" w:line="181"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For the year ended December 31, 2015, we incurred expenses of approximately $23,000 to AOI Communications, L.P. for manuscript services related to TG-1101. Our Executive Chairman and Interim Chief Executive Officer is the owner of AOI Communications, L.P.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31, 2015, we have known contractual obligations, commitments and contingencies of $16.3 million related to our operating lease obligations.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2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b w:val="1"/>
                <w:bCs w:val="1"/>
                <w:color w:val="auto"/>
                <w:w w:val="89"/>
              </w:rPr>
              <w:t>Payment due by period</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6"/>
              </w:rPr>
              <w:t>Less than 1</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1-3 years</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3-5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Operating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16,335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128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12,268</w:t>
            </w:r>
          </w:p>
        </w:tc>
      </w:tr>
      <w:tr>
        <w:trPr>
          <w:trHeight w:val="210"/>
        </w:trPr>
        <w:tc>
          <w:tcPr>
            <w:tcW w:w="4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128</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On October 3, 2014, we entered into a Desk Agreement with Fortress, to occupy approximately 40% of the New York City office space recently leased by Fortress. This Desk Agreement requires us to pay our respective share of the average annual rent and other costs of the 15 year lease. We approximate an average annual rental obligation of $1.1 million under the Desk Agreement. Fortress does not expect to take possession of the space until early 2016.</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Total rental expense was approximately $0.3 million, $0.1 million and $0.01 million for the years ended December 31, 2015, 2014 and 2013, respectively.</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Future minimum lease commitments as of December 31, 2015, in the aggregate total approximately $16.3 million through December 31, 2031. The preceding table shows future minimum lease commitments, which include our office leases in New York, North Carolina and Tennessee, by period as of December 31, 2015.</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NOTE 11 – QUARTERLY FINANCIAL INFORMATION (UNAUDITED)</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8"/>
                <w:szCs w:val="18"/>
                <w:b w:val="1"/>
                <w:bCs w:val="1"/>
                <w:color w:val="auto"/>
              </w:rPr>
              <w:t>3 Months 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6"/>
                <w:szCs w:val="16"/>
                <w:color w:val="auto"/>
              </w:rPr>
            </w:pPr>
          </w:p>
        </w:tc>
        <w:tc>
          <w:tcPr>
            <w:tcW w:w="12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March 31, 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June 30, 2015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38,095</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38,096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14,640,946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17,149,675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13,863,680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17,678,096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(14,577,735)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(17,103,183)</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(13,655,916)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(17,611,812)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8"/>
                <w:szCs w:val="18"/>
                <w:b w:val="1"/>
                <w:bCs w:val="1"/>
                <w:color w:val="auto"/>
              </w:rPr>
              <w:t>3 Months 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March 31, 2014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June 30, 2014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38,095</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38,096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7,643,220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11,993,592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17,477,442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18,759,219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(7,547,249)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(11,986,430)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(17,451,169)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(18,796,429)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F-22</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TG THERAPEUTICS, INC.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Michael S. Weiss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Executive Chairman, Interim Chief Executive Officer and President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6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by the following persons on behalf of the Registrant on March 15, 2016, and in the capacities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Signatures</w:t>
            </w:r>
          </w:p>
        </w:tc>
        <w:tc>
          <w:tcPr>
            <w:tcW w:w="460" w:type="dxa"/>
            <w:vAlign w:val="bottom"/>
          </w:tcPr>
          <w:p>
            <w:pPr>
              <w:spacing w:after="0"/>
              <w:rPr>
                <w:sz w:val="20"/>
                <w:szCs w:val="20"/>
                <w:color w:val="auto"/>
              </w:rPr>
            </w:pPr>
          </w:p>
        </w:tc>
        <w:tc>
          <w:tcPr>
            <w:tcW w:w="546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426"/>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S. Weiss</w:t>
            </w: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c>
          <w:tcPr>
            <w:tcW w:w="0" w:type="dxa"/>
            <w:vAlign w:val="bottom"/>
          </w:tcPr>
          <w:p>
            <w:pPr>
              <w:spacing w:after="0"/>
              <w:rPr>
                <w:sz w:val="1"/>
                <w:szCs w:val="1"/>
                <w:color w:val="auto"/>
              </w:rPr>
            </w:pPr>
          </w:p>
        </w:tc>
      </w:tr>
      <w:tr>
        <w:trPr>
          <w:trHeight w:val="195"/>
        </w:trPr>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1"/>
              </w:rPr>
              <w:t>Michael S. Weiss</w:t>
            </w:r>
          </w:p>
        </w:tc>
        <w:tc>
          <w:tcPr>
            <w:tcW w:w="46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Sean A. Power</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95"/>
        </w:trPr>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88"/>
              </w:rPr>
              <w:t>Sean A. Power</w:t>
            </w:r>
          </w:p>
        </w:tc>
        <w:tc>
          <w:tcPr>
            <w:tcW w:w="46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Laurence N. Charney</w:t>
            </w:r>
          </w:p>
        </w:tc>
        <w:tc>
          <w:tcPr>
            <w:tcW w:w="460" w:type="dxa"/>
            <w:vAlign w:val="bottom"/>
          </w:tcPr>
          <w:p>
            <w:pPr>
              <w:spacing w:after="0"/>
              <w:rPr>
                <w:sz w:val="20"/>
                <w:szCs w:val="20"/>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89"/>
              </w:rPr>
              <w:t>Laurence N. Charney</w:t>
            </w:r>
          </w:p>
        </w:tc>
        <w:tc>
          <w:tcPr>
            <w:tcW w:w="460" w:type="dxa"/>
            <w:vAlign w:val="bottom"/>
          </w:tcPr>
          <w:p>
            <w:pPr>
              <w:spacing w:after="0"/>
              <w:rPr>
                <w:sz w:val="16"/>
                <w:szCs w:val="16"/>
                <w:color w:val="auto"/>
              </w:rPr>
            </w:pPr>
          </w:p>
        </w:tc>
        <w:tc>
          <w:tcPr>
            <w:tcW w:w="5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Yann Echelard</w:t>
            </w:r>
          </w:p>
        </w:tc>
        <w:tc>
          <w:tcPr>
            <w:tcW w:w="460" w:type="dxa"/>
            <w:vAlign w:val="bottom"/>
          </w:tcPr>
          <w:p>
            <w:pPr>
              <w:spacing w:after="0"/>
              <w:rPr>
                <w:sz w:val="20"/>
                <w:szCs w:val="20"/>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89"/>
              </w:rPr>
              <w:t>Yann Echelard</w:t>
            </w:r>
          </w:p>
        </w:tc>
        <w:tc>
          <w:tcPr>
            <w:tcW w:w="460" w:type="dxa"/>
            <w:vAlign w:val="bottom"/>
          </w:tcPr>
          <w:p>
            <w:pPr>
              <w:spacing w:after="0"/>
              <w:rPr>
                <w:sz w:val="16"/>
                <w:szCs w:val="16"/>
                <w:color w:val="auto"/>
              </w:rPr>
            </w:pPr>
          </w:p>
        </w:tc>
        <w:tc>
          <w:tcPr>
            <w:tcW w:w="5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Kenneth Hoberman</w:t>
            </w:r>
          </w:p>
        </w:tc>
        <w:tc>
          <w:tcPr>
            <w:tcW w:w="460" w:type="dxa"/>
            <w:vAlign w:val="bottom"/>
          </w:tcPr>
          <w:p>
            <w:pPr>
              <w:spacing w:after="0"/>
              <w:rPr>
                <w:sz w:val="20"/>
                <w:szCs w:val="20"/>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0"/>
              </w:rPr>
              <w:t>Kenneth Hoberman</w:t>
            </w:r>
          </w:p>
        </w:tc>
        <w:tc>
          <w:tcPr>
            <w:tcW w:w="460" w:type="dxa"/>
            <w:vAlign w:val="bottom"/>
          </w:tcPr>
          <w:p>
            <w:pPr>
              <w:spacing w:after="0"/>
              <w:rPr>
                <w:sz w:val="16"/>
                <w:szCs w:val="16"/>
                <w:color w:val="auto"/>
              </w:rPr>
            </w:pPr>
          </w:p>
        </w:tc>
        <w:tc>
          <w:tcPr>
            <w:tcW w:w="5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 Hume</w:t>
            </w:r>
          </w:p>
        </w:tc>
        <w:tc>
          <w:tcPr>
            <w:tcW w:w="460" w:type="dxa"/>
            <w:vAlign w:val="bottom"/>
          </w:tcPr>
          <w:p>
            <w:pPr>
              <w:spacing w:after="0"/>
              <w:rPr>
                <w:sz w:val="20"/>
                <w:szCs w:val="20"/>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4"/>
              </w:rPr>
              <w:t>Daniel Hume</w:t>
            </w:r>
          </w:p>
        </w:tc>
        <w:tc>
          <w:tcPr>
            <w:tcW w:w="460" w:type="dxa"/>
            <w:vAlign w:val="bottom"/>
          </w:tcPr>
          <w:p>
            <w:pPr>
              <w:spacing w:after="0"/>
              <w:rPr>
                <w:sz w:val="16"/>
                <w:szCs w:val="16"/>
                <w:color w:val="auto"/>
              </w:rPr>
            </w:pPr>
          </w:p>
        </w:tc>
        <w:tc>
          <w:tcPr>
            <w:tcW w:w="5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J. Kennedy</w:t>
            </w:r>
          </w:p>
        </w:tc>
        <w:tc>
          <w:tcPr>
            <w:tcW w:w="460" w:type="dxa"/>
            <w:vAlign w:val="bottom"/>
          </w:tcPr>
          <w:p>
            <w:pPr>
              <w:spacing w:after="0"/>
              <w:rPr>
                <w:sz w:val="20"/>
                <w:szCs w:val="20"/>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2"/>
              </w:rPr>
              <w:t>William J. Kennedy</w:t>
            </w:r>
          </w:p>
        </w:tc>
        <w:tc>
          <w:tcPr>
            <w:tcW w:w="460" w:type="dxa"/>
            <w:vAlign w:val="bottom"/>
          </w:tcPr>
          <w:p>
            <w:pPr>
              <w:spacing w:after="0"/>
              <w:rPr>
                <w:sz w:val="16"/>
                <w:szCs w:val="16"/>
                <w:color w:val="auto"/>
              </w:rPr>
            </w:pPr>
          </w:p>
        </w:tc>
        <w:tc>
          <w:tcPr>
            <w:tcW w:w="5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Schoenebaum, M.D.</w:t>
            </w:r>
          </w:p>
        </w:tc>
        <w:tc>
          <w:tcPr>
            <w:tcW w:w="460" w:type="dxa"/>
            <w:vAlign w:val="bottom"/>
          </w:tcPr>
          <w:p>
            <w:pPr>
              <w:spacing w:after="0"/>
              <w:rPr>
                <w:sz w:val="20"/>
                <w:szCs w:val="20"/>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0"/>
              </w:rPr>
              <w:t>Mark Schoenebaum, M.D.</w:t>
            </w:r>
          </w:p>
        </w:tc>
        <w:tc>
          <w:tcPr>
            <w:tcW w:w="460" w:type="dxa"/>
            <w:vAlign w:val="bottom"/>
          </w:tcPr>
          <w:p>
            <w:pPr>
              <w:spacing w:after="0"/>
              <w:rPr>
                <w:sz w:val="19"/>
                <w:szCs w:val="19"/>
                <w:color w:val="auto"/>
              </w:rPr>
            </w:pPr>
          </w:p>
        </w:tc>
        <w:tc>
          <w:tcPr>
            <w:tcW w:w="5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55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76" w:name="page77"/>
    <w:bookmarkEnd w:id="76"/>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Exhibit Description</w:t>
      </w:r>
    </w:p>
    <w:p>
      <w:pPr>
        <w:spacing w:after="0" w:line="211"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Principal Executive Officer</w:t>
      </w:r>
    </w:p>
    <w:p>
      <w:pPr>
        <w:spacing w:after="0" w:line="225"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Principal Financial Officer</w:t>
      </w:r>
    </w:p>
    <w:p>
      <w:pPr>
        <w:spacing w:after="0" w:line="225"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both"/>
        <w:ind w:left="920" w:hanging="588"/>
        <w:spacing w:after="0" w:line="25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10-K for the period ended December 31, 2015, formatted in Extensible Business Reporting Language (XBRL): (i) the Condensed Consolidated Balance Sheets, (ii) the Condensed Consolidated Statements of Operations, (iii) the Condensed Consolidated Statement of Equity, (iv) the Condensed Consolidated Statements of Cash Flows, and (v) Notes to the Condensed Consolidated Financial Statements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consent to the incorporation by reference in registration statement No. 333-181439 on Form S-8 and registration statement Nos. 333-189015 and 333-201339 on Form S-3 of our report dated March 15, 2016 on our audits of the consolidated financial statements of TG Therapeutics, Inc. and Subsidiaries as of December 31, 2015 and 2014, and for each of the three years in the period ended December 31, 2015, and our report on our audit of internal control over financial reporting of TG Therapeutics, Inc. and Subsidiaries as of December 31, 2015, dated March 15, 2016, included in this Annual Report on Form 10-K of TG Therapeutics, Inc. and Subsidiaries for the year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580" w:hanging="252"/>
        <w:spacing w:after="0" w:line="342" w:lineRule="auto"/>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260" w:right="120" w:hanging="252"/>
        <w:spacing w:after="0" w:line="264"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15,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580" w:hanging="252"/>
        <w:spacing w:after="0" w:line="342" w:lineRule="auto"/>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260" w:right="120" w:hanging="252"/>
        <w:spacing w:after="0" w:line="264"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15,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In connection with the annual report of TG Therapeutics, Inc. (the “Company”) on Form 10-K for the year ended December 31, 2015 as filed with the Securities and Exchange Commission (the “Report”), I, Michael S. Weiss, Executive Chairman, Interim Chief Executive Officer and President of the Company, certify, pursuant to 18 U.S.C. §1350, as adopted pursuant to §906 of the Sarbanes-Oxley Act of 2002, that, based on my knowledge:</w:t>
      </w:r>
    </w:p>
    <w:p>
      <w:pPr>
        <w:spacing w:after="0" w:line="147" w:lineRule="exact"/>
        <w:rPr>
          <w:sz w:val="20"/>
          <w:szCs w:val="20"/>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15,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2015 as filed with the Securities and Exchange Commission (the “Report”), I, Sean A. Power, Chief Financial Officer of the Company, certify, pursuant to 18 U.S.C. §1350, as adopted pursuant to §906 of the Sarbanes-Oxley Act of 2002, that, based on my knowledge:</w:t>
      </w:r>
    </w:p>
    <w:p>
      <w:pPr>
        <w:spacing w:after="0" w:line="181" w:lineRule="exact"/>
        <w:rPr>
          <w:sz w:val="20"/>
          <w:szCs w:val="20"/>
          <w:color w:val="auto"/>
        </w:rPr>
      </w:pPr>
    </w:p>
    <w:p>
      <w:pPr>
        <w:ind w:left="520" w:hanging="188"/>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15,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3"/>
    </w:lvl>
  </w:abstractNum>
  <w:abstractNum w:abstractNumId="27">
    <w:nsid w:val="6CEAF087"/>
    <w:multiLevelType w:val="hybridMultilevel"/>
    <w:lvl w:ilvl="0">
      <w:lvlJc w:val="left"/>
      <w:lvlText w:val="†"/>
      <w:numFmt w:val="bullet"/>
      <w:start w:val="1"/>
    </w:lvl>
    <w:lvl w:ilvl="1">
      <w:lvlJc w:val="left"/>
      <w:lvlText w:val="%2"/>
      <w:numFmt w:val="decimal"/>
      <w:start w:val="10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2"/>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0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2019-12-29T14:34:13Z</dcterms:created>
  <dcterms:modified xsi:type="dcterms:W3CDTF">2019-12-29T14:34:13Z</dcterms:modified>
</cp:coreProperties>
</file>