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426720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10-K</w:t>
      </w:r>
    </w:p>
    <w:p>
      <w:pPr>
        <w:spacing w:after="0" w:line="109" w:lineRule="exact"/>
        <w:rPr>
          <w:sz w:val="24"/>
          <w:szCs w:val="24"/>
          <w:color w:val="auto"/>
        </w:rPr>
      </w:pPr>
    </w:p>
    <w:p>
      <w:pPr>
        <w:jc w:val="center"/>
        <w:ind w:left="3980" w:right="1580" w:hanging="2382"/>
        <w:spacing w:after="0" w:line="243" w:lineRule="auto"/>
        <w:tabs>
          <w:tab w:leader="none" w:pos="1761" w:val="left"/>
        </w:tabs>
        <w:numPr>
          <w:ilvl w:val="1"/>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December 31, 2019.</w:t>
      </w:r>
    </w:p>
    <w:p>
      <w:pPr>
        <w:ind w:left="5080"/>
        <w:spacing w:after="0"/>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OR</w:t>
      </w:r>
    </w:p>
    <w:p>
      <w:pPr>
        <w:spacing w:after="0" w:line="147" w:lineRule="exact"/>
        <w:rPr>
          <w:rFonts w:ascii="MS PGothic" w:cs="MS PGothic" w:eastAsia="MS PGothic" w:hAnsi="MS PGothic"/>
          <w:sz w:val="14"/>
          <w:szCs w:val="14"/>
          <w:color w:val="auto"/>
          <w:highlight w:val="black"/>
        </w:rPr>
      </w:pPr>
    </w:p>
    <w:p>
      <w:pPr>
        <w:jc w:val="center"/>
        <w:ind w:left="3720" w:right="1440" w:hanging="2273"/>
        <w:spacing w:after="0" w:line="279" w:lineRule="auto"/>
        <w:tabs>
          <w:tab w:leader="none" w:pos="1617"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1-32639</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TG THERAPEUTICS, INC.</w:t>
      </w: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3"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520" w:type="dxa"/>
            <w:vAlign w:val="bottom"/>
            <w:gridSpan w:val="2"/>
          </w:tcPr>
          <w:p>
            <w:pPr>
              <w:jc w:val="center"/>
              <w:ind w:left="504"/>
              <w:spacing w:after="0"/>
              <w:rPr>
                <w:sz w:val="20"/>
                <w:szCs w:val="20"/>
                <w:color w:val="auto"/>
              </w:rPr>
            </w:pPr>
            <w:r>
              <w:rPr>
                <w:rFonts w:ascii="Arial" w:cs="Arial" w:eastAsia="Arial" w:hAnsi="Arial"/>
                <w:sz w:val="14"/>
                <w:szCs w:val="14"/>
                <w:b w:val="1"/>
                <w:bCs w:val="1"/>
                <w:color w:val="auto"/>
                <w:w w:val="94"/>
              </w:rPr>
              <w:t>Delaware</w:t>
            </w:r>
          </w:p>
        </w:tc>
        <w:tc>
          <w:tcPr>
            <w:tcW w:w="2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tcPr>
          <w:p>
            <w:pPr>
              <w:jc w:val="center"/>
              <w:ind w:right="2101"/>
              <w:spacing w:after="0"/>
              <w:rPr>
                <w:sz w:val="20"/>
                <w:szCs w:val="20"/>
                <w:color w:val="auto"/>
              </w:rPr>
            </w:pPr>
            <w:r>
              <w:rPr>
                <w:rFonts w:ascii="Arial" w:cs="Arial" w:eastAsia="Arial" w:hAnsi="Arial"/>
                <w:sz w:val="14"/>
                <w:szCs w:val="14"/>
                <w:b w:val="1"/>
                <w:bCs w:val="1"/>
                <w:color w:val="auto"/>
              </w:rPr>
              <w:t>36</w:t>
            </w:r>
            <w:r>
              <w:rPr>
                <w:rFonts w:ascii="Arial" w:cs="Arial" w:eastAsia="Arial" w:hAnsi="Arial"/>
                <w:sz w:val="18"/>
                <w:szCs w:val="18"/>
                <w:b w:val="1"/>
                <w:bCs w:val="1"/>
                <w:color w:val="auto"/>
              </w:rPr>
              <w:t>-</w:t>
            </w:r>
            <w:r>
              <w:rPr>
                <w:rFonts w:ascii="Arial" w:cs="Arial" w:eastAsia="Arial" w:hAnsi="Arial"/>
                <w:sz w:val="14"/>
                <w:szCs w:val="14"/>
                <w:b w:val="1"/>
                <w:bCs w:val="1"/>
                <w:color w:val="auto"/>
              </w:rPr>
              <w:t>3898269</w:t>
            </w:r>
          </w:p>
        </w:tc>
        <w:tc>
          <w:tcPr>
            <w:tcW w:w="0" w:type="dxa"/>
            <w:vAlign w:val="bottom"/>
          </w:tcPr>
          <w:p>
            <w:pPr>
              <w:spacing w:after="0"/>
              <w:rPr>
                <w:sz w:val="1"/>
                <w:szCs w:val="1"/>
                <w:color w:val="auto"/>
              </w:rPr>
            </w:pPr>
          </w:p>
        </w:tc>
      </w:tr>
      <w:tr>
        <w:trPr>
          <w:trHeight w:val="182"/>
        </w:trPr>
        <w:tc>
          <w:tcPr>
            <w:tcW w:w="4520" w:type="dxa"/>
            <w:vAlign w:val="bottom"/>
            <w:gridSpan w:val="2"/>
          </w:tcPr>
          <w:p>
            <w:pPr>
              <w:jc w:val="center"/>
              <w:ind w:left="484"/>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5880" w:type="dxa"/>
            <w:vAlign w:val="bottom"/>
            <w:gridSpan w:val="3"/>
          </w:tcPr>
          <w:p>
            <w:pPr>
              <w:jc w:val="center"/>
              <w:ind w:left="676"/>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259"/>
        </w:trPr>
        <w:tc>
          <w:tcPr>
            <w:tcW w:w="4520" w:type="dxa"/>
            <w:vAlign w:val="bottom"/>
            <w:gridSpan w:val="2"/>
          </w:tcPr>
          <w:p>
            <w:pPr>
              <w:jc w:val="center"/>
              <w:ind w:left="504"/>
              <w:spacing w:after="0"/>
              <w:rPr>
                <w:sz w:val="20"/>
                <w:szCs w:val="20"/>
                <w:color w:val="auto"/>
              </w:rPr>
            </w:pPr>
            <w:r>
              <w:rPr>
                <w:rFonts w:ascii="Arial" w:cs="Arial" w:eastAsia="Arial" w:hAnsi="Arial"/>
                <w:sz w:val="14"/>
                <w:szCs w:val="14"/>
                <w:b w:val="1"/>
                <w:bCs w:val="1"/>
                <w:color w:val="auto"/>
                <w:w w:val="92"/>
              </w:rPr>
              <w:t>2 Gansevoort St., 9th Floor</w:t>
            </w:r>
          </w:p>
        </w:tc>
        <w:tc>
          <w:tcPr>
            <w:tcW w:w="2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20" w:type="dxa"/>
            <w:vAlign w:val="bottom"/>
            <w:vMerge w:val="restart"/>
          </w:tcPr>
          <w:p>
            <w:pPr>
              <w:jc w:val="right"/>
              <w:ind w:right="2301"/>
              <w:spacing w:after="0"/>
              <w:rPr>
                <w:sz w:val="20"/>
                <w:szCs w:val="20"/>
                <w:color w:val="auto"/>
              </w:rPr>
            </w:pPr>
            <w:r>
              <w:rPr>
                <w:rFonts w:ascii="Arial" w:cs="Arial" w:eastAsia="Arial" w:hAnsi="Arial"/>
                <w:sz w:val="14"/>
                <w:szCs w:val="14"/>
                <w:b w:val="1"/>
                <w:bCs w:val="1"/>
                <w:color w:val="auto"/>
              </w:rPr>
              <w:t>10014</w:t>
            </w:r>
          </w:p>
        </w:tc>
        <w:tc>
          <w:tcPr>
            <w:tcW w:w="0" w:type="dxa"/>
            <w:vAlign w:val="bottom"/>
          </w:tcPr>
          <w:p>
            <w:pPr>
              <w:spacing w:after="0"/>
              <w:rPr>
                <w:sz w:val="1"/>
                <w:szCs w:val="1"/>
                <w:color w:val="auto"/>
              </w:rPr>
            </w:pPr>
          </w:p>
        </w:tc>
      </w:tr>
      <w:tr>
        <w:trPr>
          <w:trHeight w:val="153"/>
        </w:trPr>
        <w:tc>
          <w:tcPr>
            <w:tcW w:w="4520" w:type="dxa"/>
            <w:vAlign w:val="bottom"/>
            <w:gridSpan w:val="2"/>
          </w:tcPr>
          <w:p>
            <w:pPr>
              <w:jc w:val="center"/>
              <w:ind w:left="504"/>
              <w:spacing w:after="0" w:line="153" w:lineRule="exact"/>
              <w:rPr>
                <w:sz w:val="20"/>
                <w:szCs w:val="20"/>
                <w:color w:val="auto"/>
              </w:rPr>
            </w:pPr>
            <w:r>
              <w:rPr>
                <w:rFonts w:ascii="Arial" w:cs="Arial" w:eastAsia="Arial" w:hAnsi="Arial"/>
                <w:sz w:val="14"/>
                <w:szCs w:val="14"/>
                <w:b w:val="1"/>
                <w:bCs w:val="1"/>
                <w:color w:val="auto"/>
                <w:w w:val="95"/>
              </w:rPr>
              <w:t>New York, New York</w:t>
            </w:r>
          </w:p>
        </w:tc>
        <w:tc>
          <w:tcPr>
            <w:tcW w:w="2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520" w:type="dxa"/>
            <w:vAlign w:val="bottom"/>
            <w:gridSpan w:val="2"/>
          </w:tcPr>
          <w:p>
            <w:pPr>
              <w:jc w:val="center"/>
              <w:ind w:left="484"/>
              <w:spacing w:after="0"/>
              <w:rPr>
                <w:sz w:val="20"/>
                <w:szCs w:val="20"/>
                <w:color w:val="auto"/>
              </w:rPr>
            </w:pPr>
            <w:r>
              <w:rPr>
                <w:rFonts w:ascii="Arial" w:cs="Arial" w:eastAsia="Arial" w:hAnsi="Arial"/>
                <w:sz w:val="14"/>
                <w:szCs w:val="14"/>
                <w:color w:val="auto"/>
                <w:w w:val="95"/>
              </w:rPr>
              <w:t>(Address of principal executive offices)</w:t>
            </w:r>
          </w:p>
        </w:tc>
        <w:tc>
          <w:tcPr>
            <w:tcW w:w="2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20" w:type="dxa"/>
            <w:vAlign w:val="bottom"/>
          </w:tcPr>
          <w:p>
            <w:pPr>
              <w:jc w:val="center"/>
              <w:ind w:right="2021"/>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84"/>
        </w:trPr>
        <w:tc>
          <w:tcPr>
            <w:tcW w:w="7380" w:type="dxa"/>
            <w:vAlign w:val="bottom"/>
            <w:gridSpan w:val="4"/>
          </w:tcPr>
          <w:p>
            <w:pPr>
              <w:jc w:val="center"/>
              <w:ind w:left="2924"/>
              <w:spacing w:after="0"/>
              <w:rPr>
                <w:sz w:val="20"/>
                <w:szCs w:val="20"/>
                <w:color w:val="auto"/>
              </w:rPr>
            </w:pPr>
            <w:r>
              <w:rPr>
                <w:rFonts w:ascii="Arial" w:cs="Arial" w:eastAsia="Arial" w:hAnsi="Arial"/>
                <w:sz w:val="14"/>
                <w:szCs w:val="14"/>
                <w:b w:val="1"/>
                <w:bCs w:val="1"/>
                <w:color w:val="auto"/>
                <w:w w:val="92"/>
              </w:rPr>
              <w:t>Registrant’s telephone number, including area code: (212) 554-4484</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380" w:type="dxa"/>
            <w:vAlign w:val="bottom"/>
            <w:gridSpan w:val="4"/>
          </w:tcPr>
          <w:p>
            <w:pPr>
              <w:jc w:val="center"/>
              <w:ind w:left="2944"/>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38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88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Arial" w:cs="Arial" w:eastAsia="Arial" w:hAnsi="Arial"/>
                <w:sz w:val="18"/>
                <w:szCs w:val="18"/>
                <w:b w:val="1"/>
                <w:bCs w:val="1"/>
                <w:color w:val="auto"/>
                <w:w w:val="91"/>
              </w:rPr>
              <w:t>Title of Class</w:t>
            </w:r>
          </w:p>
        </w:tc>
        <w:tc>
          <w:tcPr>
            <w:tcW w:w="640" w:type="dxa"/>
            <w:vAlign w:val="bottom"/>
            <w:tcBorders>
              <w:bottom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jc w:val="center"/>
              <w:ind w:right="436"/>
              <w:spacing w:after="0"/>
              <w:rPr>
                <w:sz w:val="20"/>
                <w:szCs w:val="20"/>
                <w:color w:val="auto"/>
              </w:rPr>
            </w:pPr>
            <w:r>
              <w:rPr>
                <w:rFonts w:ascii="Arial" w:cs="Arial" w:eastAsia="Arial" w:hAnsi="Arial"/>
                <w:sz w:val="18"/>
                <w:szCs w:val="18"/>
                <w:b w:val="1"/>
                <w:bCs w:val="1"/>
                <w:color w:val="auto"/>
                <w:w w:val="91"/>
              </w:rPr>
              <w:t>Trading Symbol(s)</w:t>
            </w:r>
          </w:p>
        </w:tc>
        <w:tc>
          <w:tcPr>
            <w:tcW w:w="420" w:type="dxa"/>
            <w:vAlign w:val="bottom"/>
            <w:tcBorders>
              <w:bottom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jc w:val="center"/>
              <w:ind w:right="221"/>
              <w:spacing w:after="0"/>
              <w:rPr>
                <w:sz w:val="20"/>
                <w:szCs w:val="20"/>
                <w:color w:val="auto"/>
              </w:rPr>
            </w:pPr>
            <w:r>
              <w:rPr>
                <w:rFonts w:ascii="Arial" w:cs="Arial" w:eastAsia="Arial" w:hAnsi="Arial"/>
                <w:sz w:val="18"/>
                <w:szCs w:val="18"/>
                <w:b w:val="1"/>
                <w:bCs w:val="1"/>
                <w:color w:val="auto"/>
                <w:w w:val="89"/>
              </w:rPr>
              <w:t>Exchange Name</w:t>
            </w:r>
          </w:p>
        </w:tc>
        <w:tc>
          <w:tcPr>
            <w:tcW w:w="0" w:type="dxa"/>
            <w:vAlign w:val="bottom"/>
          </w:tcPr>
          <w:p>
            <w:pPr>
              <w:spacing w:after="0"/>
              <w:rPr>
                <w:sz w:val="1"/>
                <w:szCs w:val="1"/>
                <w:color w:val="auto"/>
              </w:rPr>
            </w:pPr>
          </w:p>
        </w:tc>
      </w:tr>
      <w:tr>
        <w:trPr>
          <w:trHeight w:val="210"/>
        </w:trPr>
        <w:tc>
          <w:tcPr>
            <w:tcW w:w="388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Arial" w:cs="Arial" w:eastAsia="Arial" w:hAnsi="Arial"/>
                <w:sz w:val="18"/>
                <w:szCs w:val="18"/>
                <w:color w:val="auto"/>
                <w:w w:val="90"/>
              </w:rPr>
              <w:t>Common Stock, par value $0.001</w:t>
            </w:r>
          </w:p>
        </w:tc>
        <w:tc>
          <w:tcPr>
            <w:tcW w:w="640" w:type="dxa"/>
            <w:vAlign w:val="bottom"/>
            <w:tcBorders>
              <w:bottom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jc w:val="center"/>
              <w:ind w:right="436"/>
              <w:spacing w:after="0"/>
              <w:rPr>
                <w:sz w:val="20"/>
                <w:szCs w:val="20"/>
                <w:color w:val="auto"/>
              </w:rPr>
            </w:pPr>
            <w:r>
              <w:rPr>
                <w:rFonts w:ascii="Arial" w:cs="Arial" w:eastAsia="Arial" w:hAnsi="Arial"/>
                <w:sz w:val="18"/>
                <w:szCs w:val="18"/>
                <w:color w:val="auto"/>
                <w:w w:val="99"/>
              </w:rPr>
              <w:t>TGTX</w:t>
            </w:r>
          </w:p>
        </w:tc>
        <w:tc>
          <w:tcPr>
            <w:tcW w:w="420" w:type="dxa"/>
            <w:vAlign w:val="bottom"/>
            <w:tcBorders>
              <w:bottom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jc w:val="center"/>
              <w:ind w:right="221"/>
              <w:spacing w:after="0"/>
              <w:rPr>
                <w:sz w:val="20"/>
                <w:szCs w:val="20"/>
                <w:color w:val="auto"/>
              </w:rPr>
            </w:pPr>
            <w:r>
              <w:rPr>
                <w:rFonts w:ascii="Arial" w:cs="Arial" w:eastAsia="Arial" w:hAnsi="Arial"/>
                <w:sz w:val="18"/>
                <w:szCs w:val="18"/>
                <w:color w:val="auto"/>
                <w:w w:val="91"/>
              </w:rPr>
              <w:t>Nasdaq Capital Market</w:t>
            </w:r>
          </w:p>
        </w:tc>
        <w:tc>
          <w:tcPr>
            <w:tcW w:w="0" w:type="dxa"/>
            <w:vAlign w:val="bottom"/>
          </w:tcPr>
          <w:p>
            <w:pPr>
              <w:spacing w:after="0"/>
              <w:rPr>
                <w:sz w:val="1"/>
                <w:szCs w:val="1"/>
                <w:color w:val="auto"/>
              </w:rPr>
            </w:pPr>
          </w:p>
        </w:tc>
      </w:tr>
    </w:tbl>
    <w:p>
      <w:pPr>
        <w:spacing w:after="0" w:line="382" w:lineRule="exact"/>
        <w:rPr>
          <w:sz w:val="24"/>
          <w:szCs w:val="24"/>
          <w:color w:val="auto"/>
        </w:rPr>
      </w:pPr>
    </w:p>
    <w:p>
      <w:pPr>
        <w:ind w:left="3220"/>
        <w:spacing w:after="0"/>
        <w:tabs>
          <w:tab w:leader="none" w:pos="6840" w:val="left"/>
        </w:tabs>
        <w:rPr>
          <w:sz w:val="20"/>
          <w:szCs w:val="20"/>
          <w:color w:val="auto"/>
        </w:rPr>
      </w:pPr>
      <w:r>
        <w:rPr>
          <w:rFonts w:ascii="Arial" w:cs="Arial" w:eastAsia="Arial" w:hAnsi="Arial"/>
          <w:sz w:val="14"/>
          <w:szCs w:val="14"/>
          <w:b w:val="1"/>
          <w:bCs w:val="1"/>
          <w:color w:val="auto"/>
        </w:rPr>
        <w:t>Securities registered pursuant to Section 12(g) of the Act:</w:t>
      </w:r>
      <w:r>
        <w:rPr>
          <w:sz w:val="20"/>
          <w:szCs w:val="20"/>
          <w:color w:val="auto"/>
        </w:rPr>
        <w:tab/>
      </w:r>
      <w:r>
        <w:rPr>
          <w:rFonts w:ascii="Arial" w:cs="Arial" w:eastAsia="Arial" w:hAnsi="Arial"/>
          <w:sz w:val="13"/>
          <w:szCs w:val="13"/>
          <w:color w:val="auto"/>
        </w:rPr>
        <w:t>None</w:t>
      </w:r>
    </w:p>
    <w:p>
      <w:pPr>
        <w:spacing w:after="0" w:line="8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w:t>
      </w:r>
    </w:p>
    <w:p>
      <w:pPr>
        <w:spacing w:after="0" w:line="1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4"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if any,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0380"/>
          </w:cols>
          <w:pgMar w:left="760" w:top="665" w:right="759" w:bottom="1440" w:gutter="0" w:footer="0" w:header="0"/>
        </w:sectPr>
      </w:pPr>
    </w:p>
    <w:p>
      <w:pPr>
        <w:spacing w:after="0" w:line="83"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6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ind w:left="6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36" w:lineRule="exact"/>
        <w:rPr>
          <w:sz w:val="24"/>
          <w:szCs w:val="24"/>
          <w:color w:val="auto"/>
        </w:rPr>
      </w:pPr>
    </w:p>
    <w:p>
      <w:pPr>
        <w:sectPr>
          <w:pgSz w:w="11900" w:h="16838" w:orient="portrait"/>
          <w:cols w:equalWidth="0" w:num="2">
            <w:col w:w="7920" w:space="720"/>
            <w:col w:w="1740"/>
          </w:cols>
          <w:pgMar w:left="760" w:top="665" w:right="759" w:bottom="1440" w:gutter="0" w:footer="0" w:header="0"/>
          <w:type w:val="continuous"/>
        </w:sectPr>
      </w:pPr>
    </w:p>
    <w:p>
      <w:pPr>
        <w:ind w:right="3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460"/>
        <w:spacing w:after="0" w:line="291" w:lineRule="auto"/>
        <w:rPr>
          <w:sz w:val="20"/>
          <w:szCs w:val="20"/>
          <w:color w:val="auto"/>
        </w:rPr>
      </w:pPr>
      <w:r>
        <w:rPr>
          <w:rFonts w:ascii="Arial" w:cs="Arial" w:eastAsia="Arial" w:hAnsi="Arial"/>
          <w:sz w:val="13"/>
          <w:szCs w:val="13"/>
          <w:color w:val="auto"/>
        </w:rPr>
        <w:t>The aggregate market value of voting common stock held by non-affiliates of the registrant (assuming, for purposes of this calculation, without conceding, that all executive officers and directors are “affiliates”) was $687,572,082 as of June 30, 2019, based on the closing sale price of such stock as reported on the NASDAQ Capital Market.</w:t>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color w:val="auto"/>
        </w:rPr>
        <w:t>There were 109,401,184 shares of the registrant’s common stock, $0.001 par value, outstanding as of February 21, 2020.</w:t>
      </w:r>
    </w:p>
    <w:p>
      <w:pPr>
        <w:spacing w:after="0" w:line="92"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ind w:left="640"/>
        <w:spacing w:after="0"/>
        <w:rPr>
          <w:sz w:val="20"/>
          <w:szCs w:val="20"/>
          <w:color w:val="auto"/>
        </w:rPr>
      </w:pPr>
      <w:r>
        <w:rPr>
          <w:rFonts w:ascii="Arial" w:cs="Arial" w:eastAsia="Arial" w:hAnsi="Arial"/>
          <w:sz w:val="13"/>
          <w:szCs w:val="13"/>
          <w:color w:val="auto"/>
        </w:rPr>
        <w:t>Portions of the registrant’s Proxy Statement for the 2020 Annual Meeting of Stockholders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628650</wp:posOffset>
            </wp:positionV>
            <wp:extent cx="65951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71120</wp:posOffset>
            </wp:positionV>
            <wp:extent cx="65951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114300</wp:posOffset>
            </wp:positionV>
            <wp:extent cx="659511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380"/>
          </w:cols>
          <w:pgMar w:left="760" w:top="665" w:right="7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40" w:type="dxa"/>
            <w:vAlign w:val="bottom"/>
            <w:gridSpan w:val="2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100" w:type="dxa"/>
            <w:vAlign w:val="bottom"/>
            <w:gridSpan w:val="11"/>
          </w:tcPr>
          <w:p>
            <w:pPr>
              <w:jc w:val="center"/>
              <w:ind w:right="2600"/>
              <w:spacing w:after="0"/>
              <w:rPr>
                <w:sz w:val="20"/>
                <w:szCs w:val="20"/>
                <w:color w:val="auto"/>
              </w:rPr>
            </w:pPr>
            <w:r>
              <w:rPr>
                <w:rFonts w:ascii="Arial" w:cs="Arial" w:eastAsia="Arial" w:hAnsi="Arial"/>
                <w:sz w:val="18"/>
                <w:szCs w:val="18"/>
                <w:b w:val="1"/>
                <w:bCs w:val="1"/>
                <w:color w:val="auto"/>
              </w:rPr>
              <w:t>TG THERAPEUTICS, INC.</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160" w:type="dxa"/>
            <w:vAlign w:val="bottom"/>
            <w:gridSpan w:val="12"/>
          </w:tcPr>
          <w:p>
            <w:pPr>
              <w:jc w:val="center"/>
              <w:ind w:right="1540"/>
              <w:spacing w:after="0"/>
              <w:rPr>
                <w:sz w:val="20"/>
                <w:szCs w:val="20"/>
                <w:color w:val="auto"/>
              </w:rPr>
            </w:pPr>
            <w:r>
              <w:rPr>
                <w:rFonts w:ascii="Arial" w:cs="Arial" w:eastAsia="Arial" w:hAnsi="Arial"/>
                <w:sz w:val="18"/>
                <w:szCs w:val="18"/>
                <w:b w:val="1"/>
                <w:bCs w:val="1"/>
                <w:color w:val="auto"/>
                <w:w w:val="99"/>
              </w:rPr>
              <w:t>ANNUAL REPORT ON FORM 10-K</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160" w:type="dxa"/>
            <w:vAlign w:val="bottom"/>
            <w:gridSpan w:val="12"/>
          </w:tcPr>
          <w:p>
            <w:pPr>
              <w:jc w:val="center"/>
              <w:ind w:right="1520"/>
              <w:spacing w:after="0"/>
              <w:rPr>
                <w:sz w:val="20"/>
                <w:szCs w:val="20"/>
                <w:color w:val="auto"/>
              </w:rPr>
            </w:pPr>
            <w:r>
              <w:rPr>
                <w:rFonts w:ascii="Arial" w:cs="Arial" w:eastAsia="Arial" w:hAnsi="Arial"/>
                <w:sz w:val="18"/>
                <w:szCs w:val="18"/>
                <w:b w:val="1"/>
                <w:bCs w:val="1"/>
                <w:color w:val="auto"/>
                <w:w w:val="98"/>
              </w:rPr>
              <w:t>FOR THE FISCAL YEAR ENDED DECEMBER 31, 2019</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10"/>
          </w:tcPr>
          <w:p>
            <w:pPr>
              <w:jc w:val="center"/>
              <w:ind w:right="2860"/>
              <w:spacing w:after="0"/>
              <w:rPr>
                <w:sz w:val="20"/>
                <w:szCs w:val="20"/>
                <w:color w:val="auto"/>
              </w:rPr>
            </w:pPr>
            <w:r>
              <w:rPr>
                <w:rFonts w:ascii="Arial" w:cs="Arial" w:eastAsia="Arial" w:hAnsi="Arial"/>
                <w:sz w:val="18"/>
                <w:szCs w:val="18"/>
                <w:b w:val="1"/>
                <w:bCs w:val="1"/>
                <w:color w:val="auto"/>
                <w:w w:val="98"/>
              </w:rPr>
              <w:t>TABLE OF CONTENTS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040" w:type="dxa"/>
            <w:vAlign w:val="bottom"/>
            <w:gridSpan w:val="2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SPECIAL CAUTIONARY NOTICE REGARDING FORWARD-LOOKING STATEMENTS</w:t>
              </w:r>
            </w:hyperlink>
          </w:p>
        </w:tc>
        <w:tc>
          <w:tcPr>
            <w:tcW w:w="13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9040" w:type="dxa"/>
            <w:vAlign w:val="bottom"/>
            <w:gridSpan w:val="26"/>
            <w:vMerge w:val="continue"/>
          </w:tcPr>
          <w:p>
            <w:pPr>
              <w:spacing w:after="0"/>
              <w:rPr>
                <w:sz w:val="13"/>
                <w:szCs w:val="13"/>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26"/>
        </w:trPr>
        <w:tc>
          <w:tcPr>
            <w:tcW w:w="66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400" w:type="dxa"/>
            <w:vAlign w:val="bottom"/>
            <w:tcBorders>
              <w:top w:val="single" w:sz="8" w:color="0000EE"/>
            </w:tcBorders>
            <w:gridSpan w:val="3"/>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ITEM 1</w:t>
              </w:r>
            </w:hyperlink>
          </w:p>
        </w:tc>
        <w:tc>
          <w:tcPr>
            <w:tcW w:w="480" w:type="dxa"/>
            <w:vAlign w:val="bottom"/>
            <w:gridSpan w:val="4"/>
          </w:tcPr>
          <w:p>
            <w:pPr>
              <w:spacing w:after="0"/>
              <w:rPr>
                <w:sz w:val="17"/>
                <w:szCs w:val="17"/>
                <w:color w:val="auto"/>
              </w:rPr>
            </w:pPr>
          </w:p>
        </w:tc>
        <w:tc>
          <w:tcPr>
            <w:tcW w:w="798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ITEM 1A</w:t>
              </w:r>
            </w:hyperlink>
          </w:p>
        </w:tc>
        <w:tc>
          <w:tcPr>
            <w:tcW w:w="340" w:type="dxa"/>
            <w:vAlign w:val="bottom"/>
            <w:gridSpan w:val="2"/>
          </w:tcPr>
          <w:p>
            <w:pPr>
              <w:spacing w:after="0"/>
              <w:rPr>
                <w:sz w:val="17"/>
                <w:szCs w:val="17"/>
                <w:color w:val="auto"/>
              </w:rPr>
            </w:pPr>
          </w:p>
        </w:tc>
        <w:tc>
          <w:tcPr>
            <w:tcW w:w="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Risk Factors</w:t>
              </w:r>
            </w:hyperlink>
          </w:p>
        </w:tc>
        <w:tc>
          <w:tcPr>
            <w:tcW w:w="7060" w:type="dxa"/>
            <w:vAlign w:val="bottom"/>
            <w:gridSpan w:val="16"/>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74">
              <w:r>
                <w:rPr>
                  <w:rFonts w:ascii="Arial" w:cs="Arial" w:eastAsia="Arial" w:hAnsi="Arial"/>
                  <w:sz w:val="18"/>
                  <w:szCs w:val="18"/>
                  <w:color w:val="0000EE"/>
                  <w:w w:val="96"/>
                </w:rPr>
                <w:t>ITEM 2</w:t>
              </w:r>
            </w:hyperlink>
          </w:p>
        </w:tc>
        <w:tc>
          <w:tcPr>
            <w:tcW w:w="480" w:type="dxa"/>
            <w:vAlign w:val="bottom"/>
            <w:gridSpan w:val="4"/>
          </w:tcPr>
          <w:p>
            <w:pPr>
              <w:spacing w:after="0"/>
              <w:rPr>
                <w:sz w:val="17"/>
                <w:szCs w:val="17"/>
                <w:color w:val="auto"/>
              </w:rPr>
            </w:pPr>
          </w:p>
        </w:tc>
        <w:tc>
          <w:tcPr>
            <w:tcW w:w="7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74">
              <w:r>
                <w:rPr>
                  <w:rFonts w:ascii="Arial" w:cs="Arial" w:eastAsia="Arial" w:hAnsi="Arial"/>
                  <w:sz w:val="18"/>
                  <w:szCs w:val="18"/>
                  <w:color w:val="0000EE"/>
                  <w:w w:val="87"/>
                </w:rPr>
                <w:t>Properties</w:t>
              </w:r>
            </w:hyperlink>
          </w:p>
        </w:tc>
        <w:tc>
          <w:tcPr>
            <w:tcW w:w="7240" w:type="dxa"/>
            <w:vAlign w:val="bottom"/>
            <w:gridSpan w:val="17"/>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rFonts w:ascii="Arial" w:cs="Arial" w:eastAsia="Arial" w:hAnsi="Arial"/>
                <w:sz w:val="18"/>
                <w:szCs w:val="18"/>
                <w:color w:val="0000EE"/>
                <w:w w:val="96"/>
              </w:rPr>
            </w:pPr>
            <w:hyperlink w:anchor="page74">
              <w:r>
                <w:rPr>
                  <w:rFonts w:ascii="Arial" w:cs="Arial" w:eastAsia="Arial" w:hAnsi="Arial"/>
                  <w:sz w:val="18"/>
                  <w:szCs w:val="18"/>
                  <w:color w:val="0000EE"/>
                  <w:w w:val="96"/>
                </w:rPr>
                <w:t>ITEM 3</w:t>
              </w:r>
            </w:hyperlink>
          </w:p>
        </w:tc>
        <w:tc>
          <w:tcPr>
            <w:tcW w:w="480" w:type="dxa"/>
            <w:vAlign w:val="bottom"/>
            <w:gridSpan w:val="4"/>
          </w:tcPr>
          <w:p>
            <w:pPr>
              <w:spacing w:after="0"/>
              <w:rPr>
                <w:sz w:val="17"/>
                <w:szCs w:val="17"/>
                <w:color w:val="auto"/>
              </w:rPr>
            </w:pPr>
          </w:p>
        </w:tc>
        <w:tc>
          <w:tcPr>
            <w:tcW w:w="7980" w:type="dxa"/>
            <w:vAlign w:val="bottom"/>
            <w:gridSpan w:val="2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Legal Proceedings</w:t>
              </w:r>
            </w:hyperlink>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74">
              <w:r>
                <w:rPr>
                  <w:rFonts w:ascii="Arial" w:cs="Arial" w:eastAsia="Arial" w:hAnsi="Arial"/>
                  <w:sz w:val="18"/>
                  <w:szCs w:val="18"/>
                  <w:color w:val="0000EE"/>
                  <w:w w:val="96"/>
                </w:rPr>
                <w:t>ITEM 4</w:t>
              </w:r>
            </w:hyperlink>
          </w:p>
        </w:tc>
        <w:tc>
          <w:tcPr>
            <w:tcW w:w="480" w:type="dxa"/>
            <w:vAlign w:val="bottom"/>
            <w:gridSpan w:val="4"/>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Mine Safety Disclosures</w:t>
              </w:r>
            </w:hyperlink>
          </w:p>
        </w:tc>
        <w:tc>
          <w:tcPr>
            <w:tcW w:w="6200" w:type="dxa"/>
            <w:vAlign w:val="bottom"/>
            <w:gridSpan w:val="13"/>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412"/>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6"/>
              </w:rPr>
            </w:pPr>
            <w:hyperlink w:anchor="page74">
              <w:r>
                <w:rPr>
                  <w:rFonts w:ascii="Arial" w:cs="Arial" w:eastAsia="Arial" w:hAnsi="Arial"/>
                  <w:sz w:val="18"/>
                  <w:szCs w:val="18"/>
                  <w:b w:val="1"/>
                  <w:bCs w:val="1"/>
                  <w:color w:val="0000EE"/>
                  <w:w w:val="96"/>
                </w:rPr>
                <w:t>PART II</w:t>
              </w:r>
            </w:hyperlink>
          </w:p>
        </w:tc>
        <w:tc>
          <w:tcPr>
            <w:tcW w:w="40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412"/>
        </w:trPr>
        <w:tc>
          <w:tcPr>
            <w:tcW w:w="580" w:type="dxa"/>
            <w:vAlign w:val="bottom"/>
          </w:tcPr>
          <w:p>
            <w:pPr>
              <w:spacing w:after="0"/>
              <w:rPr>
                <w:rFonts w:ascii="Arial" w:cs="Arial" w:eastAsia="Arial" w:hAnsi="Arial"/>
                <w:sz w:val="18"/>
                <w:szCs w:val="18"/>
                <w:color w:val="0000EE"/>
                <w:w w:val="96"/>
              </w:rPr>
            </w:pPr>
            <w:hyperlink w:anchor="page74">
              <w:r>
                <w:rPr>
                  <w:rFonts w:ascii="Arial" w:cs="Arial" w:eastAsia="Arial" w:hAnsi="Arial"/>
                  <w:sz w:val="18"/>
                  <w:szCs w:val="18"/>
                  <w:color w:val="0000EE"/>
                  <w:w w:val="96"/>
                </w:rPr>
                <w:t>ITEM 5</w:t>
              </w:r>
            </w:hyperlink>
          </w:p>
        </w:tc>
        <w:tc>
          <w:tcPr>
            <w:tcW w:w="480" w:type="dxa"/>
            <w:vAlign w:val="bottom"/>
            <w:gridSpan w:val="4"/>
          </w:tcPr>
          <w:p>
            <w:pPr>
              <w:spacing w:after="0"/>
              <w:rPr>
                <w:sz w:val="24"/>
                <w:szCs w:val="24"/>
                <w:color w:val="auto"/>
              </w:rPr>
            </w:pPr>
          </w:p>
        </w:tc>
        <w:tc>
          <w:tcPr>
            <w:tcW w:w="7980" w:type="dxa"/>
            <w:vAlign w:val="bottom"/>
            <w:gridSpan w:val="21"/>
          </w:tcPr>
          <w:p>
            <w:pPr>
              <w:spacing w:after="0"/>
              <w:rPr>
                <w:rFonts w:ascii="Arial" w:cs="Arial" w:eastAsia="Arial" w:hAnsi="Arial"/>
                <w:sz w:val="18"/>
                <w:szCs w:val="18"/>
                <w:color w:val="0000EE"/>
                <w:w w:val="98"/>
              </w:rPr>
            </w:pPr>
            <w:hyperlink w:anchor="page74">
              <w:r>
                <w:rPr>
                  <w:rFonts w:ascii="Arial" w:cs="Arial" w:eastAsia="Arial" w:hAnsi="Arial"/>
                  <w:sz w:val="18"/>
                  <w:szCs w:val="18"/>
                  <w:color w:val="0000EE"/>
                  <w:w w:val="98"/>
                </w:rPr>
                <w:t>Market for Registrant’s Common Equity, Related Stockholder Matters and Issuer Purchases of Equity</w:t>
              </w:r>
            </w:hyperlink>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74">
              <w:r>
                <w:rPr>
                  <w:rFonts w:ascii="Arial" w:cs="Arial" w:eastAsia="Arial" w:hAnsi="Arial"/>
                  <w:sz w:val="18"/>
                  <w:szCs w:val="18"/>
                  <w:color w:val="0000EE"/>
                  <w:w w:val="88"/>
                </w:rPr>
                <w:t>Securities</w:t>
              </w:r>
            </w:hyperlink>
          </w:p>
        </w:tc>
        <w:tc>
          <w:tcPr>
            <w:tcW w:w="6600" w:type="dxa"/>
            <w:vAlign w:val="bottom"/>
            <w:tcBorders>
              <w:top w:val="single" w:sz="8" w:color="0000EE"/>
            </w:tcBorders>
            <w:gridSpan w:val="17"/>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76">
              <w:r>
                <w:rPr>
                  <w:rFonts w:ascii="Arial" w:cs="Arial" w:eastAsia="Arial" w:hAnsi="Arial"/>
                  <w:sz w:val="18"/>
                  <w:szCs w:val="18"/>
                  <w:color w:val="0000EE"/>
                  <w:w w:val="96"/>
                </w:rPr>
                <w:t>ITEM 6</w:t>
              </w:r>
            </w:hyperlink>
          </w:p>
        </w:tc>
        <w:tc>
          <w:tcPr>
            <w:tcW w:w="480" w:type="dxa"/>
            <w:vAlign w:val="bottom"/>
            <w:gridSpan w:val="4"/>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Selected Financial Data</w:t>
              </w:r>
            </w:hyperlink>
          </w:p>
        </w:tc>
        <w:tc>
          <w:tcPr>
            <w:tcW w:w="6260" w:type="dxa"/>
            <w:vAlign w:val="bottom"/>
            <w:gridSpan w:val="14"/>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rFonts w:ascii="Arial" w:cs="Arial" w:eastAsia="Arial" w:hAnsi="Arial"/>
                <w:sz w:val="18"/>
                <w:szCs w:val="18"/>
                <w:color w:val="0000EE"/>
                <w:w w:val="96"/>
              </w:rPr>
            </w:pPr>
            <w:hyperlink w:anchor="page77">
              <w:r>
                <w:rPr>
                  <w:rFonts w:ascii="Arial" w:cs="Arial" w:eastAsia="Arial" w:hAnsi="Arial"/>
                  <w:sz w:val="18"/>
                  <w:szCs w:val="18"/>
                  <w:color w:val="0000EE"/>
                  <w:w w:val="96"/>
                </w:rPr>
                <w:t>ITEM 7</w:t>
              </w:r>
            </w:hyperlink>
          </w:p>
        </w:tc>
        <w:tc>
          <w:tcPr>
            <w:tcW w:w="480" w:type="dxa"/>
            <w:vAlign w:val="bottom"/>
            <w:gridSpan w:val="4"/>
          </w:tcPr>
          <w:p>
            <w:pPr>
              <w:spacing w:after="0"/>
              <w:rPr>
                <w:sz w:val="17"/>
                <w:szCs w:val="17"/>
                <w:color w:val="auto"/>
              </w:rPr>
            </w:pPr>
          </w:p>
        </w:tc>
        <w:tc>
          <w:tcPr>
            <w:tcW w:w="7980" w:type="dxa"/>
            <w:vAlign w:val="bottom"/>
            <w:gridSpan w:val="21"/>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Management’s Discussion and Analysis of Financial Condition and Results of Operations</w:t>
              </w:r>
            </w:hyperlink>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74</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86">
              <w:r>
                <w:rPr>
                  <w:rFonts w:ascii="Arial" w:cs="Arial" w:eastAsia="Arial" w:hAnsi="Arial"/>
                  <w:sz w:val="18"/>
                  <w:szCs w:val="18"/>
                  <w:color w:val="0000EE"/>
                  <w:w w:val="99"/>
                </w:rPr>
                <w:t>ITEM 7A</w:t>
              </w:r>
            </w:hyperlink>
          </w:p>
        </w:tc>
        <w:tc>
          <w:tcPr>
            <w:tcW w:w="340" w:type="dxa"/>
            <w:vAlign w:val="bottom"/>
            <w:gridSpan w:val="2"/>
          </w:tcPr>
          <w:p>
            <w:pPr>
              <w:spacing w:after="0"/>
              <w:rPr>
                <w:sz w:val="17"/>
                <w:szCs w:val="17"/>
                <w:color w:val="auto"/>
              </w:rPr>
            </w:pPr>
          </w:p>
        </w:tc>
        <w:tc>
          <w:tcPr>
            <w:tcW w:w="43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Quantitative and Qualitative Disclosure About Market Risk</w:t>
              </w:r>
            </w:hyperlink>
          </w:p>
        </w:tc>
        <w:tc>
          <w:tcPr>
            <w:tcW w:w="3680" w:type="dxa"/>
            <w:vAlign w:val="bottom"/>
            <w:gridSpan w:val="7"/>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86">
              <w:r>
                <w:rPr>
                  <w:rFonts w:ascii="Arial" w:cs="Arial" w:eastAsia="Arial" w:hAnsi="Arial"/>
                  <w:sz w:val="18"/>
                  <w:szCs w:val="18"/>
                  <w:color w:val="0000EE"/>
                  <w:w w:val="96"/>
                </w:rPr>
                <w:t>ITEM 8</w:t>
              </w:r>
            </w:hyperlink>
          </w:p>
        </w:tc>
        <w:tc>
          <w:tcPr>
            <w:tcW w:w="480" w:type="dxa"/>
            <w:vAlign w:val="bottom"/>
            <w:gridSpan w:val="4"/>
          </w:tcPr>
          <w:p>
            <w:pPr>
              <w:spacing w:after="0"/>
              <w:rPr>
                <w:sz w:val="17"/>
                <w:szCs w:val="17"/>
                <w:color w:val="auto"/>
              </w:rPr>
            </w:pPr>
          </w:p>
        </w:tc>
        <w:tc>
          <w:tcPr>
            <w:tcW w:w="3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Financial Statements and Supplementary Data</w:t>
              </w:r>
            </w:hyperlink>
          </w:p>
        </w:tc>
        <w:tc>
          <w:tcPr>
            <w:tcW w:w="4640" w:type="dxa"/>
            <w:vAlign w:val="bottom"/>
            <w:gridSpan w:val="9"/>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196"/>
        </w:trPr>
        <w:tc>
          <w:tcPr>
            <w:tcW w:w="580" w:type="dxa"/>
            <w:vAlign w:val="bottom"/>
          </w:tcPr>
          <w:p>
            <w:pPr>
              <w:spacing w:after="0" w:line="196" w:lineRule="exact"/>
              <w:rPr>
                <w:rFonts w:ascii="Arial" w:cs="Arial" w:eastAsia="Arial" w:hAnsi="Arial"/>
                <w:sz w:val="18"/>
                <w:szCs w:val="18"/>
                <w:color w:val="0000EE"/>
                <w:w w:val="96"/>
              </w:rPr>
            </w:pPr>
            <w:hyperlink w:anchor="page86">
              <w:r>
                <w:rPr>
                  <w:rFonts w:ascii="Arial" w:cs="Arial" w:eastAsia="Arial" w:hAnsi="Arial"/>
                  <w:sz w:val="18"/>
                  <w:szCs w:val="18"/>
                  <w:color w:val="0000EE"/>
                  <w:w w:val="96"/>
                </w:rPr>
                <w:t>ITEM 9</w:t>
              </w:r>
            </w:hyperlink>
          </w:p>
        </w:tc>
        <w:tc>
          <w:tcPr>
            <w:tcW w:w="480" w:type="dxa"/>
            <w:vAlign w:val="bottom"/>
            <w:gridSpan w:val="4"/>
          </w:tcPr>
          <w:p>
            <w:pPr>
              <w:spacing w:after="0"/>
              <w:rPr>
                <w:sz w:val="17"/>
                <w:szCs w:val="17"/>
                <w:color w:val="auto"/>
              </w:rPr>
            </w:pPr>
          </w:p>
        </w:tc>
        <w:tc>
          <w:tcPr>
            <w:tcW w:w="7980" w:type="dxa"/>
            <w:vAlign w:val="bottom"/>
            <w:gridSpan w:val="21"/>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Changes in and Disagreements With Accountants on Accounting and Financial Disclosures</w:t>
              </w:r>
            </w:hyperlink>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87">
              <w:r>
                <w:rPr>
                  <w:rFonts w:ascii="Arial" w:cs="Arial" w:eastAsia="Arial" w:hAnsi="Arial"/>
                  <w:sz w:val="18"/>
                  <w:szCs w:val="18"/>
                  <w:color w:val="0000EE"/>
                  <w:w w:val="99"/>
                </w:rPr>
                <w:t>ITEM 9A</w:t>
              </w:r>
            </w:hyperlink>
          </w:p>
        </w:tc>
        <w:tc>
          <w:tcPr>
            <w:tcW w:w="340" w:type="dxa"/>
            <w:vAlign w:val="bottom"/>
            <w:gridSpan w:val="2"/>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87">
              <w:r>
                <w:rPr>
                  <w:rFonts w:ascii="Arial" w:cs="Arial" w:eastAsia="Arial" w:hAnsi="Arial"/>
                  <w:sz w:val="18"/>
                  <w:szCs w:val="18"/>
                  <w:color w:val="0000EE"/>
                  <w:w w:val="88"/>
                </w:rPr>
                <w:t>Controls and Procedures</w:t>
              </w:r>
            </w:hyperlink>
          </w:p>
        </w:tc>
        <w:tc>
          <w:tcPr>
            <w:tcW w:w="6200" w:type="dxa"/>
            <w:vAlign w:val="bottom"/>
            <w:gridSpan w:val="13"/>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84</w:t>
            </w:r>
          </w:p>
        </w:tc>
        <w:tc>
          <w:tcPr>
            <w:tcW w:w="0" w:type="dxa"/>
            <w:vAlign w:val="bottom"/>
          </w:tcPr>
          <w:p>
            <w:pPr>
              <w:spacing w:after="0"/>
              <w:rPr>
                <w:sz w:val="1"/>
                <w:szCs w:val="1"/>
                <w:color w:val="auto"/>
              </w:rPr>
            </w:pPr>
          </w:p>
        </w:tc>
      </w:tr>
      <w:tr>
        <w:trPr>
          <w:trHeight w:val="196"/>
        </w:trPr>
        <w:tc>
          <w:tcPr>
            <w:tcW w:w="660" w:type="dxa"/>
            <w:vAlign w:val="bottom"/>
            <w:gridSpan w:val="2"/>
          </w:tcPr>
          <w:p>
            <w:pPr>
              <w:spacing w:after="0" w:line="196" w:lineRule="exact"/>
              <w:rPr>
                <w:rFonts w:ascii="Arial" w:cs="Arial" w:eastAsia="Arial" w:hAnsi="Arial"/>
                <w:sz w:val="18"/>
                <w:szCs w:val="18"/>
                <w:color w:val="0000EE"/>
                <w:w w:val="88"/>
              </w:rPr>
            </w:pPr>
            <w:hyperlink w:anchor="page89">
              <w:r>
                <w:rPr>
                  <w:rFonts w:ascii="Arial" w:cs="Arial" w:eastAsia="Arial" w:hAnsi="Arial"/>
                  <w:sz w:val="18"/>
                  <w:szCs w:val="18"/>
                  <w:color w:val="0000EE"/>
                  <w:w w:val="88"/>
                </w:rPr>
                <w:t>ITEM 9B</w:t>
              </w:r>
            </w:hyperlink>
          </w:p>
        </w:tc>
        <w:tc>
          <w:tcPr>
            <w:tcW w:w="400" w:type="dxa"/>
            <w:vAlign w:val="bottom"/>
            <w:gridSpan w:val="3"/>
          </w:tcPr>
          <w:p>
            <w:pPr>
              <w:spacing w:after="0"/>
              <w:rPr>
                <w:sz w:val="17"/>
                <w:szCs w:val="17"/>
                <w:color w:val="auto"/>
              </w:rPr>
            </w:pPr>
          </w:p>
        </w:tc>
        <w:tc>
          <w:tcPr>
            <w:tcW w:w="7980" w:type="dxa"/>
            <w:vAlign w:val="bottom"/>
            <w:gridSpan w:val="2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Other Information</w:t>
              </w:r>
            </w:hyperlink>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III</w:t>
              </w:r>
            </w:hyperlink>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412"/>
        </w:trPr>
        <w:tc>
          <w:tcPr>
            <w:tcW w:w="1060" w:type="dxa"/>
            <w:vAlign w:val="bottom"/>
            <w:gridSpan w:val="5"/>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10</w:t>
              </w:r>
            </w:hyperlink>
          </w:p>
        </w:tc>
        <w:tc>
          <w:tcPr>
            <w:tcW w:w="7980" w:type="dxa"/>
            <w:vAlign w:val="bottom"/>
            <w:gridSpan w:val="21"/>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Directors, Executive Officers and Corporate Governance</w:t>
              </w:r>
            </w:hyperlink>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ITEM 11</w:t>
              </w:r>
            </w:hyperlink>
          </w:p>
        </w:tc>
        <w:tc>
          <w:tcPr>
            <w:tcW w:w="400" w:type="dxa"/>
            <w:vAlign w:val="bottom"/>
            <w:gridSpan w:val="3"/>
          </w:tcPr>
          <w:p>
            <w:pPr>
              <w:spacing w:after="0"/>
              <w:rPr>
                <w:sz w:val="17"/>
                <w:szCs w:val="17"/>
                <w:color w:val="auto"/>
              </w:rPr>
            </w:pPr>
          </w:p>
        </w:tc>
        <w:tc>
          <w:tcPr>
            <w:tcW w:w="18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4"/>
          </w:tcPr>
          <w:p>
            <w:pPr>
              <w:spacing w:after="0"/>
              <w:rPr>
                <w:sz w:val="17"/>
                <w:szCs w:val="17"/>
                <w:color w:val="auto"/>
              </w:rPr>
            </w:pPr>
          </w:p>
        </w:tc>
        <w:tc>
          <w:tcPr>
            <w:tcW w:w="3880" w:type="dxa"/>
            <w:vAlign w:val="bottom"/>
            <w:gridSpan w:val="8"/>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196"/>
        </w:trPr>
        <w:tc>
          <w:tcPr>
            <w:tcW w:w="1060" w:type="dxa"/>
            <w:vAlign w:val="bottom"/>
            <w:gridSpan w:val="5"/>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ITEM 12</w:t>
              </w:r>
            </w:hyperlink>
          </w:p>
        </w:tc>
        <w:tc>
          <w:tcPr>
            <w:tcW w:w="7980" w:type="dxa"/>
            <w:vAlign w:val="bottom"/>
            <w:gridSpan w:val="21"/>
          </w:tcPr>
          <w:p>
            <w:pPr>
              <w:spacing w:after="0" w:line="196" w:lineRule="exact"/>
              <w:rPr>
                <w:rFonts w:ascii="Arial" w:cs="Arial" w:eastAsia="Arial" w:hAnsi="Arial"/>
                <w:sz w:val="18"/>
                <w:szCs w:val="18"/>
                <w:color w:val="0000EE"/>
                <w:w w:val="99"/>
              </w:rPr>
            </w:pPr>
            <w:hyperlink w:anchor="page89">
              <w:r>
                <w:rPr>
                  <w:rFonts w:ascii="Arial" w:cs="Arial" w:eastAsia="Arial" w:hAnsi="Arial"/>
                  <w:sz w:val="18"/>
                  <w:szCs w:val="18"/>
                  <w:color w:val="0000EE"/>
                  <w:w w:val="99"/>
                </w:rPr>
                <w:t>Security Ownership of Certain Beneficial Owners and Management and Related Stockholder Matters</w:t>
              </w:r>
            </w:hyperlink>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80" w:type="dxa"/>
            <w:vAlign w:val="bottom"/>
            <w:gridSpan w:val="10"/>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5"/>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ITEM 13</w:t>
              </w:r>
            </w:hyperlink>
          </w:p>
        </w:tc>
        <w:tc>
          <w:tcPr>
            <w:tcW w:w="7980" w:type="dxa"/>
            <w:vAlign w:val="bottom"/>
            <w:gridSpan w:val="2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Certain Relationships and Related Transactions, and Director Independence</w:t>
              </w:r>
            </w:hyperlink>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80" w:type="dxa"/>
            <w:vAlign w:val="bottom"/>
            <w:gridSpan w:val="10"/>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5"/>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ITEM 14</w:t>
              </w:r>
            </w:hyperlink>
          </w:p>
        </w:tc>
        <w:tc>
          <w:tcPr>
            <w:tcW w:w="7980" w:type="dxa"/>
            <w:vAlign w:val="bottom"/>
            <w:gridSpan w:val="2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Principal Accounting Fees and Services</w:t>
              </w:r>
            </w:hyperlink>
          </w:p>
        </w:tc>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20"/>
        </w:trPr>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90">
              <w:r>
                <w:rPr>
                  <w:rFonts w:ascii="Arial" w:cs="Arial" w:eastAsia="Arial" w:hAnsi="Arial"/>
                  <w:sz w:val="18"/>
                  <w:szCs w:val="18"/>
                  <w:b w:val="1"/>
                  <w:bCs w:val="1"/>
                  <w:color w:val="0000EE"/>
                  <w:w w:val="98"/>
                </w:rPr>
                <w:t>PART IV</w:t>
              </w:r>
            </w:hyperlink>
          </w:p>
        </w:tc>
        <w:tc>
          <w:tcPr>
            <w:tcW w:w="3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412"/>
        </w:trPr>
        <w:tc>
          <w:tcPr>
            <w:tcW w:w="1060" w:type="dxa"/>
            <w:vAlign w:val="bottom"/>
            <w:gridSpan w:val="5"/>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15</w:t>
              </w:r>
            </w:hyperlink>
          </w:p>
        </w:tc>
        <w:tc>
          <w:tcPr>
            <w:tcW w:w="7980" w:type="dxa"/>
            <w:vAlign w:val="bottom"/>
            <w:gridSpan w:val="21"/>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Exhibits and Financial Statement Schedules</w:t>
              </w:r>
            </w:hyperlink>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This Annual Report on Form 10-K contains trademarks and trade names of TG Therapeutics, Inc., including our name and logo. All other trademarks, service marks, or trade names referenced in this Annual Report on Form 10-K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576580</wp:posOffset>
            </wp:positionV>
            <wp:extent cx="65951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500" w:right="7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Annual Report on Form 10-K contains forward-looking statements that involve substantial risks and uncertainties. All statements, other than statements of historical facts, contained in this Annual Report on Form 10-K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forward-looking statements in this Annual Report on Form 10-K include, but are not limited to, statements about:</w:t>
      </w:r>
    </w:p>
    <w:p>
      <w:pPr>
        <w:spacing w:after="0" w:line="225" w:lineRule="exact"/>
        <w:rPr>
          <w:sz w:val="20"/>
          <w:szCs w:val="20"/>
          <w:color w:val="auto"/>
        </w:rPr>
      </w:pPr>
    </w:p>
    <w:p>
      <w:pPr>
        <w:ind w:left="1000" w:hanging="327"/>
        <w:spacing w:after="0" w:line="274"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pre-clinical studies and clinic trials, including, without limitation, our on-going UNITY-CLL Phase 3 clinical trial, ULTIMATE I and II Phase 3 clinical trial and UNITY-NHL Phase 2b clinical trial;</w:t>
      </w:r>
    </w:p>
    <w:p>
      <w:pPr>
        <w:ind w:left="1000" w:hanging="327"/>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9" w:lineRule="exact"/>
        <w:rPr>
          <w:rFonts w:ascii="Arial" w:cs="Arial" w:eastAsia="Arial" w:hAnsi="Arial"/>
          <w:sz w:val="18"/>
          <w:szCs w:val="18"/>
          <w:color w:val="auto"/>
        </w:rPr>
      </w:pPr>
    </w:p>
    <w:p>
      <w:pPr>
        <w:ind w:left="1000" w:hanging="327"/>
        <w:spacing w:after="0" w:line="250"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technologies;</w:t>
      </w:r>
    </w:p>
    <w:p>
      <w:pPr>
        <w:ind w:left="1000" w:hanging="327"/>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and enter into strategic arrangements, if desired;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 and cash burn management; and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Any forward-looking statements in this Annual Report on Form 10-K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Annual Report on Form 10-K,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882650</wp:posOffset>
            </wp:positionV>
            <wp:extent cx="65951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CAUTIONARY NOTICE REGARDING FORWARD-LOOKING STATEMENTS</w:t>
      </w:r>
    </w:p>
    <w:p>
      <w:pPr>
        <w:spacing w:after="0" w:line="67"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7"/>
          <w:szCs w:val="17"/>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 our:</w:t>
      </w:r>
    </w:p>
    <w:p>
      <w:pPr>
        <w:spacing w:after="0" w:line="34" w:lineRule="exact"/>
        <w:rPr>
          <w:sz w:val="20"/>
          <w:szCs w:val="20"/>
          <w:color w:val="auto"/>
        </w:rPr>
      </w:pPr>
    </w:p>
    <w:p>
      <w:pPr>
        <w:ind w:left="1000" w:hanging="327"/>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for increases or decreases in expenses;</w:t>
      </w:r>
    </w:p>
    <w:p>
      <w:pPr>
        <w:spacing w:after="0" w:line="20" w:lineRule="exact"/>
        <w:rPr>
          <w:rFonts w:ascii="Arial" w:cs="Arial" w:eastAsia="Arial" w:hAnsi="Arial"/>
          <w:sz w:val="17"/>
          <w:szCs w:val="17"/>
          <w:color w:val="auto"/>
        </w:rPr>
      </w:pPr>
    </w:p>
    <w:p>
      <w:pPr>
        <w:ind w:left="1000" w:right="20" w:hanging="327"/>
        <w:spacing w:after="0" w:line="24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for the clinical and pre-clinical development, manufacturing, regulatory approval, and commercialization of our pharmaceutical product candidates or any other products we may acquire or in-license;</w:t>
      </w:r>
    </w:p>
    <w:p>
      <w:pPr>
        <w:spacing w:after="0" w:line="1" w:lineRule="exact"/>
        <w:rPr>
          <w:rFonts w:ascii="Arial" w:cs="Arial" w:eastAsia="Arial" w:hAnsi="Arial"/>
          <w:sz w:val="17"/>
          <w:szCs w:val="17"/>
          <w:color w:val="auto"/>
        </w:rPr>
      </w:pPr>
    </w:p>
    <w:p>
      <w:pPr>
        <w:ind w:left="1000" w:hanging="327"/>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use of clinical research centers and other contractors;</w:t>
      </w:r>
    </w:p>
    <w:p>
      <w:pPr>
        <w:spacing w:after="0" w:line="7" w:lineRule="exact"/>
        <w:rPr>
          <w:rFonts w:ascii="Arial" w:cs="Arial" w:eastAsia="Arial" w:hAnsi="Arial"/>
          <w:sz w:val="17"/>
          <w:szCs w:val="17"/>
          <w:color w:val="auto"/>
        </w:rPr>
      </w:pPr>
    </w:p>
    <w:p>
      <w:pPr>
        <w:ind w:left="1000" w:hanging="327"/>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expectations as to the timing of commencing or completing pre-clinical and clinical trials and the expected outcomes of those trials;</w:t>
      </w:r>
    </w:p>
    <w:p>
      <w:pPr>
        <w:spacing w:after="0" w:line="18" w:lineRule="exact"/>
        <w:rPr>
          <w:rFonts w:ascii="Arial" w:cs="Arial" w:eastAsia="Arial" w:hAnsi="Arial"/>
          <w:sz w:val="16"/>
          <w:szCs w:val="16"/>
          <w:color w:val="auto"/>
        </w:rPr>
      </w:pPr>
    </w:p>
    <w:p>
      <w:pPr>
        <w:ind w:left="1000" w:hanging="327"/>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for incurring capital expenditures to expand our research and development and manufacturing capabilities;</w:t>
      </w:r>
    </w:p>
    <w:p>
      <w:pPr>
        <w:spacing w:after="0" w:line="7" w:lineRule="exact"/>
        <w:rPr>
          <w:rFonts w:ascii="Arial" w:cs="Arial" w:eastAsia="Arial" w:hAnsi="Arial"/>
          <w:sz w:val="17"/>
          <w:szCs w:val="17"/>
          <w:color w:val="auto"/>
        </w:rPr>
      </w:pPr>
    </w:p>
    <w:p>
      <w:pPr>
        <w:ind w:left="1000" w:hanging="327"/>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for generating revenue or becoming profitable on a sustained basis;</w:t>
      </w:r>
    </w:p>
    <w:p>
      <w:pPr>
        <w:spacing w:after="0" w:line="7" w:lineRule="exact"/>
        <w:rPr>
          <w:rFonts w:ascii="Arial" w:cs="Arial" w:eastAsia="Arial" w:hAnsi="Arial"/>
          <w:sz w:val="17"/>
          <w:szCs w:val="17"/>
          <w:color w:val="auto"/>
        </w:rPr>
      </w:pPr>
    </w:p>
    <w:p>
      <w:pPr>
        <w:ind w:left="1000" w:hanging="327"/>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or ability to enter into marketing and other partnership agreements;</w:t>
      </w:r>
    </w:p>
    <w:p>
      <w:pPr>
        <w:spacing w:after="0" w:line="7" w:lineRule="exact"/>
        <w:rPr>
          <w:rFonts w:ascii="Arial" w:cs="Arial" w:eastAsia="Arial" w:hAnsi="Arial"/>
          <w:sz w:val="17"/>
          <w:szCs w:val="17"/>
          <w:color w:val="auto"/>
        </w:rPr>
      </w:pPr>
    </w:p>
    <w:p>
      <w:pPr>
        <w:ind w:left="1000" w:hanging="327"/>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or ability to enter into product acquisition and in-licensing transactions;</w:t>
      </w:r>
    </w:p>
    <w:p>
      <w:pPr>
        <w:spacing w:after="0" w:line="7" w:lineRule="exact"/>
        <w:rPr>
          <w:rFonts w:ascii="Arial" w:cs="Arial" w:eastAsia="Arial" w:hAnsi="Arial"/>
          <w:sz w:val="17"/>
          <w:szCs w:val="17"/>
          <w:color w:val="auto"/>
        </w:rPr>
      </w:pPr>
    </w:p>
    <w:p>
      <w:pPr>
        <w:ind w:left="1000" w:hanging="327"/>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or ability to build our own commercial infrastructure to manufacture, market and sell our drug candidates;</w:t>
      </w:r>
    </w:p>
    <w:p>
      <w:pPr>
        <w:spacing w:after="0" w:line="7" w:lineRule="exact"/>
        <w:rPr>
          <w:rFonts w:ascii="Arial" w:cs="Arial" w:eastAsia="Arial" w:hAnsi="Arial"/>
          <w:sz w:val="17"/>
          <w:szCs w:val="17"/>
          <w:color w:val="auto"/>
        </w:rPr>
      </w:pPr>
    </w:p>
    <w:p>
      <w:pPr>
        <w:ind w:left="1000" w:hanging="327"/>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products being accepted by doctors, patients or payors;</w:t>
      </w:r>
    </w:p>
    <w:p>
      <w:pPr>
        <w:spacing w:after="0" w:line="7" w:lineRule="exact"/>
        <w:rPr>
          <w:rFonts w:ascii="Arial" w:cs="Arial" w:eastAsia="Arial" w:hAnsi="Arial"/>
          <w:sz w:val="17"/>
          <w:szCs w:val="17"/>
          <w:color w:val="auto"/>
        </w:rPr>
      </w:pPr>
    </w:p>
    <w:p>
      <w:pPr>
        <w:ind w:left="1000" w:hanging="327"/>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ability to compete against other companies and research institutions;</w:t>
      </w:r>
    </w:p>
    <w:p>
      <w:pPr>
        <w:spacing w:after="0" w:line="7" w:lineRule="exact"/>
        <w:rPr>
          <w:rFonts w:ascii="Arial" w:cs="Arial" w:eastAsia="Arial" w:hAnsi="Arial"/>
          <w:sz w:val="17"/>
          <w:szCs w:val="17"/>
          <w:color w:val="auto"/>
        </w:rPr>
      </w:pPr>
    </w:p>
    <w:p>
      <w:pPr>
        <w:ind w:left="1000" w:hanging="327"/>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ability to secure adequate protection for our intellectual property;</w:t>
      </w:r>
    </w:p>
    <w:p>
      <w:pPr>
        <w:spacing w:after="0" w:line="7" w:lineRule="exact"/>
        <w:rPr>
          <w:rFonts w:ascii="Arial" w:cs="Arial" w:eastAsia="Arial" w:hAnsi="Arial"/>
          <w:sz w:val="17"/>
          <w:szCs w:val="17"/>
          <w:color w:val="auto"/>
        </w:rPr>
      </w:pPr>
    </w:p>
    <w:p>
      <w:pPr>
        <w:ind w:left="1000" w:hanging="327"/>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ability to attract and retain key personnel;</w:t>
      </w:r>
    </w:p>
    <w:p>
      <w:pPr>
        <w:spacing w:after="0" w:line="7" w:lineRule="exact"/>
        <w:rPr>
          <w:rFonts w:ascii="Arial" w:cs="Arial" w:eastAsia="Arial" w:hAnsi="Arial"/>
          <w:sz w:val="17"/>
          <w:szCs w:val="17"/>
          <w:color w:val="auto"/>
        </w:rPr>
      </w:pPr>
    </w:p>
    <w:p>
      <w:pPr>
        <w:ind w:left="1000" w:hanging="327"/>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of reimbursement for our products;</w:t>
      </w:r>
    </w:p>
    <w:p>
      <w:pPr>
        <w:spacing w:after="0" w:line="7" w:lineRule="exact"/>
        <w:rPr>
          <w:rFonts w:ascii="Arial" w:cs="Arial" w:eastAsia="Arial" w:hAnsi="Arial"/>
          <w:sz w:val="17"/>
          <w:szCs w:val="17"/>
          <w:color w:val="auto"/>
        </w:rPr>
      </w:pPr>
    </w:p>
    <w:p>
      <w:pPr>
        <w:ind w:left="1000" w:right="20" w:hanging="327"/>
        <w:spacing w:after="0" w:line="24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the sufficiency of our existing cash and cash equivalents and investments to finance our operating requirements, including expectations regarding the value and liquidity of our investments;</w:t>
      </w:r>
    </w:p>
    <w:p>
      <w:pPr>
        <w:spacing w:after="0" w:line="1" w:lineRule="exact"/>
        <w:rPr>
          <w:rFonts w:ascii="Arial" w:cs="Arial" w:eastAsia="Arial" w:hAnsi="Arial"/>
          <w:sz w:val="17"/>
          <w:szCs w:val="17"/>
          <w:color w:val="auto"/>
        </w:rPr>
      </w:pPr>
    </w:p>
    <w:p>
      <w:pPr>
        <w:ind w:left="1000" w:hanging="327"/>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stock price and its volatility; and</w:t>
      </w:r>
    </w:p>
    <w:p>
      <w:pPr>
        <w:spacing w:after="0" w:line="7" w:lineRule="exact"/>
        <w:rPr>
          <w:rFonts w:ascii="Arial" w:cs="Arial" w:eastAsia="Arial" w:hAnsi="Arial"/>
          <w:sz w:val="17"/>
          <w:szCs w:val="17"/>
          <w:color w:val="auto"/>
        </w:rPr>
      </w:pPr>
    </w:p>
    <w:p>
      <w:pPr>
        <w:ind w:left="1000" w:hanging="327"/>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for future capital requirements.</w:t>
      </w:r>
    </w:p>
    <w:p>
      <w:pPr>
        <w:spacing w:after="0" w:line="101"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6"/>
          <w:szCs w:val="16"/>
          <w:color w:val="auto"/>
        </w:rPr>
        <w:t>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2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Any forward-looking statements in this Annual Report on Form 10-K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The forward-looking statements contained in this report reflect our views and assumptions only as of the date this report is signed. Except as required by law, we assume no obligation to update or revise these forward-looking statements for any reason, even if new information becomes available in the future.</w:t>
      </w:r>
    </w:p>
    <w:p>
      <w:pPr>
        <w:spacing w:after="0" w:line="289"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6"/>
          <w:szCs w:val="16"/>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“Company,” “we,” “us” and “our” refer to TG Therapeutics, Inc. and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 biopharmaceutical company dedicated to developing and delivering medicines for patients with B-cell mediated diseases, including Chronic Lymphocytic Leukemia (CLL), non-Hodgkin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lead two therapies, ublituximab (TG-1101) and umbralisib (TGR-1202), in pivotal trials for CLL, NHL and MS. Ublituximab is a novel anti-CD20 monoclonal antibody (mAb) that has been glycoengineered for enhanced potency over first generation antibodies. Umbralisib is an oral, once daily, dual inhibitor of PI3K-delta and CK1-epsilon, which may lead to a differentiated safety profile. When used together in combination therapy, ublituximab and umbralisib are referred to as "U2". Additionally, in early clinical development we have an anti-PD-L1 monoclonal antibody referred to as cosibelimab (TG-1501), an oral Bruton’s Tyrosine Kinase (“BTK”) inhibitor referred to as TG-1701, and an anti-CD47/CD19 bispecific antibody referred to as TG-1801.</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Phase 3 or Registration Directed Clinical Trial Highlights: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initiated and enrolled several Phase 3 and registration-directed Phase 2b clinical trials (i.e., clinical trials that may support a marketing application for approval). The following are highlights from our current Phase 3 trials and registration-directed Phase 2b clinical trials:</w:t>
      </w:r>
    </w:p>
    <w:p>
      <w:pPr>
        <w:spacing w:after="0" w:line="177" w:lineRule="exact"/>
        <w:rPr>
          <w:sz w:val="20"/>
          <w:szCs w:val="20"/>
          <w:color w:val="auto"/>
        </w:rPr>
      </w:pPr>
    </w:p>
    <w:p>
      <w:pPr>
        <w:jc w:val="both"/>
        <w:ind w:left="1000" w:hanging="327"/>
        <w:spacing w:after="0" w:line="26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b w:val="1"/>
          <w:bCs w:val="1"/>
          <w:u w:val="single" w:color="auto"/>
          <w:color w:val="auto"/>
        </w:rPr>
        <w:t>UNITY-NHL Phase 2b Trial:</w:t>
      </w:r>
      <w:r>
        <w:rPr>
          <w:rFonts w:ascii="Arial" w:cs="Arial" w:eastAsia="Arial" w:hAnsi="Arial"/>
          <w:sz w:val="17"/>
          <w:szCs w:val="17"/>
          <w:b w:val="1"/>
          <w:bCs w:val="1"/>
          <w:color w:val="auto"/>
        </w:rPr>
        <w:t xml:space="preserve"> </w:t>
      </w:r>
      <w:r>
        <w:rPr>
          <w:rFonts w:ascii="Arial" w:cs="Arial" w:eastAsia="Arial" w:hAnsi="Arial"/>
          <w:sz w:val="17"/>
          <w:szCs w:val="17"/>
          <w:color w:val="auto"/>
        </w:rPr>
        <w:t>UNITY-NHL is a broad Phase 2b registration-directed clinical trial designed to evaluate the</w:t>
      </w:r>
      <w:r>
        <w:rPr>
          <w:rFonts w:ascii="Arial" w:cs="Arial" w:eastAsia="Arial" w:hAnsi="Arial"/>
          <w:sz w:val="17"/>
          <w:szCs w:val="17"/>
          <w:b w:val="1"/>
          <w:bCs w:val="1"/>
          <w:color w:val="auto"/>
        </w:rPr>
        <w:t xml:space="preserve"> </w:t>
      </w:r>
      <w:r>
        <w:rPr>
          <w:rFonts w:ascii="Arial" w:cs="Arial" w:eastAsia="Arial" w:hAnsi="Arial"/>
          <w:sz w:val="17"/>
          <w:szCs w:val="17"/>
          <w:color w:val="auto"/>
        </w:rPr>
        <w:t>efficacy and safety of umbralisib monotherapy and U2 combinations in patients with previously treated NHL. The marginal zone lymphoma (MZL) and the follicular lymphoma (FL)/small lymphocytic lymphoma (SLL) single agent umbralisib cohorts of this trial are fully enrolled. The primary objective of these cohorts is to assess the efficacy of single agent umbralisib as measured by Overall Response Rate (ORR). In February 2019, we announced that the MZL cohort met the primary endpoint of ORR as determined by Independent Review Committee (IRC) for all treated patients (n=69). The results met our target guidance of 40-50% ORR. Interim safety and efficacy data from the MZL cohort were presented in an oral presentation at three medical meetings, the American Association for Cancer Research (AACR) annual meeting in April 2019, the American Society of Clinical Oncology (ASCO) annual meeting in June 2019 and the International Conference on Malignant Lymphoma (ICML) also in June 2019. In October 2019, we announced that the FL patients within the FL/SLL cohort met the primary endpoint of ORR as determined by Independent Review Committee (IRC) for all treated patients (n=118). The results also met our target guidance of 40-50% ORR. Most recently, in January of 2020, we received guidance from the FDA allowing submission of a single New Drug Application (NDA) for MZL and FL indications and initiated a rolling submission of an NDA to the FDA for umbralisib in MZL/FL. We anticipate completion of the rolling submission in the first half of 2020.</w:t>
      </w:r>
    </w:p>
    <w:p>
      <w:pPr>
        <w:spacing w:after="0" w:line="185" w:lineRule="exact"/>
        <w:rPr>
          <w:rFonts w:ascii="Arial" w:cs="Arial" w:eastAsia="Arial" w:hAnsi="Arial"/>
          <w:sz w:val="17"/>
          <w:szCs w:val="17"/>
          <w:color w:val="auto"/>
        </w:rPr>
      </w:pPr>
    </w:p>
    <w:p>
      <w:pPr>
        <w:jc w:val="both"/>
        <w:ind w:left="1000" w:hanging="327"/>
        <w:spacing w:after="0" w:line="25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UNITY-CLL Phase 3 Trial Evaluating Umbralisib plus Ublituximab (U2):</w:t>
      </w:r>
      <w:r>
        <w:rPr>
          <w:rFonts w:ascii="Arial" w:cs="Arial" w:eastAsia="Arial" w:hAnsi="Arial"/>
          <w:sz w:val="18"/>
          <w:szCs w:val="18"/>
          <w:b w:val="1"/>
          <w:bCs w:val="1"/>
          <w:color w:val="auto"/>
        </w:rPr>
        <w:t xml:space="preserve"> </w:t>
      </w:r>
      <w:r>
        <w:rPr>
          <w:rFonts w:ascii="Arial" w:cs="Arial" w:eastAsia="Arial" w:hAnsi="Arial"/>
          <w:sz w:val="18"/>
          <w:szCs w:val="18"/>
          <w:color w:val="auto"/>
        </w:rPr>
        <w:t>UNITY-CLL is a global Phase 3 randomized</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clinical trial comparing the U2 combination to an active control arm of obinutuzumab plus chlorambucil in patients with both treatment naive and relapsed or refractory CLL. Two additional arms evaluating single agent ublituximab and single agent umbralisib were also enrolled for purposes of evaluating contribution in the U2 combination regimen. The primary endpoint for this study is progression free survival (PFS) which we intend to use to support a submission for approval of the U2 combination in CLL. The study completed enrollment in October 2017 with over 600 patients enrolled across the four treatment arms, with approximately 420 patients in the U2 and the active control arm combined. This trial is conducted under Special Protocol Assessment (SPA) with the FDA.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1000" w:hanging="327"/>
        <w:spacing w:after="0" w:line="295"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b w:val="1"/>
          <w:bCs w:val="1"/>
          <w:u w:val="single" w:color="auto"/>
          <w:color w:val="auto"/>
        </w:rPr>
        <w:t>ULTIMATE I &amp; II Trials Evaluating Single Agent Ublituximab in RMS:</w:t>
      </w:r>
      <w:r>
        <w:rPr>
          <w:rFonts w:ascii="Arial" w:cs="Arial" w:eastAsia="Arial" w:hAnsi="Arial"/>
          <w:sz w:val="16"/>
          <w:szCs w:val="16"/>
          <w:b w:val="1"/>
          <w:bCs w:val="1"/>
          <w:color w:val="auto"/>
        </w:rPr>
        <w:t xml:space="preserve"> </w:t>
      </w:r>
      <w:r>
        <w:rPr>
          <w:rFonts w:ascii="Arial" w:cs="Arial" w:eastAsia="Arial" w:hAnsi="Arial"/>
          <w:sz w:val="16"/>
          <w:szCs w:val="16"/>
          <w:color w:val="auto"/>
        </w:rPr>
        <w:t>ULTIMATE I and ULTIMATE II are two</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Phase 3 trials. Each trial is a global, randomized, multi-center, double-blinded, double-dummy, active-controlled study comparing ublituximab to teriflunomide in subjects with relapsing forms of Multiple Sclerosis (RMS). The primary endpoint for each study is Annualized Relapse Rate (ARR) following 96 weeks of treatment which we intend to use to support a submission for approval of ublituximab in RMS. These trials are conducted under a SPA with the FDA. Full enrollment for the ULTIMATE studies was completed in second half of 2018, with approximately 1,100 subjects enrolled in both studies combined.</w:t>
      </w:r>
    </w:p>
    <w:p>
      <w:pPr>
        <w:spacing w:after="0" w:line="155" w:lineRule="exact"/>
        <w:rPr>
          <w:rFonts w:ascii="Arial" w:cs="Arial" w:eastAsia="Arial" w:hAnsi="Arial"/>
          <w:sz w:val="16"/>
          <w:szCs w:val="16"/>
          <w:color w:val="auto"/>
        </w:rPr>
      </w:pPr>
    </w:p>
    <w:p>
      <w:pPr>
        <w:jc w:val="both"/>
        <w:ind w:left="1000" w:hanging="327"/>
        <w:spacing w:after="0" w:line="261"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ULTRA-V Phase 2b Trial Evaluating U2 plus Venetoclax in CLL:</w:t>
      </w:r>
      <w:r>
        <w:rPr>
          <w:rFonts w:ascii="Arial" w:cs="Arial" w:eastAsia="Arial" w:hAnsi="Arial"/>
          <w:sz w:val="18"/>
          <w:szCs w:val="18"/>
          <w:b w:val="1"/>
          <w:bCs w:val="1"/>
          <w:color w:val="auto"/>
        </w:rPr>
        <w:t xml:space="preserve"> </w:t>
      </w:r>
      <w:r>
        <w:rPr>
          <w:rFonts w:ascii="Arial" w:cs="Arial" w:eastAsia="Arial" w:hAnsi="Arial"/>
          <w:sz w:val="18"/>
          <w:szCs w:val="18"/>
          <w:color w:val="auto"/>
        </w:rPr>
        <w:t>ULTRA-V is a Phase 2b open-label, multicenter,</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registration-directed clinical trial designed to investigate the efficacy and safety of ublituximab and umbralisib (U2) combined with venetoclax in subjects with Chronic Lymphocytic Leukemia. The primary endpoint for this study is ORR and Complete Response (CR) rate. This trial is currently enrolling.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were incorporated in Delaware in 1993. Our executive offices are located at 2 Gansevoort Street, 9th Floor, New York, New York 10014. Our telephone number is 1-212-554-4484, and our e-mail address is info@tgtxinc.com.</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maintain a website with the address www.tgtherapeutics.com and maintain various social media accounts, including but not limited to Twitter and LinkedIn. We make available free of charge through our corporate website our annual reports on Form 10-K, quarterly reports on Form 10-Q and current reports on Form 8-K, as well as any amendments to these reports, as soon as reasonably practicable after we electronically file such material with, or furnish such material to, the SEC. We are not including the information on our website or our social media accounts as a part of, nor incorporating either by reference into, this report. The SEC maintains a website that contains annual, quarterly, and current reports, proxy statements, and other information that issuers (including us) file electronically with the SEC. The SEC’s website address is </w:t>
      </w:r>
      <w:r>
        <w:rPr>
          <w:rFonts w:ascii="Arial" w:cs="Arial" w:eastAsia="Arial" w:hAnsi="Arial"/>
          <w:sz w:val="18"/>
          <w:szCs w:val="18"/>
          <w:u w:val="single" w:color="auto"/>
          <w:color w:val="0563C1"/>
        </w:rPr>
        <w:t>http://www.sec.gov</w:t>
      </w:r>
      <w:r>
        <w:rPr>
          <w:rFonts w:ascii="Arial" w:cs="Arial" w:eastAsia="Arial" w:hAnsi="Arial"/>
          <w:sz w:val="18"/>
          <w:szCs w:val="18"/>
          <w:color w:val="auto"/>
        </w:rPr>
        <w:t>.</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intend to use our corporate website, SEC filings, press releases, public conference calls and webcasts as well as social media to communicate with our subscribers and the public. It is possible that the information we post on social media could be deemed to be material information. Therefore, in light of the SEC’s guidance, we encourage investors, the media and others interested in us to review the information we post on the U.S. social media channels listed on our website.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1000" w:hanging="327"/>
        <w:spacing w:after="0" w:line="258"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Completing our current Phase 3 and registration-directed trials for umbralisib and ublituximab, including, UNITY-CLL, UNITY-NHL, and the ULTIMATE Phase 3 Program in MS;</w:t>
      </w:r>
    </w:p>
    <w:p>
      <w:pPr>
        <w:spacing w:after="0" w:line="1" w:lineRule="exact"/>
        <w:rPr>
          <w:rFonts w:ascii="Arial" w:cs="Arial" w:eastAsia="Arial" w:hAnsi="Arial"/>
          <w:sz w:val="18"/>
          <w:szCs w:val="18"/>
          <w:color w:val="auto"/>
        </w:rPr>
      </w:pPr>
    </w:p>
    <w:p>
      <w:pPr>
        <w:ind w:left="1000" w:hanging="32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Gaining regulatory approval for umbralisib in NHL, umbralisib plus ublituximab (“U2”) in CLL, and ublituximab in MS;</w:t>
      </w:r>
    </w:p>
    <w:p>
      <w:pPr>
        <w:spacing w:after="0" w:line="9" w:lineRule="exact"/>
        <w:rPr>
          <w:rFonts w:ascii="Arial" w:cs="Arial" w:eastAsia="Arial" w:hAnsi="Arial"/>
          <w:sz w:val="18"/>
          <w:szCs w:val="18"/>
          <w:color w:val="auto"/>
        </w:rPr>
      </w:pPr>
    </w:p>
    <w:p>
      <w:pPr>
        <w:ind w:left="1000" w:hanging="327"/>
        <w:spacing w:after="0" w:line="250"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Preparing for commercial launch and building commercial capability to ensure, when approved, broad access to patients for the approved indications for umbralisib and ublituximab;</w:t>
      </w:r>
    </w:p>
    <w:p>
      <w:pPr>
        <w:ind w:left="1000" w:hanging="32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U2 in NHL;</w:t>
      </w:r>
    </w:p>
    <w:p>
      <w:pPr>
        <w:spacing w:after="0" w:line="9" w:lineRule="exact"/>
        <w:rPr>
          <w:rFonts w:ascii="Arial" w:cs="Arial" w:eastAsia="Arial" w:hAnsi="Arial"/>
          <w:sz w:val="18"/>
          <w:szCs w:val="18"/>
          <w:color w:val="auto"/>
        </w:rPr>
      </w:pPr>
    </w:p>
    <w:p>
      <w:pPr>
        <w:ind w:left="1000" w:hanging="327"/>
        <w:spacing w:after="0" w:line="265" w:lineRule="auto"/>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Advancing cosibelimab (TG-1501), TG-1701, and TG-1801 through clinical development and defining potential regulatory paths for these drug candidates both as single agents and in combination with umbralisib, ublituximab, and/or U2;</w:t>
      </w:r>
    </w:p>
    <w:p>
      <w:pPr>
        <w:ind w:left="1000" w:hanging="32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Building upon the MS program to expand ublituximab into additional MS indications and other autoimmune diseases;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Continuing to expand our pipeline with mechanisms of importance to B-cell mediated diseases;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Evaluating potential strategic collaborations to maximize the value of our programs and B-cell directed platform; and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our “patient first” culture as we grow our business.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6" w:name="page7"/>
    <w:bookmarkEnd w:id="6"/>
    <w:p>
      <w:pPr>
        <w:ind w:left="2"/>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Our Approach and Platform</w:t>
      </w:r>
    </w:p>
    <w:p>
      <w:pPr>
        <w:spacing w:after="0" w:line="229" w:lineRule="exact"/>
        <w:rPr>
          <w:sz w:val="20"/>
          <w:szCs w:val="20"/>
          <w:color w:val="auto"/>
        </w:rPr>
      </w:pPr>
    </w:p>
    <w:p>
      <w:pPr>
        <w:jc w:val="both"/>
        <w:ind w:left="2" w:right="20" w:firstLine="648"/>
        <w:spacing w:after="0" w:line="259" w:lineRule="auto"/>
        <w:rPr>
          <w:sz w:val="20"/>
          <w:szCs w:val="20"/>
          <w:color w:val="auto"/>
        </w:rPr>
      </w:pPr>
      <w:r>
        <w:rPr>
          <w:rFonts w:ascii="Arial" w:cs="Arial" w:eastAsia="Arial" w:hAnsi="Arial"/>
          <w:sz w:val="18"/>
          <w:szCs w:val="18"/>
          <w:color w:val="auto"/>
        </w:rPr>
        <w:t>Our approach to drug development is centered on developing solutions for patients rather than developing single therapies for a disease. Our process begins by identifying validated targets against B-cell diseases, and then searching for and, ideally, acquiring what we believe to be “best-in-class” compounds with complementary mechanisms against these targets, with the goal of developing multi-drug proprietary targeted combinations, which can potentially offer better outcomes for patients.</w:t>
      </w:r>
    </w:p>
    <w:p>
      <w:pPr>
        <w:spacing w:after="0" w:line="187" w:lineRule="exact"/>
        <w:rPr>
          <w:sz w:val="20"/>
          <w:szCs w:val="20"/>
          <w:color w:val="auto"/>
        </w:rPr>
      </w:pPr>
    </w:p>
    <w:p>
      <w:pPr>
        <w:jc w:val="both"/>
        <w:ind w:left="2" w:firstLine="648"/>
        <w:spacing w:after="0" w:line="270" w:lineRule="auto"/>
        <w:rPr>
          <w:sz w:val="20"/>
          <w:szCs w:val="20"/>
          <w:color w:val="auto"/>
        </w:rPr>
      </w:pPr>
      <w:r>
        <w:rPr>
          <w:rFonts w:ascii="Arial" w:cs="Arial" w:eastAsia="Arial" w:hAnsi="Arial"/>
          <w:sz w:val="17"/>
          <w:szCs w:val="17"/>
          <w:color w:val="auto"/>
        </w:rPr>
        <w:t xml:space="preserve">Our preference is to identify targets for which there is human clinical proof of concept that the mechanism is active in B-cell diseases and then to identify drug candidates that effectively modulate the desired molecular target. We identify these drug candidates at academic centers of excellence or in development at biotech companies or pharmaceutical companies globally. Our current drug candidates were acquired through license agreements, collaborations, or joint ventures with biopharmaceutical companies located in the US, France, Switzerland, India, and China. This approach enables us to minimize target risk while looking for the best available drug candidates around the world. By focusing on B-cell diseases and targets </w:t>
      </w:r>
      <w:r>
        <w:rPr>
          <w:rFonts w:ascii="Arial" w:cs="Arial" w:eastAsia="Arial" w:hAnsi="Arial"/>
          <w:sz w:val="19"/>
          <w:szCs w:val="19"/>
          <w:color w:val="auto"/>
        </w:rPr>
        <w:t>with</w:t>
      </w:r>
      <w:r>
        <w:rPr>
          <w:rFonts w:ascii="Arial" w:cs="Arial" w:eastAsia="Arial" w:hAnsi="Arial"/>
          <w:sz w:val="17"/>
          <w:szCs w:val="17"/>
          <w:color w:val="auto"/>
        </w:rPr>
        <w:t xml:space="preserve"> a known activity profile, we believe that we can quickly identify the patients most likely to respond, resulting in a more efficient development path with the potential for a greater likelihood of success. Importantly, since all our drug candidates are focused in one disease area, we can rapidly explore combination therapies, which we believe is essential to improving outcomes for patients and holds the key to identifying cures for patients with B-cell diseases.</w:t>
      </w:r>
    </w:p>
    <w:p>
      <w:pPr>
        <w:spacing w:after="0" w:line="183" w:lineRule="exact"/>
        <w:rPr>
          <w:sz w:val="20"/>
          <w:szCs w:val="20"/>
          <w:color w:val="auto"/>
        </w:rPr>
      </w:pPr>
    </w:p>
    <w:p>
      <w:pPr>
        <w:ind w:left="642"/>
        <w:spacing w:after="0"/>
        <w:rPr>
          <w:sz w:val="20"/>
          <w:szCs w:val="20"/>
          <w:color w:val="auto"/>
        </w:rPr>
      </w:pPr>
      <w:r>
        <w:rPr>
          <w:rFonts w:ascii="Arial" w:cs="Arial" w:eastAsia="Arial" w:hAnsi="Arial"/>
          <w:sz w:val="18"/>
          <w:szCs w:val="18"/>
          <w:color w:val="auto"/>
        </w:rPr>
        <w:t>Our approach is enabled by our clinical development platform which includes:</w:t>
      </w:r>
    </w:p>
    <w:p>
      <w:pPr>
        <w:spacing w:after="0" w:line="158" w:lineRule="exact"/>
        <w:rPr>
          <w:sz w:val="20"/>
          <w:szCs w:val="20"/>
          <w:color w:val="auto"/>
        </w:rPr>
      </w:pPr>
    </w:p>
    <w:p>
      <w:pPr>
        <w:ind w:left="1002" w:hanging="327"/>
        <w:spacing w:after="0"/>
        <w:tabs>
          <w:tab w:leader="none" w:pos="1002"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internal team with a deep understanding of B-cell diseases and the treatment of patients; and</w:t>
      </w:r>
    </w:p>
    <w:p>
      <w:pPr>
        <w:spacing w:after="0" w:line="23" w:lineRule="exact"/>
        <w:rPr>
          <w:rFonts w:ascii="Arial" w:cs="Arial" w:eastAsia="Arial" w:hAnsi="Arial"/>
          <w:sz w:val="18"/>
          <w:szCs w:val="18"/>
          <w:color w:val="auto"/>
        </w:rPr>
      </w:pPr>
    </w:p>
    <w:p>
      <w:pPr>
        <w:ind w:left="1002" w:hanging="327"/>
        <w:spacing w:after="0"/>
        <w:tabs>
          <w:tab w:leader="none" w:pos="1002"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external network of more than 350 community and academic clinical trial sites globally.</w:t>
      </w:r>
    </w:p>
    <w:p>
      <w:pPr>
        <w:spacing w:after="0" w:line="139"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B-CELL DISEASES OVERVIEW</w:t>
      </w:r>
    </w:p>
    <w:p>
      <w:pPr>
        <w:spacing w:after="0" w:line="229" w:lineRule="exact"/>
        <w:rPr>
          <w:sz w:val="20"/>
          <w:szCs w:val="20"/>
          <w:color w:val="auto"/>
        </w:rPr>
      </w:pPr>
    </w:p>
    <w:p>
      <w:pPr>
        <w:jc w:val="both"/>
        <w:ind w:left="2" w:right="20" w:firstLine="648"/>
        <w:spacing w:after="0" w:line="259" w:lineRule="auto"/>
        <w:rPr>
          <w:sz w:val="20"/>
          <w:szCs w:val="20"/>
          <w:color w:val="auto"/>
        </w:rPr>
      </w:pPr>
      <w:r>
        <w:rPr>
          <w:rFonts w:ascii="Arial" w:cs="Arial" w:eastAsia="Arial" w:hAnsi="Arial"/>
          <w:sz w:val="18"/>
          <w:szCs w:val="18"/>
          <w:color w:val="auto"/>
        </w:rPr>
        <w:t>B-cell mediated diseases comprise a constellation of disorders that result from cancerous B-cells or aberrant B-cells. In the case of cancerous B-cells, the most common forms of B-cell cancers or B-cell malignancies are non-Hodgkin Lymphoma (NHL) and Chronic Lymphocytic Leukemia (CLL). In the case of aberrant B-cells, many autoimmune diseases are believed to result from aberrant B-cell activity, including, Multiple Sclerosis (MS), Rheumatoid Arthritis (RA), and Lupus.</w:t>
      </w:r>
    </w:p>
    <w:p>
      <w:pPr>
        <w:spacing w:after="0" w:line="187" w:lineRule="exact"/>
        <w:rPr>
          <w:sz w:val="20"/>
          <w:szCs w:val="20"/>
          <w:color w:val="auto"/>
        </w:rPr>
      </w:pPr>
    </w:p>
    <w:p>
      <w:pPr>
        <w:ind w:left="642"/>
        <w:spacing w:after="0"/>
        <w:rPr>
          <w:sz w:val="20"/>
          <w:szCs w:val="20"/>
          <w:color w:val="auto"/>
        </w:rPr>
      </w:pPr>
      <w:r>
        <w:rPr>
          <w:rFonts w:ascii="Arial" w:cs="Arial" w:eastAsia="Arial" w:hAnsi="Arial"/>
          <w:sz w:val="18"/>
          <w:szCs w:val="18"/>
          <w:color w:val="auto"/>
        </w:rPr>
        <w:t>The Company’s current clinical programs are focused on CLL, MZL, FL and MS.</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Chronic Lymphocytic Leukemia Overview</w:t>
      </w:r>
    </w:p>
    <w:p>
      <w:pPr>
        <w:spacing w:after="0" w:line="148" w:lineRule="exact"/>
        <w:rPr>
          <w:sz w:val="20"/>
          <w:szCs w:val="20"/>
          <w:color w:val="auto"/>
        </w:rPr>
      </w:pPr>
    </w:p>
    <w:p>
      <w:pPr>
        <w:jc w:val="both"/>
        <w:ind w:left="2" w:right="20" w:firstLine="648"/>
        <w:spacing w:after="0" w:line="219" w:lineRule="auto"/>
        <w:rPr>
          <w:sz w:val="20"/>
          <w:szCs w:val="20"/>
          <w:color w:val="auto"/>
        </w:rPr>
      </w:pPr>
      <w:r>
        <w:rPr>
          <w:rFonts w:ascii="Arial" w:cs="Arial" w:eastAsia="Arial" w:hAnsi="Arial"/>
          <w:sz w:val="18"/>
          <w:szCs w:val="18"/>
          <w:color w:val="auto"/>
        </w:rPr>
        <w:t>CLL is the most common type of adult leukemia, and in 2019, it is estimated there will be more than 20,000 new cases of CLL diagnosed in the United States</w:t>
      </w:r>
      <w:r>
        <w:rPr>
          <w:rFonts w:ascii="Arial" w:cs="Arial" w:eastAsia="Arial" w:hAnsi="Arial"/>
          <w:sz w:val="27"/>
          <w:szCs w:val="27"/>
          <w:color w:val="auto"/>
          <w:vertAlign w:val="superscript"/>
        </w:rPr>
        <w:t>1</w:t>
      </w:r>
      <w:r>
        <w:rPr>
          <w:rFonts w:ascii="Arial" w:cs="Arial" w:eastAsia="Arial" w:hAnsi="Arial"/>
          <w:sz w:val="18"/>
          <w:szCs w:val="18"/>
          <w:color w:val="auto"/>
        </w:rPr>
        <w:t>. Although signs of CLL may disappear for a period of time after initial treatment, the disease is considered incurable and many people will require additional treatment due to the return of malignant cells.</w:t>
      </w:r>
    </w:p>
    <w:p>
      <w:pPr>
        <w:spacing w:after="0" w:line="13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Marginal Zone Lymphoma Overview</w:t>
      </w:r>
    </w:p>
    <w:p>
      <w:pPr>
        <w:spacing w:after="0" w:line="162" w:lineRule="exact"/>
        <w:rPr>
          <w:sz w:val="20"/>
          <w:szCs w:val="20"/>
          <w:color w:val="auto"/>
        </w:rPr>
      </w:pPr>
    </w:p>
    <w:p>
      <w:pPr>
        <w:jc w:val="both"/>
        <w:ind w:left="2" w:right="20" w:firstLine="648"/>
        <w:spacing w:after="0" w:line="263" w:lineRule="auto"/>
        <w:rPr>
          <w:sz w:val="20"/>
          <w:szCs w:val="20"/>
          <w:color w:val="auto"/>
        </w:rPr>
      </w:pPr>
      <w:r>
        <w:rPr>
          <w:rFonts w:ascii="Arial" w:cs="Arial" w:eastAsia="Arial" w:hAnsi="Arial"/>
          <w:sz w:val="16"/>
          <w:szCs w:val="16"/>
          <w:color w:val="auto"/>
        </w:rPr>
        <w:t>MZL comprises a group of indolent (slow growing) B-cell non-Hodgkin lymphomas (NHLs) that begin forming in the marginal zone of lymphoid tissue. With an annual incidence of approximately 7,500 newly diagnosed patients in the United States</w:t>
      </w:r>
      <w:r>
        <w:rPr>
          <w:rFonts w:ascii="Arial" w:cs="Arial" w:eastAsia="Arial" w:hAnsi="Arial"/>
          <w:sz w:val="24"/>
          <w:szCs w:val="24"/>
          <w:color w:val="auto"/>
          <w:vertAlign w:val="superscript"/>
        </w:rPr>
        <w:t>2</w:t>
      </w:r>
      <w:r>
        <w:rPr>
          <w:rFonts w:ascii="Arial" w:cs="Arial" w:eastAsia="Arial" w:hAnsi="Arial"/>
          <w:sz w:val="16"/>
          <w:szCs w:val="16"/>
          <w:color w:val="auto"/>
        </w:rPr>
        <w:t>, MZL is the third most common B-cell NHL, accounting for approximately eight percent of all NHL cases. MZL consists of three different subtypes: extranodal MZL of the mucosal-associated lymphoid tissue (MALT), nodal marginal zone lymphoma (NMZL), and splenic marginal zone lymphoma (SMZL)</w:t>
      </w:r>
      <w:r>
        <w:rPr>
          <w:rFonts w:ascii="Arial" w:cs="Arial" w:eastAsia="Arial" w:hAnsi="Arial"/>
          <w:sz w:val="24"/>
          <w:szCs w:val="24"/>
          <w:color w:val="auto"/>
          <w:vertAlign w:val="superscript"/>
        </w:rPr>
        <w:t>3</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16465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107" w:lineRule="exact"/>
        <w:rPr>
          <w:sz w:val="20"/>
          <w:szCs w:val="20"/>
          <w:color w:val="auto"/>
        </w:rPr>
      </w:pPr>
    </w:p>
    <w:p>
      <w:pPr>
        <w:ind w:left="102" w:hanging="102"/>
        <w:spacing w:after="0"/>
        <w:tabs>
          <w:tab w:leader="none" w:pos="102"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 xml:space="preserve">Cancer Stat Facts: Leukemia – Chronic Lymphocytic Leukemia </w:t>
      </w:r>
      <w:r>
        <w:rPr>
          <w:rFonts w:ascii="Arial" w:cs="Arial" w:eastAsia="Arial" w:hAnsi="Arial"/>
          <w:sz w:val="18"/>
          <w:szCs w:val="18"/>
          <w:color w:val="0563C1"/>
        </w:rPr>
        <w:t>https://seer.cancer.gov/statfacts/html/clyl.html</w:t>
      </w:r>
    </w:p>
    <w:p>
      <w:pPr>
        <w:spacing w:after="0" w:line="96" w:lineRule="exact"/>
        <w:rPr>
          <w:sz w:val="20"/>
          <w:szCs w:val="20"/>
          <w:color w:val="auto"/>
        </w:rPr>
      </w:pPr>
    </w:p>
    <w:p>
      <w:pPr>
        <w:ind w:left="2" w:right="20" w:hanging="2"/>
        <w:spacing w:after="0" w:line="206" w:lineRule="auto"/>
        <w:tabs>
          <w:tab w:leader="none" w:pos="117"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 xml:space="preserve">2016 Lymphoid Malignancy Statistics by World Health Organization Subtypes VOLUME 66 _ NUMBER 6 _ NOVEMBER/DECEMBER 2016 </w:t>
      </w:r>
      <w:r>
        <w:rPr>
          <w:rFonts w:ascii="Arial" w:cs="Arial" w:eastAsia="Arial" w:hAnsi="Arial"/>
          <w:sz w:val="18"/>
          <w:szCs w:val="18"/>
          <w:color w:val="0563C1"/>
        </w:rPr>
        <w:t>https://onlinelibrary.wiley.com/doi/pdf/10.3322/caac.21357</w:t>
      </w:r>
    </w:p>
    <w:p>
      <w:pPr>
        <w:spacing w:after="0" w:line="94" w:lineRule="exact"/>
        <w:rPr>
          <w:sz w:val="20"/>
          <w:szCs w:val="20"/>
          <w:color w:val="auto"/>
        </w:rPr>
      </w:pPr>
    </w:p>
    <w:p>
      <w:pPr>
        <w:ind w:left="5142" w:right="2420" w:hanging="5142"/>
        <w:spacing w:after="0" w:line="434" w:lineRule="auto"/>
        <w:tabs>
          <w:tab w:leader="none" w:pos="92"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 xml:space="preserve">Lymphoma Research Foundation: Marginal Zone Lymphoma </w:t>
      </w:r>
      <w:r>
        <w:rPr>
          <w:rFonts w:ascii="Arial" w:cs="Arial" w:eastAsia="Arial" w:hAnsi="Arial"/>
          <w:sz w:val="16"/>
          <w:szCs w:val="16"/>
          <w:color w:val="0563C1"/>
        </w:rPr>
        <w:t>https://lymphoma.org/aboutlymphoma/nhl/mzl/</w:t>
      </w:r>
      <w:r>
        <w:rPr>
          <w:rFonts w:ascii="Arial" w:cs="Arial" w:eastAsia="Arial" w:hAnsi="Arial"/>
          <w:sz w:val="16"/>
          <w:szCs w:val="16"/>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661035</wp:posOffset>
            </wp:positionV>
            <wp:extent cx="6595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402"/>
          </w:cols>
          <w:pgMar w:left="758" w:top="517" w:right="739" w:bottom="1440" w:gutter="0" w:footer="0" w:header="0"/>
        </w:sectPr>
      </w:pPr>
    </w:p>
    <w:bookmarkStart w:id="7" w:name="page8"/>
    <w:bookmarkEnd w:id="7"/>
    <w:p>
      <w:pPr>
        <w:ind w:left="2"/>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Follicular Lymphoma Overview</w:t>
      </w:r>
    </w:p>
    <w:p>
      <w:pPr>
        <w:spacing w:after="0" w:line="138" w:lineRule="exact"/>
        <w:rPr>
          <w:sz w:val="20"/>
          <w:szCs w:val="20"/>
          <w:color w:val="auto"/>
        </w:rPr>
      </w:pPr>
    </w:p>
    <w:p>
      <w:pPr>
        <w:jc w:val="both"/>
        <w:ind w:left="2" w:right="20" w:firstLine="648"/>
        <w:spacing w:after="0" w:line="194" w:lineRule="auto"/>
        <w:rPr>
          <w:sz w:val="20"/>
          <w:szCs w:val="20"/>
          <w:color w:val="auto"/>
        </w:rPr>
      </w:pPr>
      <w:r>
        <w:rPr>
          <w:rFonts w:ascii="Arial" w:cs="Arial" w:eastAsia="Arial" w:hAnsi="Arial"/>
          <w:sz w:val="18"/>
          <w:szCs w:val="18"/>
          <w:color w:val="auto"/>
        </w:rPr>
        <w:t>FL is typically a slow-growing or indolent form of NHL which accounts for 20 to 30 percent of all NHL cases</w:t>
      </w:r>
      <w:r>
        <w:rPr>
          <w:rFonts w:ascii="Arial" w:cs="Arial" w:eastAsia="Arial" w:hAnsi="Arial"/>
          <w:sz w:val="27"/>
          <w:szCs w:val="27"/>
          <w:color w:val="auto"/>
          <w:vertAlign w:val="superscript"/>
        </w:rPr>
        <w:t>4</w:t>
      </w:r>
      <w:r>
        <w:rPr>
          <w:rFonts w:ascii="Arial" w:cs="Arial" w:eastAsia="Arial" w:hAnsi="Arial"/>
          <w:sz w:val="18"/>
          <w:szCs w:val="18"/>
          <w:color w:val="auto"/>
        </w:rPr>
        <w:t>, with a prevalence of approximately 245,000</w:t>
      </w:r>
      <w:r>
        <w:rPr>
          <w:rFonts w:ascii="Arial" w:cs="Arial" w:eastAsia="Arial" w:hAnsi="Arial"/>
          <w:sz w:val="27"/>
          <w:szCs w:val="27"/>
          <w:color w:val="auto"/>
          <w:vertAlign w:val="superscript"/>
        </w:rPr>
        <w:t>5</w:t>
      </w:r>
      <w:r>
        <w:rPr>
          <w:rFonts w:ascii="Arial" w:cs="Arial" w:eastAsia="Arial" w:hAnsi="Arial"/>
          <w:sz w:val="18"/>
          <w:szCs w:val="18"/>
          <w:color w:val="auto"/>
        </w:rPr>
        <w:t xml:space="preserve"> and an incidence of approximately 31,000</w:t>
      </w:r>
      <w:r>
        <w:rPr>
          <w:rFonts w:ascii="Arial" w:cs="Arial" w:eastAsia="Arial" w:hAnsi="Arial"/>
          <w:sz w:val="27"/>
          <w:szCs w:val="27"/>
          <w:color w:val="auto"/>
          <w:vertAlign w:val="superscript"/>
        </w:rPr>
        <w:t>6</w:t>
      </w:r>
      <w:r>
        <w:rPr>
          <w:rFonts w:ascii="Arial" w:cs="Arial" w:eastAsia="Arial" w:hAnsi="Arial"/>
          <w:sz w:val="18"/>
          <w:szCs w:val="18"/>
          <w:color w:val="auto"/>
        </w:rPr>
        <w:t xml:space="preserve"> in the US, Japan, and 5 major EU markets. Advanced stage FL is usually not considered to be curable, but more of a chronic disease, with patients living for many years.</w:t>
      </w:r>
    </w:p>
    <w:p>
      <w:pPr>
        <w:spacing w:after="0" w:line="20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Multiple Sclerosis Overview</w:t>
      </w:r>
    </w:p>
    <w:p>
      <w:pPr>
        <w:spacing w:after="0" w:line="162" w:lineRule="exact"/>
        <w:rPr>
          <w:sz w:val="20"/>
          <w:szCs w:val="20"/>
          <w:color w:val="auto"/>
        </w:rPr>
      </w:pPr>
    </w:p>
    <w:p>
      <w:pPr>
        <w:jc w:val="both"/>
        <w:ind w:left="2" w:firstLine="648"/>
        <w:spacing w:after="0" w:line="233" w:lineRule="auto"/>
        <w:rPr>
          <w:sz w:val="20"/>
          <w:szCs w:val="20"/>
          <w:color w:val="auto"/>
        </w:rPr>
      </w:pPr>
      <w:r>
        <w:rPr>
          <w:rFonts w:ascii="Arial" w:cs="Arial" w:eastAsia="Arial" w:hAnsi="Arial"/>
          <w:sz w:val="18"/>
          <w:szCs w:val="18"/>
          <w:color w:val="auto"/>
        </w:rPr>
        <w:t>Relapsing multiple sclerosis (RMS) is a chronic demyelinating disease of the central nervous system (CNS) and includes people with relapsing-remitting multiple sclerosis (RRMS) and people with secondary progressive multiple sclerosis (SPMS) who continue to experience relapses. RRMS is the most common form of multiple sclerosis (MS) and is characterized by episodes of new or worsening signs or symptoms (relapses) followed by periods of recovery. It is estimated that nearly 1,000,000 people are living with MS in the United States</w:t>
      </w:r>
      <w:r>
        <w:rPr>
          <w:rFonts w:ascii="Arial" w:cs="Arial" w:eastAsia="Arial" w:hAnsi="Arial"/>
          <w:sz w:val="27"/>
          <w:szCs w:val="27"/>
          <w:color w:val="auto"/>
          <w:vertAlign w:val="superscript"/>
        </w:rPr>
        <w:t>7</w:t>
      </w:r>
      <w:r>
        <w:rPr>
          <w:rFonts w:ascii="Arial" w:cs="Arial" w:eastAsia="Arial" w:hAnsi="Arial"/>
          <w:sz w:val="18"/>
          <w:szCs w:val="18"/>
          <w:color w:val="auto"/>
        </w:rPr>
        <w:t xml:space="preserve"> and approximately 85 percent are initially diagnosed with RRMS</w:t>
      </w:r>
      <w:r>
        <w:rPr>
          <w:rFonts w:ascii="Arial" w:cs="Arial" w:eastAsia="Arial" w:hAnsi="Arial"/>
          <w:sz w:val="27"/>
          <w:szCs w:val="27"/>
          <w:color w:val="auto"/>
          <w:vertAlign w:val="superscript"/>
        </w:rPr>
        <w:t>8</w:t>
      </w:r>
      <w:r>
        <w:rPr>
          <w:rFonts w:ascii="Arial" w:cs="Arial" w:eastAsia="Arial" w:hAnsi="Arial"/>
          <w:sz w:val="18"/>
          <w:szCs w:val="18"/>
          <w:color w:val="auto"/>
        </w:rPr>
        <w:t>. The majority of people who are diagnosed with RRMS will eventually transition to SPMS, in which they experience steadily worsening disability over time.</w:t>
      </w:r>
    </w:p>
    <w:p>
      <w:pPr>
        <w:spacing w:after="0" w:line="135"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OUR PRODUCTS UNDER DEVELOPMENT</w:t>
      </w:r>
    </w:p>
    <w:p>
      <w:pPr>
        <w:spacing w:after="0" w:line="229" w:lineRule="exact"/>
        <w:rPr>
          <w:sz w:val="20"/>
          <w:szCs w:val="20"/>
          <w:color w:val="auto"/>
        </w:rPr>
      </w:pPr>
    </w:p>
    <w:p>
      <w:pPr>
        <w:jc w:val="both"/>
        <w:ind w:left="2" w:right="20" w:firstLine="648"/>
        <w:spacing w:after="0" w:line="302" w:lineRule="auto"/>
        <w:rPr>
          <w:sz w:val="20"/>
          <w:szCs w:val="20"/>
          <w:color w:val="auto"/>
        </w:rPr>
      </w:pPr>
      <w:r>
        <w:rPr>
          <w:rFonts w:ascii="Arial" w:cs="Arial" w:eastAsia="Arial" w:hAnsi="Arial"/>
          <w:sz w:val="16"/>
          <w:szCs w:val="16"/>
          <w:color w:val="auto"/>
        </w:rPr>
        <w:t>We have leveraged our B-cell platform to develop a robust drug pipeline of both targeted orally available, potent and selective small molecule kinase inhibitors and intravenously delivered “off-the-shelf” immunotherapies that leverage the patient’s own immune system to fight cancer. We currently own worldwide development and commercial rights, subject to certain limited geographical restrictions, to all of our pre-clinical and clinical programs. The following table summarizes our most advanced drug candidates as of February 2020.</w:t>
      </w:r>
    </w:p>
    <w:p>
      <w:pPr>
        <w:spacing w:after="0" w:line="81" w:lineRule="exact"/>
        <w:rPr>
          <w:sz w:val="20"/>
          <w:szCs w:val="20"/>
          <w:color w:val="auto"/>
        </w:rPr>
      </w:pPr>
    </w:p>
    <w:tbl>
      <w:tblPr>
        <w:tblLayout w:type="fixed"/>
        <w:tblInd w:w="12" w:type="dxa"/>
        <w:tblCellMar>
          <w:top w:w="0" w:type="dxa"/>
          <w:left w:w="0" w:type="dxa"/>
          <w:bottom w:w="0" w:type="dxa"/>
          <w:right w:w="0" w:type="dxa"/>
        </w:tblCellMar>
      </w:tblPr>
      <w:tr>
        <w:trPr>
          <w:trHeight w:val="211"/>
        </w:trPr>
        <w:tc>
          <w:tcPr>
            <w:tcW w:w="33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Clinical Drug Candidate</w:t>
            </w:r>
          </w:p>
        </w:tc>
        <w:tc>
          <w:tcPr>
            <w:tcW w:w="34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Initial Target Disease</w:t>
            </w:r>
          </w:p>
        </w:tc>
        <w:tc>
          <w:tcPr>
            <w:tcW w:w="35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Stage of Development</w:t>
            </w:r>
          </w:p>
        </w:tc>
      </w:tr>
      <w:tr>
        <w:trPr>
          <w:trHeight w:val="234"/>
        </w:trPr>
        <w:tc>
          <w:tcPr>
            <w:tcW w:w="33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(molecular target)</w:t>
            </w:r>
          </w:p>
        </w:tc>
        <w:tc>
          <w:tcPr>
            <w:tcW w:w="3460" w:type="dxa"/>
            <w:vAlign w:val="bottom"/>
            <w:tcBorders>
              <w:bottom w:val="single" w:sz="8" w:color="auto"/>
              <w:right w:val="single" w:sz="8" w:color="auto"/>
            </w:tcBorders>
          </w:tcPr>
          <w:p>
            <w:pPr>
              <w:spacing w:after="0"/>
              <w:rPr>
                <w:sz w:val="20"/>
                <w:szCs w:val="20"/>
                <w:color w:val="auto"/>
              </w:rPr>
            </w:pP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(pivotal study)</w:t>
            </w:r>
          </w:p>
        </w:tc>
      </w:tr>
      <w:tr>
        <w:trPr>
          <w:trHeight w:val="210"/>
        </w:trPr>
        <w:tc>
          <w:tcPr>
            <w:tcW w:w="33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Ublituximab (anti-CD20/mAb)</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Chronic Lymphocytic Leukemia</w:t>
            </w: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 (UNITY-CLL)</w:t>
            </w:r>
          </w:p>
        </w:tc>
      </w:tr>
      <w:tr>
        <w:trPr>
          <w:trHeight w:val="217"/>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Multiple Sclerosis</w:t>
            </w: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trials (ULTIMATE I and II)</w:t>
            </w:r>
          </w:p>
        </w:tc>
      </w:tr>
      <w:tr>
        <w:trPr>
          <w:trHeight w:val="216"/>
        </w:trPr>
        <w:tc>
          <w:tcPr>
            <w:tcW w:w="33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2"/>
              </w:rPr>
              <w:t>Umbralisib (Dual PI3K delta and CK1 epsilon</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Chronic Lymphocytic Leukemia</w:t>
            </w: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 (UNITY-CLL)</w:t>
            </w:r>
          </w:p>
        </w:tc>
      </w:tr>
      <w:tr>
        <w:trPr>
          <w:trHeight w:val="210"/>
        </w:trPr>
        <w:tc>
          <w:tcPr>
            <w:tcW w:w="33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inhibitor)</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Marginal Zone Lymphoma</w:t>
            </w: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2b trial (UNITY-NHL)</w:t>
            </w:r>
          </w:p>
        </w:tc>
      </w:tr>
      <w:tr>
        <w:trPr>
          <w:trHeight w:val="210"/>
        </w:trPr>
        <w:tc>
          <w:tcPr>
            <w:tcW w:w="3380" w:type="dxa"/>
            <w:vAlign w:val="bottom"/>
            <w:tcBorders>
              <w:left w:val="single" w:sz="8" w:color="auto"/>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Follicular Lymphoma</w:t>
            </w: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2b trial (UNITY-NHL)</w:t>
            </w:r>
          </w:p>
        </w:tc>
      </w:tr>
      <w:tr>
        <w:trPr>
          <w:trHeight w:val="210"/>
        </w:trPr>
        <w:tc>
          <w:tcPr>
            <w:tcW w:w="33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Cosibelimab (anti-PDL1)</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210"/>
        </w:trPr>
        <w:tc>
          <w:tcPr>
            <w:tcW w:w="33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TG-1701 (BTK inhibitor)</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210"/>
        </w:trPr>
        <w:tc>
          <w:tcPr>
            <w:tcW w:w="33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TG-1801 (anti-CD47/CD19)</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3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6588125</wp:posOffset>
            </wp:positionH>
            <wp:positionV relativeFrom="paragraph">
              <wp:posOffset>-891540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-891540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-891540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342900</wp:posOffset>
            </wp:positionV>
            <wp:extent cx="16465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02" w:hanging="102"/>
        <w:spacing w:after="0"/>
        <w:tabs>
          <w:tab w:leader="none" w:pos="102"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 xml:space="preserve">Lymphoma Research Foundation: Follicular Lymphoma </w:t>
      </w:r>
      <w:r>
        <w:rPr>
          <w:rFonts w:ascii="Arial" w:cs="Arial" w:eastAsia="Arial" w:hAnsi="Arial"/>
          <w:sz w:val="18"/>
          <w:szCs w:val="18"/>
          <w:color w:val="0563C1"/>
        </w:rPr>
        <w:t>https://lymphoma.org/aboutlymphoma/nhl/fl/</w:t>
      </w:r>
    </w:p>
    <w:p>
      <w:pPr>
        <w:spacing w:after="0" w:line="69" w:lineRule="exact"/>
        <w:rPr>
          <w:rFonts w:ascii="Arial" w:cs="Arial" w:eastAsia="Arial" w:hAnsi="Arial"/>
          <w:sz w:val="27"/>
          <w:szCs w:val="27"/>
          <w:color w:val="auto"/>
          <w:vertAlign w:val="superscript"/>
        </w:rPr>
      </w:pPr>
    </w:p>
    <w:p>
      <w:pPr>
        <w:ind w:left="2"/>
        <w:spacing w:after="0"/>
        <w:rPr>
          <w:rFonts w:ascii="Arial" w:cs="Arial" w:eastAsia="Arial" w:hAnsi="Arial"/>
          <w:sz w:val="27"/>
          <w:szCs w:val="27"/>
          <w:color w:val="auto"/>
          <w:vertAlign w:val="superscript"/>
        </w:rPr>
      </w:pPr>
      <w:r>
        <w:rPr>
          <w:rFonts w:ascii="Arial" w:cs="Arial" w:eastAsia="Arial" w:hAnsi="Arial"/>
          <w:sz w:val="27"/>
          <w:szCs w:val="27"/>
          <w:color w:val="auto"/>
          <w:vertAlign w:val="superscript"/>
        </w:rPr>
        <w:t>5</w:t>
      </w:r>
      <w:r>
        <w:rPr>
          <w:rFonts w:ascii="Arial" w:cs="Arial" w:eastAsia="Arial" w:hAnsi="Arial"/>
          <w:sz w:val="18"/>
          <w:szCs w:val="18"/>
          <w:color w:val="auto"/>
        </w:rPr>
        <w:t xml:space="preserve"> Decision Resources via Pharmacyclics Investor Presentation, December 2014</w:t>
      </w:r>
    </w:p>
    <w:p>
      <w:pPr>
        <w:ind w:left="102" w:hanging="102"/>
        <w:spacing w:after="0" w:line="183" w:lineRule="auto"/>
        <w:tabs>
          <w:tab w:leader="none" w:pos="102" w:val="left"/>
        </w:tabs>
        <w:numPr>
          <w:ilvl w:val="0"/>
          <w:numId w:val="12"/>
        </w:numPr>
        <w:rPr>
          <w:rFonts w:ascii="Arial" w:cs="Arial" w:eastAsia="Arial" w:hAnsi="Arial"/>
          <w:sz w:val="26"/>
          <w:szCs w:val="26"/>
          <w:color w:val="auto"/>
          <w:vertAlign w:val="superscript"/>
        </w:rPr>
      </w:pPr>
      <w:r>
        <w:rPr>
          <w:rFonts w:ascii="Arial" w:cs="Arial" w:eastAsia="Arial" w:hAnsi="Arial"/>
          <w:sz w:val="17"/>
          <w:szCs w:val="17"/>
          <w:color w:val="auto"/>
        </w:rPr>
        <w:t>Global Data 2016 NHL Model</w:t>
      </w:r>
    </w:p>
    <w:p>
      <w:pPr>
        <w:spacing w:after="0" w:line="14" w:lineRule="exact"/>
        <w:rPr>
          <w:sz w:val="20"/>
          <w:szCs w:val="20"/>
          <w:color w:val="auto"/>
        </w:rPr>
      </w:pPr>
    </w:p>
    <w:p>
      <w:pPr>
        <w:ind w:left="102" w:hanging="102"/>
        <w:spacing w:after="0"/>
        <w:tabs>
          <w:tab w:leader="none" w:pos="102"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 xml:space="preserve">National MS Society </w:t>
      </w:r>
      <w:r>
        <w:rPr>
          <w:rFonts w:ascii="Arial" w:cs="Arial" w:eastAsia="Arial" w:hAnsi="Arial"/>
          <w:sz w:val="18"/>
          <w:szCs w:val="18"/>
          <w:color w:val="0563C1"/>
        </w:rPr>
        <w:t>https://www.nationalmssociety.org/About-the-Society/MS-Prevalence</w:t>
      </w:r>
    </w:p>
    <w:p>
      <w:pPr>
        <w:spacing w:after="0" w:line="54" w:lineRule="exact"/>
        <w:rPr>
          <w:sz w:val="20"/>
          <w:szCs w:val="20"/>
          <w:color w:val="auto"/>
        </w:rPr>
      </w:pPr>
    </w:p>
    <w:p>
      <w:pPr>
        <w:ind w:left="102" w:hanging="102"/>
        <w:spacing w:after="0"/>
        <w:tabs>
          <w:tab w:leader="none" w:pos="102"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Multiple Sclerosis International Federation, 2013 via Datamonitor p. 236</w:t>
      </w: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368" w:lineRule="exact"/>
        <w:rPr>
          <w:rFonts w:ascii="Arial" w:cs="Arial" w:eastAsia="Arial" w:hAnsi="Arial"/>
          <w:sz w:val="27"/>
          <w:szCs w:val="27"/>
          <w:color w:val="auto"/>
          <w:vertAlign w:val="superscript"/>
        </w:rPr>
      </w:pPr>
    </w:p>
    <w:p>
      <w:pPr>
        <w:ind w:left="5142"/>
        <w:spacing w:after="0"/>
        <w:rPr>
          <w:rFonts w:ascii="Arial" w:cs="Arial" w:eastAsia="Arial" w:hAnsi="Arial"/>
          <w:sz w:val="27"/>
          <w:szCs w:val="27"/>
          <w:color w:val="auto"/>
          <w:vertAlign w:val="superscript"/>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5951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402"/>
          </w:cols>
          <w:pgMar w:left="758" w:top="517" w:right="7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Ublituximab Overview</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Ublituximab (also referred to as TG-1101) is a glycoengineered anti-CD20 monoclonal antibody that targets a unique epitope on the CD20 antigen found on the surface of B-lymphocytes. We hold exclusive worldwide rights to develop and commercialize ublituximab for all indications, except for the territories of France and Belgium for which an option to commercialize has been retained by LFB Biotechnologies, South Korea and Southeast Asia which we licensed to Ildong Pharmaceutical Ltd in November 2012.</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Generally, anti-CD20 antibodies are believed to exert their B-cell depleting effects through three primary mechanisms: antibody dependent cell-mediated cytotoxicity (ADCC), complement dependent cytotoxicity (CDC), and direct or programmed cell death (DCD or PCD). Ublituximab has been specifically glycoengineered to enhance ADCC activity, which should enhance its ability to deplete B-cells and may improve its anti-cancer effects when compared to rituximab the leading anti-CD20 monoclonal antibody, which had worldwide sales in 2018 of approximately $7 billion.</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ADCC is a mechanism that is dependent on interactions between the Fc region of the antibody and the FcγR receptors on immune system effector cells, most notably the Fc−gammaRIIIA (CD16) receptor found on NK cells. These interactions trigger effector cells to release cytotoxic molecules and proteases resulting in B-cell death. Ublituximab is a next generation, type I chimeric IgG1 monoclonal antibody with a glycoengineered Fc region designed specifically to induce higher ADCC activity in comparison to rituximab. In pre-clinical (non-human) experiments, ublituximab has demonstrated an ability to enhance ADCC by &gt;50x over rituximab, resulting in enhanced potency.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Umbralisib 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Umbralisib (also referred to as TGR-1202) is an oral, once daily dual inhibitor of PI3K-delta and CK1-epsilon, with nanomolar potency to the delta isoform and high selectivity over the alpha, beta, and gamma isoforms. Umbralisib also uniquely inhibits CK1-epsilon, which may lead to a differentiated safety profile. 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2016, a manuscript titled, "Silencing c-Myc Translation as a Therapeutic Strategy through Targeting PI3K Delta and CK1 Epsilon in Hematological Malignancies," was published online in the First Edition section of Blood, the Journal of the American Society of Hematology. The publication presents preclinical data describing the synergy of umbralisib with the proteasome inhibitor carfilzomib and the unique effects of the combination to silence c-Myc in various preclinical lymphoma and myeloma models. Importantly, the manuscript for the first time reported on umbralisib’s unique complimentary mechanism of inhibiting the protein kinase casein kinase-1 epsilon (CK1e), which may lead to a differentiated safety profile by supporting T regulatory cells, a part of the immune system necessary to protect against autoimmune mediated toxicities.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Clinical Development of Ublituximab and Umbralisib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Ublituximab (TG-1101) in Relapsed/Refractory NHL &amp; CLL</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Two single-agent, dose-escalation, Phase I studies were undertaken with ublituximab to establish an optimal dose in patients with NHL and CLL. The first was a two part first-in-human Phase I clinical trial completed in France in which ublituximab was evaluated in relapsed or refractory CLL. In 2012 a second single-agent Phase I study was undertaken in the US entitled "An Open Label Phase I/II Trial of the Efficacy and Safety of TG-1101 in Patients with B-cell Non-Hodgkin Lymphoma who have Relapsed or are Refractory After CD20 Directed Antibody Therapy." In July 2014, this trial completed enrollment of 35 patients, of which 12 patients were included in the dose escalation component and 23 patients in various expansion cohorts. All enrolled patients were relapsed or refractory to rituximab or a rituximab containing regimen, and in most cases multiple other lines of therapy. Dr. Owen O'Connor, Professor of Medicine and Director, Center for Lymphoid Malignancies at New York Presbyterian Columbia Medical Center was the Principal Investigator for the multi-center study. Data from this study were published in the </w:t>
      </w:r>
      <w:r>
        <w:rPr>
          <w:rFonts w:ascii="Arial" w:cs="Arial" w:eastAsia="Arial" w:hAnsi="Arial"/>
          <w:sz w:val="16"/>
          <w:szCs w:val="16"/>
          <w:i w:val="1"/>
          <w:iCs w:val="1"/>
          <w:color w:val="auto"/>
        </w:rPr>
        <w:t>British Journal of Haematology</w:t>
      </w:r>
      <w:r>
        <w:rPr>
          <w:rFonts w:ascii="Arial" w:cs="Arial" w:eastAsia="Arial" w:hAnsi="Arial"/>
          <w:sz w:val="16"/>
          <w:szCs w:val="16"/>
          <w:color w:val="auto"/>
        </w:rPr>
        <w:t xml:space="preserve"> in February 2017. In both Phase 1 studies, single agent ublituximab was deemed well tolerated by treating investigators and displayed promising clinical activity in relapsed and refractory patients.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Ublituximab (TG-1101) in Relapsing Forms of Multiple Sclerosis</w:t>
      </w:r>
    </w:p>
    <w:p>
      <w:pPr>
        <w:spacing w:after="0" w:line="225"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In May 2016, we commenced our first study of ublituximab in patients with relapsing forms of multiple sclerosis (RMS), a chronic demyelinating disease of the central nervous system (CNS). The study, entitled "A Placebo-Controlled Multi-Center Phase 2 Dose Finding Study of Ublituximab, a Third-Generation Anti-CD20 Monoclonal Antibody, in Patients with Relapsing Forms of Multiple Sclerosis," was led by Edward Fox, MD, PhD, Director of the Multiple Sclerosis Clinic of Central Texas and Clinical Associate Professor at the University of Texas Dell Medical School in Austin, TX. The primary objective of the study was to determine the optimal dosing regimen for ublituximab with a focus on accelerating infusion times. In addition to monitoring for safety and tolerability at each dosing cohort, B-cell depletion and established MS efficacy endpoints were also evaluated.</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6"/>
          <w:szCs w:val="16"/>
          <w:color w:val="auto"/>
        </w:rPr>
        <w:t>In October 2018, final data from this Phase 2 study were presented at the 34</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Congress of the European Committee for Treatment and Research in Multiple Sclerosis (ECTRIMS) meeting in Berlin, Germany. The presentation included final data on all 48 patients enrolled in the study through 48 weeks of treatment. Ublituximab was well tolerated across all patients including those receiving rapid infusions, as low as a one hour for the 450mg dose currently being studied in the Phase 3 ULTIMATE program and no study drug related discontinuations occurred. Median B cell depletion was &gt;99% at the primary analysis point of Week 4 (n=48) and maintained at Week 24 and Week 48. Ublituximab also completely eliminated all (100%) T1 Gd-enhancing lesions at Week 24 and maintained complete elimination at Week 48 (n=46) and an Annualized Relapse Rate (ARR) of 0.07 was observed with 93% of subjects relapse free at Week 48.</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 October of 2019, at the 35</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Congress of the European Committee for Treatment and Research in Multiple Sclerosis (ECTRIMS) meeting in Stockholm, Sweden, we re-presented the final 48-week data from the Phase 2 trial, and also presented long-term follow-up data for 45 patients from the Phase 2 trial that enrolled into the Open Label Extension (OLE) trial. With a median duration of follow-up of 124.7 weeks, ublituximab continued to be well tolerated, no subjects discontinued due to an adverse event (AE) related to ublituximab, and AEs deemed at least possibly related to ublituximab were infrequent with all patients dosed at 450mg administered in a one-hour infusion. Additionally, infusion related reactions (IRRs) were rare during the OLE, occurring in only 5 patients (11%) all Grade 1 or 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Umbralisib (TGR-1202) in Patients with Relapsed/Refractory Hematologic Malignancies</w:t>
      </w:r>
    </w:p>
    <w:p>
      <w:pPr>
        <w:spacing w:after="0" w:line="225"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In January 2013, we initiated a Phase I, open label, multi-center, first-in-human clinical trial of umbralisib in patients with hematologic malignancies. The study entitled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was open to patients with relapsed or refractory NHL, CLL, and other select hematologic malignancies. As of February 2016, this study closed to enrollment.</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February 2018, data from this first-in-human Phase 1 clinical trial of umbralisib was published in The Lancet Oncology. The manuscript was titled, “Umbralisib, a novel PI3K and casein kinase-1 epsilon inhibitor, in relapsed or refractory chronic lymphocytic leukemia and lymphoma: an open-label, phase 1, dose-escalation, first-in-human study.” The paper includes safety and efficacy information from 90 patients with relapsed or refractory hematologic malignancies, including patients with CLL and various forms of lymphoma treated with single agent umbralisib. In this study, the data showed that umbralisib was well tolerated with a favorable safety profile.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Early Studies with Ublituximab (TG-1101) and/or Umbralisib (TGR-1202)</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the above Phase 1 trials for ublituximab and umbralisib, the following Phase 1 and Phase 2 studies, as well as an integrated analysis were conducted:</w:t>
      </w:r>
    </w:p>
    <w:p>
      <w:pPr>
        <w:spacing w:after="0" w:line="166" w:lineRule="exact"/>
        <w:rPr>
          <w:sz w:val="20"/>
          <w:szCs w:val="20"/>
          <w:color w:val="auto"/>
        </w:rPr>
      </w:pPr>
    </w:p>
    <w:p>
      <w:pPr>
        <w:jc w:val="both"/>
        <w:ind w:left="1000" w:hanging="327"/>
        <w:spacing w:after="0" w:line="286"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b w:val="1"/>
          <w:bCs w:val="1"/>
          <w:u w:val="single" w:color="auto"/>
          <w:color w:val="auto"/>
        </w:rPr>
        <w:t>Phase 1/2 Study of Umbralisib, Ublituximab and Venetoclax in patients with relapsed or refractory CLL –</w:t>
      </w:r>
      <w:r>
        <w:rPr>
          <w:rFonts w:ascii="Arial" w:cs="Arial" w:eastAsia="Arial" w:hAnsi="Arial"/>
          <w:sz w:val="16"/>
          <w:szCs w:val="16"/>
          <w:b w:val="1"/>
          <w:bCs w:val="1"/>
          <w:color w:val="auto"/>
        </w:rPr>
        <w:t xml:space="preserve"> </w:t>
      </w:r>
      <w:r>
        <w:rPr>
          <w:rFonts w:ascii="Arial" w:cs="Arial" w:eastAsia="Arial" w:hAnsi="Arial"/>
          <w:sz w:val="16"/>
          <w:szCs w:val="16"/>
          <w:color w:val="auto"/>
        </w:rPr>
        <w:t>In December</w:t>
      </w:r>
      <w:r>
        <w:rPr>
          <w:rFonts w:ascii="Arial" w:cs="Arial" w:eastAsia="Arial" w:hAnsi="Arial"/>
          <w:sz w:val="16"/>
          <w:szCs w:val="16"/>
          <w:b w:val="1"/>
          <w:bCs w:val="1"/>
          <w:color w:val="auto"/>
        </w:rPr>
        <w:t xml:space="preserve"> </w:t>
      </w:r>
      <w:r>
        <w:rPr>
          <w:rFonts w:ascii="Arial" w:cs="Arial" w:eastAsia="Arial" w:hAnsi="Arial"/>
          <w:sz w:val="16"/>
          <w:szCs w:val="16"/>
          <w:color w:val="auto"/>
        </w:rPr>
        <w:t>2019, we presented triple therapy data from patients with relapsed/refractory CLL treated with the triple therapy combination of ublituximab, umbralisib and venetoclax during an oral session at the 61st American Society of Hematology (ASH) annual meeting and exposition. At the time of presentation, twenty-seven patients were evaluable for safety and 23 were evaluable for efficacy. The triple therapy regimen was administered with 3 cycles of U2 induction/debulking to reduce the risk of tumor lysis syndrome (TLS), followed by the combination of umbralisib and venetoclax starting in cycle 4. Patients who were bone marrow MRD negative after cycle 12 stopped all therapy. Overall response rate (ORR) of 87% (20/23) after U2 induction period at cycle 3, prior to introduction of venetoclax, in relapsed/refractory CLL patients, including patients refractory to ibrutinib. U2 induction appeared to reduce venetoclax TLS risk, with no patients remaining as TLS high-risk following 3 cycles of U2. 13 patients were treated for &gt;7 cycles and 9 patients for &gt; 12 cycles, with the following response rates observed: 100% ORR (13/13) after cycle 7 for the triple combination; 100% ORR (9/9) including 44% Complete Response (CR) after cycle 12 for the combination; 100% (9/9) of patients had undetectable minimal residual disease (MRD) (&lt;0.01%) in peripheral blood after 12 cycles of therapy; and 78% (7/9) of patients who completed 12 cycles of therapy had undetectable MRD in bone marrow and have stopped therapy. At the time of the presentation, no patients (n=27) had progressed with a median follow-up of 6.4 months. Overall the triplet regimen was generally well tolerated with no events of TLS observed.</w:t>
      </w:r>
    </w:p>
    <w:p>
      <w:pPr>
        <w:spacing w:after="0" w:line="168" w:lineRule="exact"/>
        <w:rPr>
          <w:rFonts w:ascii="Arial" w:cs="Arial" w:eastAsia="Arial" w:hAnsi="Arial"/>
          <w:sz w:val="16"/>
          <w:szCs w:val="16"/>
          <w:color w:val="auto"/>
        </w:rPr>
      </w:pPr>
    </w:p>
    <w:p>
      <w:pPr>
        <w:jc w:val="both"/>
        <w:ind w:left="1000" w:hanging="327"/>
        <w:spacing w:after="0" w:line="289"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b w:val="1"/>
          <w:bCs w:val="1"/>
          <w:u w:val="single" w:color="auto"/>
          <w:color w:val="auto"/>
        </w:rPr>
        <w:t>Phase 1 Study of TG-1701, a Once-Daily BTK inhibitor, as a Single Agent and in Triple Combination with Umbralisib and Ublituximab in patients with relapsed or refractory NHL and CLL –</w:t>
      </w:r>
      <w:r>
        <w:rPr>
          <w:rFonts w:ascii="Arial" w:cs="Arial" w:eastAsia="Arial" w:hAnsi="Arial"/>
          <w:sz w:val="16"/>
          <w:szCs w:val="16"/>
          <w:b w:val="1"/>
          <w:bCs w:val="1"/>
          <w:color w:val="auto"/>
        </w:rPr>
        <w:t xml:space="preserve"> </w:t>
      </w:r>
      <w:r>
        <w:rPr>
          <w:rFonts w:ascii="Arial" w:cs="Arial" w:eastAsia="Arial" w:hAnsi="Arial"/>
          <w:sz w:val="16"/>
          <w:szCs w:val="16"/>
          <w:color w:val="auto"/>
        </w:rPr>
        <w:t>In December 2019, we presented data from patients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relapsed/refractory NHL and CLL treated with the triple therapy combination of TG-1701, umbralisib and ublituximab during a poster session at the 61st American Society of Hematology (ASH) annual meeting and exposition. The proprietary triplet of U2 plus TG-1701 induced 86% ORR (6 of 7) in patients with relapsed/refractory NHL and CLL at the lowest dose of TG-1701 tested. Of the 7 patients treated with the triple, 4 patients had follicular lymphoma (FL), of which 2 achieved a complete response (CR), 1 patient achieved partial response (PR) and 1 patient had stable disease SD). The remaining three patients treated with the combination included the following: 1 patient with marginal zone lymphoma (MZL) achieved a PR, 1 patient with Waldenström's macroglobulinemia (WM) achieved a PR; and 1 patient with diffuse large B-cell lymphoma (DLBCL) achieved a PR. As of the time of the presentation, all patients treated with the triple combination of TG-1701 plus U2 remained on study.</w:t>
      </w:r>
    </w:p>
    <w:p>
      <w:pPr>
        <w:spacing w:after="0" w:line="161" w:lineRule="exact"/>
        <w:rPr>
          <w:rFonts w:ascii="Arial" w:cs="Arial" w:eastAsia="Arial" w:hAnsi="Arial"/>
          <w:sz w:val="16"/>
          <w:szCs w:val="16"/>
          <w:color w:val="auto"/>
        </w:rPr>
      </w:pPr>
    </w:p>
    <w:p>
      <w:pPr>
        <w:jc w:val="both"/>
        <w:ind w:left="1000" w:hanging="327"/>
        <w:spacing w:after="0" w:line="273"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b w:val="1"/>
          <w:bCs w:val="1"/>
          <w:u w:val="single" w:color="auto"/>
          <w:color w:val="auto"/>
        </w:rPr>
        <w:t>Ublituximab in Combination with Umbralisib with/without ibrutinib or bendamustine for Relapsed/Refractory NHL &amp; CLL—</w:t>
      </w:r>
      <w:r>
        <w:rPr>
          <w:rFonts w:ascii="Arial" w:cs="Arial" w:eastAsia="Arial" w:hAnsi="Arial"/>
          <w:sz w:val="17"/>
          <w:szCs w:val="17"/>
          <w:b w:val="1"/>
          <w:bCs w:val="1"/>
          <w:color w:val="auto"/>
        </w:rPr>
        <w:t xml:space="preserve"> </w:t>
      </w:r>
      <w:r>
        <w:rPr>
          <w:rFonts w:ascii="Arial" w:cs="Arial" w:eastAsia="Arial" w:hAnsi="Arial"/>
          <w:sz w:val="17"/>
          <w:szCs w:val="17"/>
          <w:color w:val="auto"/>
        </w:rPr>
        <w:t>In November 2013, we initiated a multi-center, Phase I study to evaluate the safety and efficacy of the combination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ublituximab and umbralisib, (U2), for patients with relapsed and/or refractory CLL and NHL. The MD Anderson Cancer Center was the lead center for this clinical trial. Additional cohorts were added to this study to explore the triple therapy combination of U2 plus ibrutinib and the triple therapy combination of U2 plus bendamustine. Both U2 and the triplet combinations demonstrated acceptable levels of tolerability with promising activity. Enrollment in all cohorts is now closed and patients continued to be followed for safety and efficacy. Data highlights from each cohort include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320" w:hanging="323"/>
        <w:spacing w:after="0"/>
        <w:tabs>
          <w:tab w:leader="none" w:pos="1320" w:val="left"/>
        </w:tabs>
        <w:numPr>
          <w:ilvl w:val="0"/>
          <w:numId w:val="16"/>
        </w:numPr>
        <w:rPr>
          <w:rFonts w:ascii="Courier New" w:cs="Courier New" w:eastAsia="Courier New" w:hAnsi="Courier New"/>
          <w:sz w:val="18"/>
          <w:szCs w:val="18"/>
          <w:color w:val="auto"/>
        </w:rPr>
      </w:pPr>
      <w:r>
        <w:rPr>
          <w:rFonts w:ascii="Arial" w:cs="Arial" w:eastAsia="Arial" w:hAnsi="Arial"/>
          <w:sz w:val="18"/>
          <w:szCs w:val="18"/>
          <w:u w:val="single" w:color="auto"/>
          <w:color w:val="auto"/>
        </w:rPr>
        <w:t>Ublituximab plus Umbralisib (U2):</w:t>
      </w:r>
    </w:p>
    <w:p>
      <w:pPr>
        <w:spacing w:after="0" w:line="176" w:lineRule="exact"/>
        <w:rPr>
          <w:rFonts w:ascii="Courier New" w:cs="Courier New" w:eastAsia="Courier New" w:hAnsi="Courier New"/>
          <w:sz w:val="18"/>
          <w:szCs w:val="18"/>
          <w:color w:val="auto"/>
        </w:rPr>
      </w:pPr>
    </w:p>
    <w:p>
      <w:pPr>
        <w:ind w:left="1640"/>
        <w:spacing w:after="0" w:line="268" w:lineRule="auto"/>
        <w:rPr>
          <w:rFonts w:ascii="Courier New" w:cs="Courier New" w:eastAsia="Courier New" w:hAnsi="Courier New"/>
          <w:sz w:val="18"/>
          <w:szCs w:val="18"/>
          <w:color w:val="auto"/>
        </w:rPr>
      </w:pPr>
      <w:r>
        <w:rPr>
          <w:rFonts w:ascii="Arial" w:cs="Arial" w:eastAsia="Arial" w:hAnsi="Arial"/>
          <w:sz w:val="17"/>
          <w:szCs w:val="17"/>
          <w:color w:val="auto"/>
        </w:rPr>
        <w:t>In December 2015 we presented the results from the U2 portion of this trial at the 57th American Society of Hematology (ASH) annual meeting, Abstract Number 1538. The presentation included data from patients with relapsed and refractory NHL and CLL treated with U2. The combination was well tolerated in the 71 patients evaluable for safety at all dose levels up through 1200mg. This was a heavily pretreated population with high-risk features, including 58% refractory to last treatment with multiple previous lines of rituximab-based therapy. Notably, the only Grade 3/4 adverse event occurring in &gt; 5% of patients was neutropenia and of the 71 patients available for safety, only 6 patients (8%) discontinued due to an umbralisib related event. Additionally, 26 patients had been on U2 for 6+ months, with no events of colitis reported as of the date of publication. Efficacy data was presented on patients treated at the higher doses of umbralisib (1200mg of the original formulation and 600mg or greater of the micronized formulation). 80% (8 of 10) ORR was observed in patients with CLL/SLL, including 1 complete response (CR) and 7 partial responses (PRs). Notably, 75% of CLL patients had high-risk cytogenetics (17p and/or 11q del). 71% (12 of 17) ORR was observed in heavily pretreated patients with indolent NHL (FL &amp; MZL), including 4 CRs (24%) and 8 PRs, with 4 of the remaining 5 patients achieving stable disease.</w:t>
      </w:r>
    </w:p>
    <w:p>
      <w:pPr>
        <w:spacing w:after="0" w:line="187" w:lineRule="exact"/>
        <w:rPr>
          <w:rFonts w:ascii="Courier New" w:cs="Courier New" w:eastAsia="Courier New" w:hAnsi="Courier New"/>
          <w:sz w:val="18"/>
          <w:szCs w:val="18"/>
          <w:color w:val="auto"/>
        </w:rPr>
      </w:pPr>
    </w:p>
    <w:p>
      <w:pPr>
        <w:ind w:left="1640"/>
        <w:spacing w:after="0" w:line="271" w:lineRule="auto"/>
        <w:rPr>
          <w:rFonts w:ascii="Courier New" w:cs="Courier New" w:eastAsia="Courier New" w:hAnsi="Courier New"/>
          <w:sz w:val="18"/>
          <w:szCs w:val="18"/>
          <w:color w:val="auto"/>
        </w:rPr>
      </w:pPr>
      <w:r>
        <w:rPr>
          <w:rFonts w:ascii="Arial" w:cs="Arial" w:eastAsia="Arial" w:hAnsi="Arial"/>
          <w:sz w:val="17"/>
          <w:szCs w:val="17"/>
          <w:color w:val="auto"/>
        </w:rPr>
        <w:t>In September of 2019, results from the Phase I/IB combination trial of U2 were published in Blood, the Journal of the American Society of Hematology. The paper includes safety and efficacy information from 22 patients with CLL or small lymphocytic lymphoma (SLL) and 53 patients with NHL treated with the combination of ublituximab and umbralisib, referred to as “U2”. Safety data was available from all 75 patients and demonstrated that the U2 combination was well tolerated with the majority of adverse events (AEs) being grade 1 or 2 in severity and no maximum tolerated dose achieved in either CLL or NHL. Importantly, U2 exhibited low rates of immune-mediated toxicities, typically associated with other PI3K-delta inhibitors including colitis, pneumonia/pneumonitis, or hepatic toxicity, and discontinuations due to AEs were limited (13%).</w:t>
      </w:r>
    </w:p>
    <w:p>
      <w:pPr>
        <w:spacing w:after="0" w:line="178" w:lineRule="exact"/>
        <w:rPr>
          <w:rFonts w:ascii="Courier New" w:cs="Courier New" w:eastAsia="Courier New" w:hAnsi="Courier New"/>
          <w:sz w:val="18"/>
          <w:szCs w:val="18"/>
          <w:color w:val="auto"/>
        </w:rPr>
      </w:pPr>
    </w:p>
    <w:p>
      <w:pPr>
        <w:jc w:val="right"/>
        <w:ind w:left="1640"/>
        <w:spacing w:after="0" w:line="297" w:lineRule="auto"/>
        <w:rPr>
          <w:rFonts w:ascii="Courier New" w:cs="Courier New" w:eastAsia="Courier New" w:hAnsi="Courier New"/>
          <w:sz w:val="18"/>
          <w:szCs w:val="18"/>
          <w:color w:val="auto"/>
        </w:rPr>
      </w:pPr>
      <w:r>
        <w:rPr>
          <w:rFonts w:ascii="Arial" w:cs="Arial" w:eastAsia="Arial" w:hAnsi="Arial"/>
          <w:sz w:val="16"/>
          <w:szCs w:val="16"/>
          <w:color w:val="auto"/>
        </w:rPr>
        <w:t>Efficacy data was available from 69 patients and showed the combination to be highly active with a 72.5% clinical benefit rate (defined as patients obtaining a Complete Response, Partial Response, or Stable Disease) across all subtypes of B-cell cancers enrolled in the study. Of note, a median PFS of 27.57 months was observed in patients with relapsed/refractory CLL (n=15) treated at therapeutic dose levels of umbralisib and a 65% overall response rate (ORR) was observed in patients relapsed/refractory indolent NHL (n=20), including a 100% ORR amongst MZL patients (n=5).</w:t>
      </w:r>
    </w:p>
    <w:p>
      <w:pPr>
        <w:spacing w:after="0" w:line="158" w:lineRule="exact"/>
        <w:rPr>
          <w:rFonts w:ascii="Courier New" w:cs="Courier New" w:eastAsia="Courier New" w:hAnsi="Courier New"/>
          <w:sz w:val="18"/>
          <w:szCs w:val="18"/>
          <w:color w:val="auto"/>
        </w:rPr>
      </w:pPr>
    </w:p>
    <w:p>
      <w:pPr>
        <w:ind w:left="1640"/>
        <w:spacing w:after="0" w:line="264" w:lineRule="auto"/>
        <w:rPr>
          <w:rFonts w:ascii="Courier New" w:cs="Courier New" w:eastAsia="Courier New" w:hAnsi="Courier New"/>
          <w:sz w:val="18"/>
          <w:szCs w:val="18"/>
          <w:color w:val="auto"/>
        </w:rPr>
      </w:pPr>
      <w:r>
        <w:rPr>
          <w:rFonts w:ascii="Arial" w:cs="Arial" w:eastAsia="Arial" w:hAnsi="Arial"/>
          <w:sz w:val="18"/>
          <w:szCs w:val="18"/>
          <w:color w:val="auto"/>
        </w:rPr>
        <w:t>These data are described further in the manuscript entitled, “Ublituximab and Umbralisib in Relapsed/ Refractory B-cell Non-Hodgkin Lymphoma and Chronic Lymphocytic Leukemia,” which was published online in the First Edition section of Blood, the Journal of the American Society of Hematology.</w:t>
      </w:r>
    </w:p>
    <w:p>
      <w:pPr>
        <w:spacing w:after="0" w:line="213" w:lineRule="exact"/>
        <w:rPr>
          <w:rFonts w:ascii="Courier New" w:cs="Courier New" w:eastAsia="Courier New" w:hAnsi="Courier New"/>
          <w:sz w:val="18"/>
          <w:szCs w:val="18"/>
          <w:color w:val="auto"/>
        </w:rPr>
      </w:pPr>
    </w:p>
    <w:p>
      <w:pPr>
        <w:jc w:val="both"/>
        <w:ind w:left="1320" w:hanging="323"/>
        <w:spacing w:after="0" w:line="294" w:lineRule="auto"/>
        <w:tabs>
          <w:tab w:leader="none" w:pos="1320" w:val="left"/>
        </w:tabs>
        <w:numPr>
          <w:ilvl w:val="0"/>
          <w:numId w:val="16"/>
        </w:numPr>
        <w:rPr>
          <w:rFonts w:ascii="Courier New" w:cs="Courier New" w:eastAsia="Courier New" w:hAnsi="Courier New"/>
          <w:sz w:val="16"/>
          <w:szCs w:val="16"/>
          <w:color w:val="auto"/>
        </w:rPr>
      </w:pPr>
      <w:r>
        <w:rPr>
          <w:rFonts w:ascii="Arial" w:cs="Arial" w:eastAsia="Arial" w:hAnsi="Arial"/>
          <w:sz w:val="16"/>
          <w:szCs w:val="16"/>
          <w:u w:val="single" w:color="auto"/>
          <w:color w:val="auto"/>
        </w:rPr>
        <w:t>U2 plus Bendamustine:</w:t>
      </w:r>
      <w:r>
        <w:rPr>
          <w:rFonts w:ascii="Arial" w:cs="Arial" w:eastAsia="Arial" w:hAnsi="Arial"/>
          <w:sz w:val="16"/>
          <w:szCs w:val="16"/>
          <w:color w:val="auto"/>
        </w:rPr>
        <w:t xml:space="preserve"> In December 2018, updated data for the U2 plus bendamustine cohort was presented at the 60th ASH Annual Meeting. Overall, the U2 plus bendamustine combination was well tolerated and highly active in patients with advanced indolent and aggressive NHL, including those not eligible for HD/SCT or CD19 CART therapy. Efficacy highlights from this poster included an 85% (11 of 13) ORR including a 54% CR rate in patients with relapsed or refractory FL.</w:t>
      </w:r>
    </w:p>
    <w:p>
      <w:pPr>
        <w:spacing w:after="0" w:line="161" w:lineRule="exact"/>
        <w:rPr>
          <w:rFonts w:ascii="Courier New" w:cs="Courier New" w:eastAsia="Courier New" w:hAnsi="Courier New"/>
          <w:sz w:val="16"/>
          <w:szCs w:val="16"/>
          <w:color w:val="auto"/>
        </w:rPr>
      </w:pPr>
    </w:p>
    <w:p>
      <w:pPr>
        <w:jc w:val="both"/>
        <w:ind w:left="1320" w:hanging="323"/>
        <w:spacing w:after="0" w:line="269" w:lineRule="auto"/>
        <w:tabs>
          <w:tab w:leader="none" w:pos="1320" w:val="left"/>
        </w:tabs>
        <w:numPr>
          <w:ilvl w:val="0"/>
          <w:numId w:val="16"/>
        </w:numPr>
        <w:rPr>
          <w:rFonts w:ascii="Courier New" w:cs="Courier New" w:eastAsia="Courier New" w:hAnsi="Courier New"/>
          <w:sz w:val="17"/>
          <w:szCs w:val="17"/>
          <w:color w:val="auto"/>
        </w:rPr>
      </w:pPr>
      <w:r>
        <w:rPr>
          <w:rFonts w:ascii="Arial" w:cs="Arial" w:eastAsia="Arial" w:hAnsi="Arial"/>
          <w:sz w:val="17"/>
          <w:szCs w:val="17"/>
          <w:u w:val="single" w:color="auto"/>
          <w:color w:val="auto"/>
        </w:rPr>
        <w:t>U2 plus Ibrutinib:</w:t>
      </w:r>
      <w:r>
        <w:rPr>
          <w:rFonts w:ascii="Arial" w:cs="Arial" w:eastAsia="Arial" w:hAnsi="Arial"/>
          <w:sz w:val="17"/>
          <w:szCs w:val="17"/>
          <w:color w:val="auto"/>
        </w:rPr>
        <w:t xml:space="preserve"> In January 2019, we announced the publication of results from the U2 plus ibrutinib cohort in The Lancet Haematology. Safety data was available from 46 patients and the triple combination of ublituximab, umbralisib, and ibrutinib was well tolerated with a manageable adverse event profile and no maximum tolerated dose achieved for the combination. Efficacy data was available from 44 patients and showed the U2 plus ibrutinib combination to be highly active. The ORR amongst all evaluable patients was 84%, with 100% (22 of 22) of patients with CLL/SLL achieving a response, including 36% achieving a CR. Among patients with NHL, 68% (15 of 22) achieved a response, including a 71% ORR in FL (n=7), a 100% ORR in MZL (n=3), and a 100% ORR in MCL (n=6).</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left="1000" w:hanging="327"/>
        <w:spacing w:after="0" w:line="272"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b w:val="1"/>
          <w:bCs w:val="1"/>
          <w:u w:val="single" w:color="auto"/>
          <w:color w:val="auto"/>
        </w:rPr>
        <w:t xml:space="preserve">Umbralisib as a single agent in CLL patients who are intolerant to prior BTK inhibitor or PI3K delta inhibitor therapy— </w:t>
      </w:r>
      <w:r>
        <w:rPr>
          <w:rFonts w:ascii="Arial" w:cs="Arial" w:eastAsia="Arial" w:hAnsi="Arial"/>
          <w:sz w:val="17"/>
          <w:szCs w:val="17"/>
          <w:color w:val="auto"/>
        </w:rPr>
        <w:t>In September 2019, at the XVIII iwCLL meeting in Edinburgh, Scotland, data was presented from 51 patients with CLL who were intolerant to prior BTK or PI3K delta inhibitor therapy who were then treated with single agent umbralisib. Umbralisib demonstrated a favorable safety profile with only 12% of patients discontinuing due to an umbralisib related adverse event, of which only one patient discontinued due to a recurrent adverse event (AE) also experienced with prior kinase inhibitor therapy. As of the data presentation, over half of the patients enrolled had been on umbralisib for a duration longer than their prior kinase inhibitor. The estimated median progression free survival (PFS) was 23.5 months (95% confidence interval: 13.1 – Not Estimable). Enrollment is now closed with patients continuing to be followed.</w:t>
      </w:r>
    </w:p>
    <w:p>
      <w:pPr>
        <w:spacing w:after="0" w:line="172" w:lineRule="exact"/>
        <w:rPr>
          <w:rFonts w:ascii="Arial" w:cs="Arial" w:eastAsia="Arial" w:hAnsi="Arial"/>
          <w:sz w:val="17"/>
          <w:szCs w:val="17"/>
          <w:color w:val="auto"/>
        </w:rPr>
      </w:pPr>
    </w:p>
    <w:p>
      <w:pPr>
        <w:jc w:val="both"/>
        <w:ind w:left="1000" w:hanging="327"/>
        <w:spacing w:after="0" w:line="270"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b w:val="1"/>
          <w:bCs w:val="1"/>
          <w:u w:val="single" w:color="auto"/>
          <w:color w:val="auto"/>
        </w:rPr>
        <w:t xml:space="preserve">Umbralisib Long-term Follow-up Integrated Analysis in Patients with Relapsed/Refractory Hematologic Malignancies— </w:t>
      </w:r>
      <w:r>
        <w:rPr>
          <w:rFonts w:ascii="Arial" w:cs="Arial" w:eastAsia="Arial" w:hAnsi="Arial"/>
          <w:sz w:val="17"/>
          <w:szCs w:val="17"/>
          <w:color w:val="auto"/>
        </w:rPr>
        <w:t>In December 2017, at the 59th ASH Annual Meeting, the Company presented integrated long-term follow-up data from 347 patients exposed to umbralisib across 5 studies, which continued to demonstrate high response rates in CLL, and FL coupled with a favorable safety profile. In June 2018, an update on the data was presented at the 23rd Congress of the European Hematology Association (EHA). The presentation included data pooled from 4 completed or ongoing Phase 1 or 2 studies containing umbralisib, focusing on 177 patients who have been on daily umbralisib for a minimum of 6 months. Patients were heavily pretreated, with 45% of patients having seen 3 or more prior lines of therapy. Umbralisib continued to exhibit a tolerable safety profile with serious adverse events occurring in &gt;1% of patients after 6 months on therapy limited to pneumonia (3%), diarrhea (2%), and cellulitis (2%) with only 2% of patients discontinuing umbralisib as a result of diarrhea/colitis after being on umbralisib for more than 6 months.</w:t>
      </w:r>
    </w:p>
    <w:p>
      <w:pPr>
        <w:spacing w:after="0" w:line="177" w:lineRule="exact"/>
        <w:rPr>
          <w:rFonts w:ascii="Arial" w:cs="Arial" w:eastAsia="Arial" w:hAnsi="Arial"/>
          <w:sz w:val="17"/>
          <w:szCs w:val="17"/>
          <w:color w:val="auto"/>
        </w:rPr>
      </w:pPr>
    </w:p>
    <w:p>
      <w:pPr>
        <w:jc w:val="both"/>
        <w:ind w:left="1000" w:hanging="327"/>
        <w:spacing w:after="0" w:line="286"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Phase 2 trial of Umbralisib plus Ibrutinib in patients with relapsed or refractory CLL and MCL</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December 2018, we</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the publication of results from the multicenter Phase 1/1b trial of umbralisib in combination with ibrutinib, the oral Bruton's tyrosine kinase (BTK) inhibitor, in Lancet Haematology. This investigator-initiated trial was conducted at Dana-Farber Cancer Institute and four additional centers across the USA in collaboration with the Leukemia and Lymphoma Society, Blood Cancer Research Partnership with funding by TG Therapeutics. The publication includes safety and efficacy information from a total of 42 relapsed or refractory patients, 21 with CLL and 21 with MCL. In this study, the combination of umbralisib and ibrutinib was well tolerated and consistent with the additive toxicity profile of the two drugs individually. No dose-limiting toxicities were observed, and the maximum-tolerated dose of umbralisib when combined with ibrutinib was not reached. The recommended phase 2 dose of umbralisib when given in combination with ibrutinib was 800 mg once daily. Importantly, serious immune-mediated toxicities were not observed with this combination, as had previously been reported with combinations of different agents targeting this pathway, with only one case of transient Grade 3 transaminitis and no Grade 3/4 colitis or pneumonitis. The combination of umbralisib and ibrutinib was also clinically active, with 90% of relapsed/refractory CLL patients achieving an overall response (n=19), of which 62% (n=13) achieved a partial response or partial response with lymphocytosis, and 29% (n=6) achieved a complete response. Of the 21 patients treated with MCL, 67% (n=14) achieved an overall response, of which 48% (n=10) achieved a partial response and 19% (n=4) achieved a complete response.</w:t>
      </w:r>
    </w:p>
    <w:p>
      <w:pPr>
        <w:spacing w:after="0" w:line="168" w:lineRule="exact"/>
        <w:rPr>
          <w:rFonts w:ascii="Arial" w:cs="Arial" w:eastAsia="Arial" w:hAnsi="Arial"/>
          <w:sz w:val="16"/>
          <w:szCs w:val="16"/>
          <w:color w:val="auto"/>
        </w:rPr>
      </w:pPr>
    </w:p>
    <w:p>
      <w:pPr>
        <w:jc w:val="both"/>
        <w:ind w:left="1000" w:hanging="327"/>
        <w:spacing w:after="0" w:line="271"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b w:val="1"/>
          <w:bCs w:val="1"/>
          <w:u w:val="single" w:color="auto"/>
          <w:color w:val="auto"/>
        </w:rPr>
        <w:t>Phase 2 trial of Ublituximab plus Ibrutinib in patients with relapsed or refractory CLL and Mantle Cell Lymphoma (MCL)—</w:t>
      </w:r>
      <w:r>
        <w:rPr>
          <w:rFonts w:ascii="Arial" w:cs="Arial" w:eastAsia="Arial" w:hAnsi="Arial"/>
          <w:sz w:val="17"/>
          <w:szCs w:val="17"/>
          <w:b w:val="1"/>
          <w:bCs w:val="1"/>
          <w:color w:val="auto"/>
        </w:rPr>
        <w:t xml:space="preserve"> </w:t>
      </w:r>
      <w:r>
        <w:rPr>
          <w:rFonts w:ascii="Arial" w:cs="Arial" w:eastAsia="Arial" w:hAnsi="Arial"/>
          <w:sz w:val="17"/>
          <w:szCs w:val="17"/>
          <w:color w:val="auto"/>
        </w:rPr>
        <w:t>In December 2013, we initiated a multi-center Phase 2 clinical trial to evaluate the safety and efficacy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of ublituximab and ibrutinib for patients with CLL and MCL. Jeff P. Sharman, MD, Medical Director, Hematology Research, US Oncology Network, was the Study Chair. This trial has completed enrollment. Final data from the MCL cohort of this study was presented at the 57th ASH meeting held in December 2015, with data from the CLL cohort published in the British Journal of Haematology in December 2016. The combination displayed marked clinical activity, reporting an 88% (35/41) response rate in patients with CLL, a 95% (19/21) response rate in those CLL patients with high-risk cytogenetics, and an 87% (13/15) response rate in patients with MCL. The data from the CLL cohort of this study supported the Phase 3 GENUINE study evaluating ublituximab plus ibrutinib in CLL patients with high-risk cytogenetics.</w:t>
      </w:r>
    </w:p>
    <w:p>
      <w:pPr>
        <w:spacing w:after="0" w:line="174" w:lineRule="exact"/>
        <w:rPr>
          <w:rFonts w:ascii="Arial" w:cs="Arial" w:eastAsia="Arial" w:hAnsi="Arial"/>
          <w:sz w:val="17"/>
          <w:szCs w:val="17"/>
          <w:color w:val="auto"/>
        </w:rPr>
      </w:pPr>
    </w:p>
    <w:p>
      <w:pPr>
        <w:jc w:val="both"/>
        <w:ind w:left="1000" w:hanging="327"/>
        <w:spacing w:after="0" w:line="258"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early combination studies utilizing umbralisib with approved agents—</w:t>
      </w:r>
      <w:r>
        <w:rPr>
          <w:rFonts w:ascii="Arial" w:cs="Arial" w:eastAsia="Arial" w:hAnsi="Arial"/>
          <w:sz w:val="18"/>
          <w:szCs w:val="18"/>
          <w:b w:val="1"/>
          <w:bCs w:val="1"/>
          <w:color w:val="auto"/>
        </w:rPr>
        <w:t xml:space="preserve"> </w:t>
      </w:r>
      <w:r>
        <w:rPr>
          <w:rFonts w:ascii="Arial" w:cs="Arial" w:eastAsia="Arial" w:hAnsi="Arial"/>
          <w:sz w:val="18"/>
          <w:szCs w:val="18"/>
          <w:color w:val="auto"/>
        </w:rPr>
        <w:t>Umbralisib has been evaluated in</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with the anti-CD30 antibody drug conjugate, brentuximab vedotin, in patients with relapsed or refractory Hodgkin lymphoma and in combination with the JAK inhibitor, ruxolitinib, in patients with Myelofibrosis or Polycythemia Vera. Additional investigator sponsored trials are also underway which are combining umbralisib and or the U2 combination with other approved agents for the treatment of B-cell malignancies.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Phase 3 or Registration Directed Clinical Trials for Ublituximab and Umbralisib:</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initiated and enrolled several Phase 3 and registration-directed Phase 2b clinical trials (i.e., clinical trials that may support a marketing application for approval). The following are the current Phase 3 trials and registration-directed Phase 2b clinical trials:</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UNITY-NHL Phase 2b Trial: </w:t>
      </w:r>
      <w:r>
        <w:rPr>
          <w:rFonts w:ascii="Arial" w:cs="Arial" w:eastAsia="Arial" w:hAnsi="Arial"/>
          <w:sz w:val="17"/>
          <w:szCs w:val="17"/>
          <w:color w:val="auto"/>
        </w:rPr>
        <w:t>UNITY-NHL is a broad, multicenter, open-label, Phase 2b registration-directed clinical trial designed</w:t>
      </w:r>
      <w:r>
        <w:rPr>
          <w:rFonts w:ascii="Arial" w:cs="Arial" w:eastAsia="Arial" w:hAnsi="Arial"/>
          <w:sz w:val="17"/>
          <w:szCs w:val="17"/>
          <w:b w:val="1"/>
          <w:bCs w:val="1"/>
          <w:color w:val="auto"/>
        </w:rPr>
        <w:t xml:space="preserve"> </w:t>
      </w:r>
      <w:r>
        <w:rPr>
          <w:rFonts w:ascii="Arial" w:cs="Arial" w:eastAsia="Arial" w:hAnsi="Arial"/>
          <w:sz w:val="17"/>
          <w:szCs w:val="17"/>
          <w:color w:val="auto"/>
        </w:rPr>
        <w:t>to evaluate the efficacy and safety of umbralisib monotherapy and U2 combinations in patients with previously treated NHL. The marginal zone lymphoma (MZL) and the follicular lymphoma (FL)/small lymphocytic lymphoma (SLL) single agent umbralisib cohorts of this trial are fully enrolled. These indolent lymphoma cohorts of the trial are being led by Nathan H. Fowler, MD, Associate Professor, Department of Lymphoma/Myeloma at the University of Texas MD Anderson Cancer Center. The primary objective of these cohorts is to assess the efficacy of single agent umbralisib as measured by Overall Response Rate (ORR).</w:t>
      </w:r>
    </w:p>
    <w:p>
      <w:pPr>
        <w:spacing w:after="0" w:line="174" w:lineRule="exact"/>
        <w:rPr>
          <w:sz w:val="20"/>
          <w:szCs w:val="20"/>
          <w:color w:val="auto"/>
        </w:rPr>
      </w:pPr>
    </w:p>
    <w:p>
      <w:pPr>
        <w:jc w:val="both"/>
        <w:ind w:left="1000" w:hanging="327"/>
        <w:spacing w:after="0" w:line="277"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UNITY-NHL MZL Single Agent Umbralisib Cohort: </w:t>
      </w:r>
      <w:r>
        <w:rPr>
          <w:rFonts w:ascii="Arial" w:cs="Arial" w:eastAsia="Arial" w:hAnsi="Arial"/>
          <w:sz w:val="17"/>
          <w:szCs w:val="17"/>
          <w:color w:val="auto"/>
        </w:rPr>
        <w:t>The MZL cohort enrolled adult patients who had at least one prior line of</w:t>
      </w:r>
      <w:r>
        <w:rPr>
          <w:rFonts w:ascii="Arial" w:cs="Arial" w:eastAsia="Arial" w:hAnsi="Arial"/>
          <w:sz w:val="17"/>
          <w:szCs w:val="17"/>
          <w:b w:val="1"/>
          <w:bCs w:val="1"/>
          <w:color w:val="auto"/>
        </w:rPr>
        <w:t xml:space="preserve"> </w:t>
      </w:r>
      <w:r>
        <w:rPr>
          <w:rFonts w:ascii="Arial" w:cs="Arial" w:eastAsia="Arial" w:hAnsi="Arial"/>
          <w:sz w:val="17"/>
          <w:szCs w:val="17"/>
          <w:color w:val="auto"/>
        </w:rPr>
        <w:t>therapy that included an anti-CD20 monoclonal antibody. This cohort was designed to evaluate the safety and efficacy of single agent umbralisib and the primary endpoint is ORR as determined by Independent Review Committee (IRC) assessment. The primary analysis of ORR will be conducted once all treated patients have had at least 9 cycles (Cycle = 28 days) of follow-up. Secondary endpoints include safety, duration of response, and progression-free survival (PFS).</w:t>
      </w:r>
    </w:p>
    <w:p>
      <w:pPr>
        <w:spacing w:after="0" w:line="172" w:lineRule="exact"/>
        <w:rPr>
          <w:sz w:val="20"/>
          <w:szCs w:val="20"/>
          <w:color w:val="auto"/>
        </w:rPr>
      </w:pPr>
    </w:p>
    <w:p>
      <w:pPr>
        <w:jc w:val="both"/>
        <w:ind w:left="980"/>
        <w:spacing w:after="0" w:line="288" w:lineRule="auto"/>
        <w:rPr>
          <w:sz w:val="20"/>
          <w:szCs w:val="20"/>
          <w:color w:val="auto"/>
        </w:rPr>
      </w:pPr>
      <w:r>
        <w:rPr>
          <w:rFonts w:ascii="Arial" w:cs="Arial" w:eastAsia="Arial" w:hAnsi="Arial"/>
          <w:sz w:val="16"/>
          <w:szCs w:val="16"/>
          <w:color w:val="auto"/>
        </w:rPr>
        <w:t>In February 2019, we announced that the MZL cohort met the primary endpoint of ORR as determined by IRC for all treated patients (n=69). The results met our target guidance of 40-50% ORR. Interim safety and efficacy data from the MZL cohort were presented in an oral presentation at the American Association for Cancer Research (AACR) annual meeting on April 1, 2019. The data presented included safety and tolerability data on all 69 treated patients (safety population) and efficacy data on 42 patients who were enrolled at least 9 cycles (28 day cycles) prior to the data cut-off date (interim efficacy population). The safety population had a median duration of exposure of 6.9 months and no unexpected toxicities were observed. Analysis of the interim efficacy population showed an ORR by IRC of 52%, including 19% CR rate, an 88% clinical benefit rate by IRC (defined as patients obtaining Complete Response + Partial Response + Stable Disease) and a median duration of exposure of 10.1 months. These results were also presented in oral presentations during the 2019 American Society of Clinical Oncology (ASCO) annual meeting and the 2019 International Conference on Malignant Lymphoma (ICML) both held in June of 2019.</w:t>
      </w:r>
    </w:p>
    <w:p>
      <w:pPr>
        <w:spacing w:after="0" w:line="16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Previously, in January 2019, the U.S. Food and Drug Administration (FDA) granted Breakthrough Therapy Designation (BTD) to umbralisib for the treatment of adult patients with MZL who have received at least one prior anti-CD20 regimen. The BTD was based on interim data from the MZL cohort of the UNITY-NHL trial. In April 2019, the FDA granted orphan drug designation to umbralisib for the treatment of patients with any of the three types of marginal zone lymphoma (MZL): nodal, extranodal, and splenic MZL.</w:t>
      </w:r>
    </w:p>
    <w:p>
      <w:pPr>
        <w:spacing w:after="0" w:line="188"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Most recently, in January of 2020, we initiated a rolling submission of an NDA to the FDA for umbralisib as a treatment for previously treated MZL or FL. We anticipate completion of this rolling submission in the first half of 2020.</w:t>
      </w:r>
    </w:p>
    <w:p>
      <w:pPr>
        <w:spacing w:after="0" w:line="166" w:lineRule="exact"/>
        <w:rPr>
          <w:sz w:val="20"/>
          <w:szCs w:val="20"/>
          <w:color w:val="auto"/>
        </w:rPr>
      </w:pPr>
    </w:p>
    <w:p>
      <w:pPr>
        <w:jc w:val="both"/>
        <w:ind w:left="1000" w:hanging="327"/>
        <w:spacing w:after="0" w:line="254"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UNITY-NHL FL/SLL Single Agent Umbralisib Cohort</w:t>
      </w:r>
      <w:r>
        <w:rPr>
          <w:rFonts w:ascii="Arial" w:cs="Arial" w:eastAsia="Arial" w:hAnsi="Arial"/>
          <w:sz w:val="18"/>
          <w:szCs w:val="18"/>
          <w:color w:val="auto"/>
        </w:rPr>
        <w:t>: The FL/SLL cohort enrolled adult patients who had two or more prior</w:t>
      </w:r>
      <w:r>
        <w:rPr>
          <w:rFonts w:ascii="Arial" w:cs="Arial" w:eastAsia="Arial" w:hAnsi="Arial"/>
          <w:sz w:val="18"/>
          <w:szCs w:val="18"/>
          <w:b w:val="1"/>
          <w:bCs w:val="1"/>
          <w:color w:val="auto"/>
        </w:rPr>
        <w:t xml:space="preserve"> </w:t>
      </w:r>
      <w:r>
        <w:rPr>
          <w:rFonts w:ascii="Arial" w:cs="Arial" w:eastAsia="Arial" w:hAnsi="Arial"/>
          <w:sz w:val="18"/>
          <w:szCs w:val="18"/>
          <w:color w:val="auto"/>
        </w:rPr>
        <w:t>lines of therapy that included an anti-CD20 monoclonal antibody and an alkylating agent. In October 2019, we announced that the FL patients within this cohort met the primary endpoint of ORR as determined by Independent Review Committee (IRC) for all treated follicular lymphoma patients (n=118). The results met our target guidance of 40-50% ORR. Importantly, umbralisib monotherapy appeared to be well tolerated with a safety profile consistent with previous reports. Most recently, in January of 2020, we received guidance from the FDA allowing submission of a single NDA for MZL and FL indications. As noted earlier, we initiated a rolling submission of an NDA to the FDA for umbralisib in MZL/FL and anticipate completion of the rolling submission in the first half of 2020. We plan to present the data at a future medical conference as well as discuss the data with the FDA.</w:t>
      </w:r>
    </w:p>
    <w:p>
      <w:pPr>
        <w:spacing w:after="0" w:line="189" w:lineRule="exact"/>
        <w:rPr>
          <w:rFonts w:ascii="Arial" w:cs="Arial" w:eastAsia="Arial" w:hAnsi="Arial"/>
          <w:sz w:val="18"/>
          <w:szCs w:val="18"/>
          <w:color w:val="auto"/>
        </w:rPr>
      </w:pPr>
    </w:p>
    <w:p>
      <w:pPr>
        <w:jc w:val="both"/>
        <w:ind w:left="1000" w:hanging="327"/>
        <w:spacing w:after="0" w:line="289"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UNITY-NHL Additional Cohorts</w:t>
      </w:r>
      <w:r>
        <w:rPr>
          <w:rFonts w:ascii="Arial" w:cs="Arial" w:eastAsia="Arial" w:hAnsi="Arial"/>
          <w:sz w:val="17"/>
          <w:szCs w:val="17"/>
          <w:color w:val="auto"/>
        </w:rPr>
        <w:t>: There are additional exploratory cohorts of the UNITY-NHL trial focused on Diffuse Large</w:t>
      </w:r>
      <w:r>
        <w:rPr>
          <w:rFonts w:ascii="Arial" w:cs="Arial" w:eastAsia="Arial" w:hAnsi="Arial"/>
          <w:sz w:val="17"/>
          <w:szCs w:val="17"/>
          <w:b w:val="1"/>
          <w:bCs w:val="1"/>
          <w:color w:val="auto"/>
        </w:rPr>
        <w:t xml:space="preserve"> </w:t>
      </w:r>
      <w:r>
        <w:rPr>
          <w:rFonts w:ascii="Arial" w:cs="Arial" w:eastAsia="Arial" w:hAnsi="Arial"/>
          <w:sz w:val="17"/>
          <w:szCs w:val="17"/>
          <w:color w:val="auto"/>
        </w:rPr>
        <w:t>B-Cell Lymphoma (DLBCL) and Mantle Cell Lymphoma (MCL). In total, there are currently four cohorts in the UNITY-NHL trial including, MZL, FL/SLL, DLBCL, and MCL. Each cohort is enrolled and evaluated separately from the others.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UNITY-CLL Phase 3 Trial Evaluating Umbralisib plus Ublituximab (U2): </w:t>
      </w:r>
      <w:r>
        <w:rPr>
          <w:rFonts w:ascii="Arial" w:cs="Arial" w:eastAsia="Arial" w:hAnsi="Arial"/>
          <w:sz w:val="16"/>
          <w:szCs w:val="16"/>
          <w:color w:val="auto"/>
        </w:rPr>
        <w:t>UNITY-CLL is a global Phase 3 randomized controlled</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trial that includes two key objectives: first, to demonstrate contribution of each agent in the ublituximab plus umbralisib regimen (the combination sometimes referred to as "U2"), and second, to demonstrate superiority in PFS over the standard of care to support the submission for full approval of the combination. The study randomized patients into four treatment arms: ublituximab plus umbralisib, ublituximab alone, umbralisib alone, and an active control arm of obinutuzumab plus chlorambucil. The primary endpoint for this study is progression free survival (PFS) which we intend to use to support a submission for approval of the U2 combination in CLL. The UNITY-CLL trial is being led by John Gribben, MD, professor of Medical Oncology, Barts Cancer Institute, United Kingdom. The study completed enrollment in October 2017 with over 600 patients across the four treatment arms, with approximately 420 patients in the U2 arm and the active control arm combined.</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2015, we reached an agreement with the FDA regarding a Special Protocol Assessment (SPA) on the design, endpoints, and statistical analysis approach of the UNITY-CLL Phase 3 trial. The SPA provides agreement that the Phase 3 trial design adequately addresses objectives that, if met, would support the regulatory submission for drug approval of both ublituximab and umbralisib in combination.</w:t>
      </w:r>
    </w:p>
    <w:p>
      <w:pPr>
        <w:spacing w:after="0" w:line="22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May 2017, a pre-specified interim analysis was conducted to assess contribution of each single agent in the ublituximab plus umbralisib combination regimen, which allowed for the early termination of both single agent arms. A second interim analysis was planned to evaluate ORR to support accelerated approval when all patients in the U2 arm and the active control arm had at least 6 months of follow-up. In September 2018, we announced that the independent Data Safety Monitoring Board (“DSMB”) reviewed ongoing data from the trial and advised us that the second interim analysis of ORR could not be conducted at that time as the data were not sufficiently mature to conduct the analysis. Given the uncertainty surrounding the timing and outcome of the ORR analysis, as well as the significant regulatory hurdles associated with accelerated approval in CLL, we are no longer planning to seek accelerated approval for U2 in CLL based on ORR. The Company remains blinded to all efficacy data and the trial continues to be conducted under SPA agreement with the FDA. We await the results for the primary endpoint for the study, PFS, to seek full approval for U2 in patients with CLL, if the study is positive. Importantly, an application based on PFS is expected to support full approval versus accelerated approval, which is a conditional approval. Additionally, in September 2018, the DSMB reviewed safety data from over 600 patients, including over 300 patients treated with umbralisib either alone or in combination with ublituximab, of which approximately 60% were treatment naïve. After review of the data, the DSMB identified no safety concerns and recommended the trial continue without modification.</w:t>
      </w:r>
    </w:p>
    <w:p>
      <w:pPr>
        <w:spacing w:after="0" w:line="22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2019, the UNITY-CLL Data and Safety Monitoring Board (DSMB) conducted a pre-planned futility analysis of PFS. The DSMB determined that the trial was not futile and recommended the UNITY-CLL trial continue as planned. The pre-specified futility analysis of the UNITY-CLL trial did not allow for early stopping due to positive efficacy but only for lack of efficacy. The DSMB also again reviewed safety information from all 600+ CLL patients on the UNITY-CLL trial, including over 300 treatment naive and previously treated patients on umbralisib alone or in combination with ublituximab. Based on its review, no safety concerns were identified and the DSMB recommended the UNITY-CLL trial continue without modification.</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GENUINE Phase 3 Trial Evaluating Ublituximab plus Ibrutinib: </w:t>
      </w:r>
      <w:r>
        <w:rPr>
          <w:rFonts w:ascii="Arial" w:cs="Arial" w:eastAsia="Arial" w:hAnsi="Arial"/>
          <w:sz w:val="17"/>
          <w:szCs w:val="17"/>
          <w:color w:val="auto"/>
        </w:rPr>
        <w:t>GENUINE is a randomized controlled clinical trial evaluating</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with previously treated CLL with specific high-risk cytogenetic abnormalities. Patients in this trial were randomized to receive either ublituximab plus ibrutinib or ibrutinib alone. Due to enrollment challenges associated with this study, in October 2016, we announced revisions to the design of the GENUINE study to accelerate its completion. Initially the study was being conducted pursuant to an SPA with the FDA, and was designed to enroll approximately 330 patients, with a two-part analysis of both ORR and PFS. The trial as amended in October 2016, and PFS was removed as a co-primary endpoint leaving ORR as the sole primary endpoint. The target number of patients was also reduced to 120 patients. The SPA was terminated at the time the changes were implemented.</w:t>
      </w:r>
    </w:p>
    <w:p>
      <w:pPr>
        <w:spacing w:after="0" w:line="2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March 2017, we reported positive top-line data from the GENUINE study. The study met its primary endpoint demonstrating a statistically significant improvement in ORR, as determined by an Independent Review Committee (IRC) using the iwCLL (Hallek 2008) criteria, compared to ibrutinib alone in both the Intent to Treat (ITT) population (p=0.001) and Treated population (p &lt; 0.001).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June 2017, the results were presented by Dr. Jeff P. Sharman, Medical Director, Hematology Research, US Oncology in an oral session during the 53rd American Society of Clinical Oncology ("ASCO") Annual Meeting in Chicago, IL. We had hoped to use the ORR results from the GENUINE trial to file for accelerated approval for the combination of ublituximab plus ibrutinib. In October of 2017, we announced the results of a meeting with the FDA related to the potential accelerated approval application. The FDA had expressed concern that an intervening approval for the treatment of relapsed or refractory CLL could, as available therapy, have the effect of blocking our accelerated approval application. In June 2018, venetoclax received full approval for the treatment of relapsed or refractory CLL, the same indication for which we planned to file for accelerated approval. While we do believe under the FDA guidance related to accelerated approval that there are benefits of ublituximab plus ibrutinib over presently available therapies that could support approval, we have decided at this time to not pursue the filing of the results from the GENUINE trial to support accelerated approval.</w:t>
      </w:r>
    </w:p>
    <w:p>
      <w:pPr>
        <w:spacing w:after="0" w:line="20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October 2019, we announced that final long-term results from the Phase 3 GENUINE study demonstrated that ublituximab in combination with ibrutinib improved progression-free survival (PFS), as determined by Independent Review Committee (IRC). Additionally, the combination of ublituximab and ibrutinib was well tolerated with no new safety signals identified at a median follow-up of &gt;4 years. We plan to present these final data at a future medical conference, as well as share the results with the U.S. Food and Drug Administration (FDA).</w:t>
      </w:r>
    </w:p>
    <w:p>
      <w:pPr>
        <w:spacing w:after="0" w:line="19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ULTIMATE I &amp; II Trials Evaluating Single Agent Ublituximab in RMS: </w:t>
      </w:r>
      <w:r>
        <w:rPr>
          <w:rFonts w:ascii="Arial" w:cs="Arial" w:eastAsia="Arial" w:hAnsi="Arial"/>
          <w:sz w:val="16"/>
          <w:szCs w:val="16"/>
          <w:color w:val="auto"/>
        </w:rPr>
        <w:t>ULTIMATE I and ULTIMATE II are two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Phase 3 trials. Each trial is a global, randomized, multi-center, double-blinded, double-dummy, active-controlled study comparing ublituximab to teriflunomide in subjects with relapsing forms of Multiple Sclerosis (RMS). The primary endpoint for each study is Annualized Relapse Rate (ARR) following 96 weeks of treatment which we intend to use to support a submission for approval of ublituximab in RMS. Each trial was designed to enroll approximately 440 subjects, randomized in a 1:1 ratio. This trial is being led by Lawrence Steinman, MD, George A. Zimmermann Professor and Professor of Pediatrics, Neurology and Neurological Sciences at Stanford University.</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2017, we reached an agreement with the FDA regarding an SPA on the design of two Phase 3 clinical trials for ublituximab, referred to as the ULTIMATE I and ULTIMATE II trials, for the treatment of relapsing forms of Multiple Sclerosis (RMS). The SPA provides agreement that the two Phase 3 trial designs adequately address objectives that, if met, would support the regulatory submission for approval of ublituximab in RMS.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August 2018, we announced that target enrollment into the ULTIMATE I and II trials had been achieved, and that enrollment would continue into September 2018 to allow identified patients to participate in the study. At completion of full enrollment in October of 2018, approximately 1,100 subjects were enrolled in both studies combined.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October 2019, at the 35th Congress of ECTRIMS, we presented the ULTIMATE I &amp; II Phase 3 program trial design and demographic data. The presentation concluded that patient baseline characteristics were consistent with a typical RMS population, and topline results from the ULTIMATE I &amp; II trials are expected in the second half of 2020.</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ULTRA-V Phase 2b Trial Evaluating U2 plus Venetoclax in CLL: </w:t>
      </w:r>
      <w:r>
        <w:rPr>
          <w:rFonts w:ascii="Arial" w:cs="Arial" w:eastAsia="Arial" w:hAnsi="Arial"/>
          <w:sz w:val="17"/>
          <w:szCs w:val="17"/>
          <w:color w:val="auto"/>
        </w:rPr>
        <w:t>ULTRA-V is a Phase 2b open-label, multicenter, registration-directed clinical trial designed to investigate the efficacy and safety of ublituximab and umbralisib (U2) combined with venetoclax in subjects with Chronic Lymphocytic Leukemia. The primary endpoint for this study is ORR and CR rate. This trial is currently enrolling.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Pipeline Overview and Clinical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Cosibelimab (anti-PD-L1 monoclonal antibody) Overview</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Cosibelimab (also referred to as TG-1501) is a fully human monoclonal antibody of IgG1 subtype that binds to Programmed Death-Ligand 1 (PD-L1) and blocks its interactions with PD-1 and B7.1 receptors. Cancer cells elude anti-tumor immunity through multiple mechanisms, including upregulated expression of ligands for inhibitory immune checkpoint receptors. Signals from PD-L1 on tumor cells and in the tumor microenvironment help those tumors avoid immune attack and elimination by preventing activation of tumor specific effector T-cells. Anti-PD-L1 antibodies are designed to block that signal, permitting effector T-cells to attack the cancer. Clinical studies have shown that blockade of the PD-1/PD-L1 pathway by monoclonal antibodies can enhance the immune response and result in anti-tumor activity.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Preclinically, it has been shown that the effects of anti-PD-L1 intervention can be enhanced by utilizing other mechanisms targeting the tumor microenvironment. Combining immunotherapies like anti-PD-L1, which counters the tumor's immune-evading defense system with other anti-cancer agents such as ublituximab or umbralisib, may better engage the body's own immune system to help fight cancer.</w:t>
      </w:r>
    </w:p>
    <w:p>
      <w:pPr>
        <w:spacing w:after="0" w:line="7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 comprehensive array of in vitro biochemical and cellular assays was established to characterize the binding and the functional activities of cosibelimab. The in vitro data demonstrated that the affinity, PD-L1 binding capability, relative ability to inhibit PD-1/PDL-1 interactions, and functional activity of cosibelimab in cellular assays are comparable to those of atezolizumab, durvalumab and avelumab - the currently approved products sharing the same mechanism of action.</w:t>
      </w:r>
    </w:p>
    <w:p>
      <w:pPr>
        <w:spacing w:after="0" w:line="11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Cosibelimab is currently being evaluated in an ongoing study (Study CK-301-101: NCT03212404), enrolling patients with select solid tumors, being conducted by our licensor. In the dose escalation portion of this trial, doses ranging from 200mg to 800mg were tested with no dose-limiting toxicities observed and no maximum tolerated dose (MTD) was achieved; therefore, a fixed dose of 800 mg was the selected starting dose of cosibelimab for patients with hematologic malignancies.</w:t>
      </w:r>
    </w:p>
    <w:p>
      <w:pPr>
        <w:spacing w:after="0" w:line="1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December 2018, the FDA approved an IND for cosibelimab and a Phase 1 study in subjects with select subtypes of lymphoma commenced in 2019, as did a study of cosibelimab in combination with ublituximab and/or umbralisib. Based on our rapidly evolving understanding of the pathobiology of lymphoma subtypes, we envision further combinations with other immunotherapies in the future.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TG-1701 (BTK inhibitor) Overview</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TG-1701 is a novel, orally available and covalently-bound Bruton’s tyrosine kinase (BTK) inhibitor that exhibits superior selectivity to BTK compared to ibrutinib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kinase screening.</w:t>
      </w:r>
    </w:p>
    <w:p>
      <w:pPr>
        <w:spacing w:after="0" w:line="17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B-cell receptor (BCR) signaling is crucial for normal B-cell development and supports the survival and growth of malignant B-cells in patients with B-cell leukemias or lymphomas. Targeting BTK, an essential element of BCR signaling pathway which regulates the survival, activation, proliferation, and differentiation of B lymphocytes, has shown remarkable efficacy with an acceptable safety profile in B-cell malignancies.</w:t>
      </w:r>
    </w:p>
    <w:p>
      <w:pPr>
        <w:spacing w:after="0" w:line="187"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 xml:space="preserve">In June 2018, pre-clinical data for TG-1701 demonstrating favorable pharmacologic properties was presented at the 23rd Congress of the European Hematology Association (EHA) in Stockholm, Sweden.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pharmacology studies have revealed that TG-1701 inhibited BTK with greater than 10-fold selectivity as measured by IC50 on the kinase activities of EGFR, ITK, TXK, JAK3, HER2 and HER4.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pharmacology studies showed that TG-1701 significantly inhibited the growth of xenograft lymphoid tumors including OCI-LY-10 and DOHH-2 in nude mice.</w:t>
      </w:r>
    </w:p>
    <w:p>
      <w:pPr>
        <w:spacing w:after="0" w:line="121"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We are currently evaluating TG-1701 in a Phase 1, multi-center, dose-escalation clinical trial in patients with B-cell malignancies. This trial is designed to evaluate the safety and tolerability of TG-1701 alone and in combination with ublituximab and umbralisib (U2) in adults with B-cell malignancies and determine the recommended Phase 2 dose. Key secondary objectives include evaluation of pharmacokinetics (PK), pharmacodynamics, and preliminary anticancer activity. Preliminary data from this Phase 1 study was presented at ASH 2019.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 bispecific monoclonal antibody) Overview</w:t>
      </w:r>
    </w:p>
    <w:p>
      <w:pPr>
        <w:spacing w:after="0" w:line="229"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TG-1801 is a first-in-class, bispecific CD47 and CD19 antibody. It is the first therapy to target both CD19, a B-cell specific market widely expressed across B-cell malignancies, and CD47, the "don’t eat me" signal used by both healthy and tumor cells to evade macrophage mediated phagocytosis. CD47 is expressed ubiquitously on normal cells, including red blood cells and platelets. CD19 is a specific B-cell marker, expressed early during pre-B cell ontogeny and until terminal differentiation into early plasma cells. The majority of B-cell lineage malignancies (more than 90%) express CD19, including NHL, CLL and acute lymphoblastic leukemia (ALL). Tumor B-cells that have lost the expression of CD20 after anti-CD20 mAb therapy, have been found to maintain the expression of CD19, making CD19 an attractive target in the treatment of B cell malignancies. By co-targeting both CD47 and CD19, TG-1801 has the potential to overcome the limitations of existing CD47 targeted therapies by avoiding the side effects caused by indiscriminate blockade of CD47 on healthy cells. In addition to potentially enhancing tolerability, the co-targeting of CD19 by TG-1801 may provide a secondary mechanism of direct anti-tumor activity through the engagement of effector cells and induction of antibody dependent cellular cytotoxicity (ADCC).</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TG-1801 binds to human CD19 with significantly higher affinity than towards CD47. This difference between its affinity to CD19 and CD47 allows TG-1801 to bind and selectively block CD47 on CD19</w:t>
      </w:r>
      <w:r>
        <w:rPr>
          <w:rFonts w:ascii="Arial" w:cs="Arial" w:eastAsia="Arial" w:hAnsi="Arial"/>
          <w:sz w:val="12"/>
          <w:szCs w:val="12"/>
          <w:color w:val="auto"/>
        </w:rPr>
        <w:t>+</w:t>
      </w:r>
      <w:r>
        <w:rPr>
          <w:rFonts w:ascii="Arial" w:cs="Arial" w:eastAsia="Arial" w:hAnsi="Arial"/>
          <w:sz w:val="18"/>
          <w:szCs w:val="18"/>
          <w:color w:val="auto"/>
        </w:rPr>
        <w:t xml:space="preserve"> B-cells but not on CD19</w:t>
      </w:r>
      <w:r>
        <w:rPr>
          <w:rFonts w:ascii="Arial" w:cs="Arial" w:eastAsia="Arial" w:hAnsi="Arial"/>
          <w:sz w:val="12"/>
          <w:szCs w:val="12"/>
          <w:color w:val="auto"/>
        </w:rPr>
        <w:t>-</w:t>
      </w:r>
      <w:r>
        <w:rPr>
          <w:rFonts w:ascii="Arial" w:cs="Arial" w:eastAsia="Arial" w:hAnsi="Arial"/>
          <w:sz w:val="18"/>
          <w:szCs w:val="18"/>
          <w:color w:val="auto"/>
        </w:rPr>
        <w:t xml:space="preserve"> red blood cells or platelets in human peripheral blood.</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TG-1801 induces antibody-dependent cellular phagocytosis (ADCP) and antibody-dependent cellular cytotoxicity (ADCC) of malignant tumor B-cell lines and primary tumor B-cells from patients with B-cell acute lymphoblastic leukemia (B-ALL), B-cell chronic lymphocytic leukemia (B-CLL) and numerous subtypes of NHL.</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mouse tumor models, treatment with TG-1801 inhibited tumor growth in Raji cell subcutaneous xenograft model, NALM-6 cell disseminated tumor model, and patient-derived xenograft models, including primary tumor cells from patients with diffuse large B-cell lymphoma (DLBCL) and B-ALL. In addition, the combination of rituximab and TG-1801 demonstrated enhanced activity over TG-1801 monotherapy.</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In summary, TG-1801 demonstrates anti-tumor activity in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(ADCP and ADCC)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tumor models.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first quarter of 2019, we commenced a Phase 1 first-in-human, dose-escalation study of TG-1801. This study is evaluating escalating doses of TG-1801 in patients with B-Cell lymphoma. The primary objective of the study is to determine the recommended Phase 2 dose and to characterize the safety profile of TG-1801. Key secondary objectives are to evaluate the pharmacokinetics of TG-1801 and its preliminary anticancer activity. Enrollment is ongoing in this Phase 1 study.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our clinical programs, we currently have licensed preclinical programs for BET (TG-1601), IRAK4, and GITR.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TIME TO COMPLETE PRODUCT DEVELOPMENT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below provides estimates regarding the costs associated with the completion of the current development phase and our current estimated range of the time that will be necessary to complete that development phase for our key pipeline products. We also direct your attention to the risk factors which could significantly affect our ability to meet these cost and time estimates found in this report in Item 1A under the heading “Risks Related to the Company’s Business and Industry.”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rPr>
              <w:t>Estimated</w:t>
            </w:r>
          </w:p>
        </w:tc>
        <w:tc>
          <w:tcPr>
            <w:tcW w:w="2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Development</w:t>
            </w: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rPr>
              <w:t>Completion</w:t>
            </w:r>
          </w:p>
        </w:tc>
        <w:tc>
          <w:tcPr>
            <w:tcW w:w="2580" w:type="dxa"/>
            <w:vAlign w:val="bottom"/>
          </w:tcPr>
          <w:p>
            <w:pPr>
              <w:spacing w:after="0"/>
              <w:rPr>
                <w:sz w:val="20"/>
                <w:szCs w:val="20"/>
                <w:color w:val="auto"/>
              </w:rPr>
            </w:pPr>
            <w:r>
              <w:rPr>
                <w:rFonts w:ascii="Arial" w:cs="Arial" w:eastAsia="Arial" w:hAnsi="Arial"/>
                <w:sz w:val="18"/>
                <w:szCs w:val="18"/>
                <w:b w:val="1"/>
                <w:bCs w:val="1"/>
                <w:color w:val="auto"/>
              </w:rPr>
              <w:t>Estimated  Cost  to  Complete</w:t>
            </w:r>
          </w:p>
        </w:tc>
      </w:tr>
      <w:tr>
        <w:trPr>
          <w:trHeight w:val="234"/>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w:t>
            </w:r>
          </w:p>
        </w:tc>
        <w:tc>
          <w:tcPr>
            <w:tcW w:w="2680" w:type="dxa"/>
            <w:vAlign w:val="bottom"/>
            <w:gridSpan w:val="2"/>
          </w:tcPr>
          <w:p>
            <w:pPr>
              <w:ind w:left="80"/>
              <w:spacing w:after="0"/>
              <w:rPr>
                <w:sz w:val="20"/>
                <w:szCs w:val="20"/>
                <w:color w:val="auto"/>
              </w:rPr>
            </w:pPr>
            <w:r>
              <w:rPr>
                <w:rFonts w:ascii="Arial" w:cs="Arial" w:eastAsia="Arial" w:hAnsi="Arial"/>
                <w:sz w:val="18"/>
                <w:szCs w:val="18"/>
                <w:b w:val="1"/>
                <w:bCs w:val="1"/>
                <w:color w:val="auto"/>
              </w:rPr>
              <w:t>Target Indication</w:t>
            </w: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Status</w:t>
            </w: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rPr>
              <w:t>of Phase</w:t>
            </w:r>
          </w:p>
        </w:tc>
        <w:tc>
          <w:tcPr>
            <w:tcW w:w="2580" w:type="dxa"/>
            <w:vAlign w:val="bottom"/>
          </w:tcPr>
          <w:p>
            <w:pPr>
              <w:spacing w:after="0"/>
              <w:rPr>
                <w:sz w:val="20"/>
                <w:szCs w:val="20"/>
                <w:color w:val="auto"/>
              </w:rPr>
            </w:pPr>
            <w:r>
              <w:rPr>
                <w:rFonts w:ascii="Arial" w:cs="Arial" w:eastAsia="Arial" w:hAnsi="Arial"/>
                <w:sz w:val="18"/>
                <w:szCs w:val="18"/>
                <w:b w:val="1"/>
                <w:bCs w:val="1"/>
                <w:color w:val="auto"/>
              </w:rPr>
              <w:t>Phase</w:t>
            </w:r>
          </w:p>
        </w:tc>
      </w:tr>
      <w:tr>
        <w:trPr>
          <w:trHeight w:val="195"/>
        </w:trPr>
        <w:tc>
          <w:tcPr>
            <w:tcW w:w="20" w:type="dxa"/>
            <w:vAlign w:val="bottom"/>
          </w:tcPr>
          <w:p>
            <w:pPr>
              <w:spacing w:after="0"/>
              <w:rPr>
                <w:sz w:val="16"/>
                <w:szCs w:val="16"/>
                <w:color w:val="auto"/>
              </w:rPr>
            </w:pPr>
          </w:p>
        </w:tc>
        <w:tc>
          <w:tcPr>
            <w:tcW w:w="2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Ublituximab &amp; Umbralisib</w:t>
            </w:r>
          </w:p>
        </w:tc>
        <w:tc>
          <w:tcPr>
            <w:tcW w:w="80" w:type="dxa"/>
            <w:vAlign w:val="bottom"/>
          </w:tcPr>
          <w:p>
            <w:pPr>
              <w:spacing w:after="0"/>
              <w:rPr>
                <w:sz w:val="16"/>
                <w:szCs w:val="16"/>
                <w:color w:val="auto"/>
              </w:rPr>
            </w:pPr>
          </w:p>
        </w:tc>
        <w:tc>
          <w:tcPr>
            <w:tcW w:w="2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CLL patients</w:t>
            </w:r>
          </w:p>
        </w:tc>
        <w:tc>
          <w:tcPr>
            <w:tcW w:w="8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Phase III</w:t>
            </w:r>
          </w:p>
        </w:tc>
        <w:tc>
          <w:tcPr>
            <w:tcW w:w="80" w:type="dxa"/>
            <w:vAlign w:val="bottom"/>
          </w:tcPr>
          <w:p>
            <w:pPr>
              <w:spacing w:after="0"/>
              <w:rPr>
                <w:sz w:val="16"/>
                <w:szCs w:val="16"/>
                <w:color w:val="auto"/>
              </w:rPr>
            </w:pPr>
          </w:p>
        </w:tc>
        <w:tc>
          <w:tcPr>
            <w:tcW w:w="1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2020</w:t>
            </w:r>
          </w:p>
        </w:tc>
        <w:tc>
          <w:tcPr>
            <w:tcW w:w="80" w:type="dxa"/>
            <w:vAlign w:val="bottom"/>
          </w:tcPr>
          <w:p>
            <w:pPr>
              <w:spacing w:after="0"/>
              <w:rPr>
                <w:sz w:val="16"/>
                <w:szCs w:val="16"/>
                <w:color w:val="auto"/>
              </w:rPr>
            </w:pPr>
          </w:p>
        </w:tc>
        <w:tc>
          <w:tcPr>
            <w:tcW w:w="2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Approximately $2 million</w:t>
            </w: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80" w:type="dxa"/>
            <w:vAlign w:val="bottom"/>
            <w:gridSpan w:val="2"/>
          </w:tcPr>
          <w:p>
            <w:pPr>
              <w:ind w:left="80"/>
              <w:spacing w:after="0"/>
              <w:rPr>
                <w:sz w:val="20"/>
                <w:szCs w:val="20"/>
                <w:color w:val="auto"/>
              </w:rPr>
            </w:pPr>
            <w:r>
              <w:rPr>
                <w:rFonts w:ascii="Arial" w:cs="Arial" w:eastAsia="Arial" w:hAnsi="Arial"/>
                <w:sz w:val="18"/>
                <w:szCs w:val="18"/>
                <w:color w:val="auto"/>
              </w:rPr>
              <w:t>In  Relapsing  forms  of  Multiple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Ublituximab</w:t>
            </w:r>
          </w:p>
        </w:tc>
        <w:tc>
          <w:tcPr>
            <w:tcW w:w="2680" w:type="dxa"/>
            <w:vAlign w:val="bottom"/>
            <w:gridSpan w:val="2"/>
          </w:tcPr>
          <w:p>
            <w:pPr>
              <w:ind w:left="80"/>
              <w:spacing w:after="0"/>
              <w:rPr>
                <w:sz w:val="20"/>
                <w:szCs w:val="20"/>
                <w:color w:val="auto"/>
              </w:rPr>
            </w:pPr>
            <w:r>
              <w:rPr>
                <w:rFonts w:ascii="Arial" w:cs="Arial" w:eastAsia="Arial" w:hAnsi="Arial"/>
                <w:sz w:val="18"/>
                <w:szCs w:val="18"/>
                <w:color w:val="auto"/>
              </w:rPr>
              <w:t>Sclerosis (RMS)</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Phase III</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Approximately $15 million</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Umbralisib + Ublituximab</w:t>
            </w:r>
          </w:p>
        </w:tc>
        <w:tc>
          <w:tcPr>
            <w:tcW w:w="2680" w:type="dxa"/>
            <w:vAlign w:val="bottom"/>
            <w:gridSpan w:val="2"/>
          </w:tcPr>
          <w:p>
            <w:pPr>
              <w:ind w:left="80"/>
              <w:spacing w:after="0"/>
              <w:rPr>
                <w:sz w:val="20"/>
                <w:szCs w:val="20"/>
                <w:color w:val="auto"/>
              </w:rPr>
            </w:pPr>
            <w:r>
              <w:rPr>
                <w:rFonts w:ascii="Arial" w:cs="Arial" w:eastAsia="Arial" w:hAnsi="Arial"/>
                <w:sz w:val="18"/>
                <w:szCs w:val="18"/>
                <w:color w:val="auto"/>
                <w:w w:val="96"/>
              </w:rPr>
              <w:t>Relapsed/refractory NHL patients</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Phase IIb</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Approximately $3 million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*Completion of phase for this study indicates completion of portion of study, which, if successful, would support an accelerated approval.</w:t>
      </w:r>
    </w:p>
    <w:p>
      <w:pPr>
        <w:spacing w:after="0" w:line="23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Completion dates and costs in the above table are estimates due to the uncertainties associated with clinical trials and the related requirements of development. In the cases where the requirements for clinical trials and development programs have not been fully defined, or are dependent on the success of other trials, we cannot estimate trial completion or cost with any certainty. The actual spending on each trial during the year is also dependent on funding. We therefore direct your attention to Item 7 under the heading “Liquidity and 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product candidates, proprietary information and proprietary technology through a combination of contractual arrangements and patents, both in the U.S. and elsewhere in the world.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also depend upon the skills, knowledge and experience of our scientific and technical personnel, as well as that of our advisors, consultants and other contractors. This knowledge, trade secrets, proprietary information and experience we call “know-how.” To help protect our proprietary know-how which is not patentable, and for inventions for which patents may be difficult to enforce, we rely on trade secret protection and confidentiality agreements to protect our interests. To this end, we seek to protect our proprietary technology and processes, in part, by entering into confidentiality agreements with our collaborators, scientific advisors, employees and consultants, and invention assignment agreements with our employees and consultants. There can be no assurance, however, that we can prevent unauthorized disclosure or use of our trade secrets, know-how and proprietary information despite the existence of confidentiality agreements.</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Patents and other proprietary rights are crucial to the development of our business. We will be able to protect our proprietary technologies from unauthorized use by third parties only to the extent that our proprietary rights are covered by valid and enforceable patents, supported by regulatory exclusivity or are effectively maintained as trade secrets. We have a number of patents and patent applications related to our compounds and other technology, but we cannot guarantee the scope of protection of the issued patents, or that such patents will survive a validity or enforceability challenge, or that any of the pending patent applications will issue as patents.</w:t>
      </w:r>
    </w:p>
    <w:p>
      <w:pPr>
        <w:spacing w:after="0" w:line="17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Generally, patent applications in the U.S. are maintained in secrecy for a period of 18 months or more. Since publication of discoveries in the scientific or patent literature often lags behind actual discoveries, we are not certain that we were the first to make the inventions covered by each of our pending patent applications or that we were the first to file those patent applications. The patent positions of biotechnology and pharmaceutical companies are highly uncertain and involve complex legal and factual questions. Therefore, we cannot predict the breadth of claims allowed in biotechnology and pharmaceutical patents, or their enforceability. To date, there has been no consistent policy regarding the breadth of claims allowed in biotechnology patents. Third parties or competitors may challenge or circumvent our patents or patent applications, if issued. If our competitors prepare and file patent applications in the U.S. that claim technology also claimed by us, we may have to participate in interference proceedings declared by the U.S. Patent and Trademark Office to determine priority of invention, which could result in substantial cost, even if the eventual outcome is favorable to us. Because of the extensive time required for development, testing and regulatory review of a potential product, it is possible that before we commercialize any of our products, any related patent may expire or remain in existence for only a short period following commercialization, thus reducing any advantage of the patent. However, the life of a patent covering a product that has been subject to regulatory approval may have the ability to be extended through the patent restoration program, although any such extension could still be minimal. If a patent is issued to a third party containing one or more preclusive or conflicting claims, and those claims are ultimately determined to be valid and enforceable, we may be required to obtain a license under such patent or to develop or obtain alternative technology. In the event of litigation involving a third party claim, an adverse outcome in the litigation could subject us to significant liabilities to such third party, require us to seek a license for the disputed rights from such third-party, and/or require us to cease use of the technology. Further, our breach of an existing license or failure to obtain a license to technology required to commercialize our products may seriously harm our business. We also may need to commence litigation to enforce any patents issued to us or to determine the scope and validity of third-party proprietary rights. Litigation would involve substantial costs.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or those companies from which we have licensed our drug candidates, file patent applications directed to our drug candidates in an effort to establish intellectual property positions regarding these new chemical entities as well as uses of these new chemical entities in the treatment of diseases. We also file patent applications directed to novel combinations of our drugs together and with drugs developed by others. The intellectual property portfolios for our most advanced drug candidates as of February 2020 are summarized below. Each of these portfolios contains pending patent applications covering our drug candidates and uses and combinations of the drug candidates, prosecution has just begun or is in progress. Prosecution is a lengthy process, during which the scope of the claims initially submitted for examination by the USPTO is often significantly narrowed by the time they issue, if they issue at all. We expect this to be the case with respect to our pending patent applications referred to below.</w:t>
      </w:r>
    </w:p>
    <w:p>
      <w:pPr>
        <w:spacing w:after="0" w:line="1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because the date for any potential regulatory approval is currently unknown we cannot predict the expected expiration date, and it is possible that the life of these patents following regulatory approval could be minimal.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Ublituximab</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our license for ublituximab with LFB Biotechnologies, GTC Biotherapeutics, and LFB/GTC LLC, we have the exclusive commercial rights to a series of patents and patent applications in the U.S. and in multiple countries around the world, as well as a non-exclusive license to additional background patent rights. These patents and patent protections include composition of matter patents relating to the structure and mechanism of action for ublituximab as well as method of use patents which cover use of ublituximab in combination with various agents and for various therapeutic indications.</w:t>
      </w:r>
    </w:p>
    <w:p>
      <w:pPr>
        <w:sectPr>
          <w:pgSz w:w="11900" w:h="16838" w:orient="portrait"/>
          <w:cols w:equalWidth="0" w:num="1">
            <w:col w:w="10380"/>
          </w:cols>
          <w:pgMar w:left="760" w:top="517"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372745</wp:posOffset>
            </wp:positionV>
            <wp:extent cx="65951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composition of matter patent for ublituximab has been issued in the U.S. and Europe, which affords patent protection until 2029 in the U.S. and 2025 in Europe, exclusive of patent term extensions. We also have a method of use patent on the combination of umbralisib and ublituximab which has been issued in the U.S., Europe, and Japan, and is pending in other territories globally. Additionally, we have numerous granted patents and pending patent applications outside the U.S. which include claims directed to the composition of matter and methods of treatment with ublituximab in various settings.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Umbralisib</w:t>
      </w:r>
    </w:p>
    <w:p>
      <w:pPr>
        <w:spacing w:after="0" w:line="229" w:lineRule="exact"/>
        <w:rPr>
          <w:sz w:val="20"/>
          <w:szCs w:val="20"/>
          <w:color w:val="auto"/>
        </w:rPr>
      </w:pPr>
    </w:p>
    <w:p>
      <w:pPr>
        <w:jc w:val="both"/>
        <w:ind w:right="20" w:firstLine="648"/>
        <w:spacing w:after="0" w:line="290" w:lineRule="auto"/>
        <w:rPr>
          <w:sz w:val="20"/>
          <w:szCs w:val="20"/>
          <w:color w:val="auto"/>
        </w:rPr>
      </w:pPr>
      <w:r>
        <w:rPr>
          <w:rFonts w:ascii="Arial" w:cs="Arial" w:eastAsia="Arial" w:hAnsi="Arial"/>
          <w:sz w:val="16"/>
          <w:szCs w:val="16"/>
          <w:color w:val="auto"/>
        </w:rPr>
        <w:t>Pursuant to our license for umbralisib with Rhizen, we have the exclusive commercial rights to a series of patent applications in the U.S. and multiple countries around the world. The patent applications include composition of matter patents relating to the structure, mechanism of action, and formulation for umbralisib as well as method of use patents which cover use of umbralisib in combination with various agents and for various therapeutic indications. The composition of matter patent for umbralisib has been issued in the U.S. and Europe, which affords patent protection until 2033, exclusive of patent term extensions. We also have a method of use patent on the combination of umbralisib and ublituximab which has been issued in the U.S., EU, and Japan, and is pending in other territories globally. All other patent applications currently filed for umbralisib are currently pending. Because the dates for any potential regulatory approval are currently unknown we cannot predict the expected expiration date, and it is possible that the life of these patents following regulatory approval could be minimal.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Cosibelimab (anti-PDL1 monoclonal antibody)</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Pursuant to our Global Collaboration with Checkpoint Therapeutics, we have the exclusive commercial rights in the treatment of hematological cancers and autoimmune diseases to a series of patent applications pending in the United States, Australia, Canada, Europe, Israel and Korea. Any patents maturing from these pending applications will expire no sooner than October 2033.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TG-1701 (BTK inhibitor)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our license agreement with Jiangsu Hengrui, we have the exclusive commercial rights in the treatment of hematologic cancers to a patent family which covers the composition of matter and proposed methods of use for various therapeutic indications in the U.S. and certain other countries. All patent applications currently filed for the BTK program are currently pending. Any patents maturing from these pending applications will expire no sooner than October 2034.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 bispecific antibody)</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Pursuant to our joint venture and license option agreement with Novimmune, we maintain an exclusive option, exercisable at specific times during development, to license the commercial rights to a series of global patent applications, and the non-exclusive right to certain technology patent applications. Any patents maturing from these pending applications will expire no sooner than December 2032.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Patent Rights and Trade Secrets</w:t>
      </w:r>
    </w:p>
    <w:p>
      <w:pPr>
        <w:spacing w:after="0" w:line="22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 xml:space="preserve">The patent rights that we own or have licensed relating to our product candidates are limited in ways that may affect our ability to exclude third parties from competing against us if we obtain regulatory approval to market these product candidates. See </w:t>
      </w:r>
      <w:r>
        <w:rPr>
          <w:rFonts w:ascii="Arial" w:cs="Arial" w:eastAsia="Arial" w:hAnsi="Arial"/>
          <w:sz w:val="17"/>
          <w:szCs w:val="17"/>
          <w:i w:val="1"/>
          <w:iCs w:val="1"/>
          <w:color w:val="auto"/>
        </w:rPr>
        <w:t>“Item 1A – 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 -- Risks Related to the Company’s Intellectual Property.</w:t>
      </w:r>
      <w:r>
        <w:rPr>
          <w:rFonts w:ascii="Arial" w:cs="Arial" w:eastAsia="Arial" w:hAnsi="Arial"/>
          <w:sz w:val="17"/>
          <w:szCs w:val="17"/>
          <w:color w:val="auto"/>
        </w:rPr>
        <w:t>” In addition, the limited patent protection may adversely affect the value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candidates and may inhibit our ability to obtain a corporate partner at terms acceptable to us, if at all.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Proof of direct infringement by a competitor for method of use patents can prove difficult because the competitors making and marketing a product typically do not engage in the patented use. Additionally, proof that a competitor contributes to or induces infringement of a patented method of use by another can also prove difficult because an off-label use of a product could prohibit a finding of contributory infringement, and inducement of infringement requires proof of intent by the competitor.</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Moreover, physicians may prescribe such a competitive identical product for indications other than the one for which the product has been approved, or off-label indications, that are covered by the applicable patents. Although such off-label prescriptions may directly infringe or contribute to or induce infringement of method of use patents, such infringement is difficult to prevent or prosecute.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189"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7"/>
          <w:szCs w:val="17"/>
          <w:color w:val="auto"/>
        </w:rPr>
        <w:t>In addition to patent protection, we may utilize orphan drug regulations or other provisions of the Food, Drug and Cosmetic Act of 1938, as amended, or FDCA, to provide market exclusivity for certain of our drug candidates. Orphan drug regulations provide incentives to pharmaceutical and biotechnology companies to develop and manufacture drugs for the treatment of rare diseases, currently defined as diseases that exist in fewer than 200,000 individuals in the U.S., or, diseases that affect more than 200,000 individuals in the U.S. but that the sponsor does not realistically anticipate will generate a net profit. Under these provisions, a manufacturer of a designated orphan-drug can seek tax benefits, and the holder of the first FDA approval of a designated orphan product will be granted a seven-year period of marketing exclusivity for such FDA-approved orphan product.</w:t>
      </w:r>
    </w:p>
    <w:p>
      <w:pPr>
        <w:spacing w:after="0" w:line="150"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Pursuant to these regulations, ublituximab received Orphan Drug Designation from the FDA for the treatment of MZL (Nodal and Extranodal) in September 2013, for the treatment of CLL in August of 2010, and Orphan Drug Designation by the European Medicines Agency (“EMA”) for the treatment of CLL in November of 2009.</w:t>
      </w:r>
    </w:p>
    <w:p>
      <w:pPr>
        <w:spacing w:after="0" w:line="14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We also obtained Orphan Drug Designation for umbralisib as monotherapy for the treatment of CLL in August 2016, and for the treatment of nodal, extranodal, and splenic MZL in April 2019. In addition, in January 2017, we announced that the FDA granted Orphan Drug Designation covering the combination of ublituximab and umbralisib for the treatment of patients with CLL and DLBCL. We believe that ublituximab and umbralisib, as well as our other pipeline products may be eligible for additional Orphan Drug Designations; however, we cannot assure you that ublituximab, umbralisib, or any other drug candidates we may acquire or in-license, will obtain such Orphan Drug Designations or that we will be the first to receive FDA approval for any drug candidates that do obtain Orphan Drug Designation so as to be eligible for market exclusivity protection.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Patent Term Restoration and Marketing Exclusivity</w:t>
      </w:r>
    </w:p>
    <w:p>
      <w:pPr>
        <w:spacing w:after="0" w:line="216" w:lineRule="exact"/>
        <w:rPr>
          <w:sz w:val="20"/>
          <w:szCs w:val="20"/>
          <w:color w:val="auto"/>
        </w:rPr>
      </w:pPr>
    </w:p>
    <w:p>
      <w:pPr>
        <w:jc w:val="both"/>
        <w:ind w:right="20" w:firstLine="648"/>
        <w:spacing w:after="0" w:line="236" w:lineRule="auto"/>
        <w:rPr>
          <w:sz w:val="20"/>
          <w:szCs w:val="20"/>
          <w:color w:val="auto"/>
        </w:rPr>
      </w:pPr>
      <w:r>
        <w:rPr>
          <w:rFonts w:ascii="Arial" w:cs="Arial" w:eastAsia="Arial" w:hAnsi="Arial"/>
          <w:sz w:val="17"/>
          <w:szCs w:val="17"/>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BLA plus the time between the submission date of an NDA or BLA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 or the BLA.</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Also under the Hatch-Waxman Amendments, drugs that are new chemical entities (NCEs) are eligible for a five-year period of non-patent marketing exclusivity in the United States.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Hatch-Waxman Amendments also provide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During this period, FDA will not approve an application filed by a third party for the protected conditions of use that relies on any of the data from the new clinical investigations that was submitted by the innovator company. Five-year and three-year exclusivity will not delay the submission or approval of a full NDA that does not rely on the innovator company’s data.</w:t>
      </w:r>
    </w:p>
    <w:p>
      <w:pPr>
        <w:spacing w:after="0" w:line="14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The Biologics Price Competition and Innovation Act of 2009 (BPCIA) created a 12-year period of data exclusivity for innovator biologics. FDA therefore cannot approve a biosimilar application relying on data for a specific reference product until 12 years after the reference product is first licensed. BLA supplements are not eligible for any additional exclusivity. The objectives of the BPCIA are conceptually similar to those of the Hatch-Waxman Act described above. The implementation of an abbreviated approval pathway for biological products is under the direction of the FDA. Since the enactment of the BPCIA, the FDA has issued several draft guidance’s for industry related to the BPCIA, addressing scientific, quality and procedural issues relevant to an abbreviated application for a biosimilar product. As of December 2019, FDA had approved 26 biosimilar applications.</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Orphan drug exclusivity, as described below,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Upon FDA approval, we believe umbralisib would qualify for five years of data exclusivity as a NCE and ublituximab would qualify for twelve years of data exclusivity as an innovator biologic.</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LICENSING AGREEMENTS AND COLLABORATIONS</w:t>
      </w:r>
    </w:p>
    <w:p>
      <w:pPr>
        <w:spacing w:after="0" w:line="22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have formed strategic alliances with a number of companies for the manufacture and commercialization of our products. Our current key strategic alliances are discussed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Ublituximab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LFB Biotechnologies S.A.S, GTC Biotherapeutics, LFB/GTC LLC.</w:t>
      </w:r>
    </w:p>
    <w:p>
      <w:pPr>
        <w:spacing w:after="0" w:line="225" w:lineRule="exact"/>
        <w:rPr>
          <w:sz w:val="20"/>
          <w:szCs w:val="20"/>
          <w:color w:val="auto"/>
        </w:rPr>
      </w:pPr>
    </w:p>
    <w:p>
      <w:pPr>
        <w:jc w:val="both"/>
        <w:ind w:right="20" w:firstLine="486"/>
        <w:spacing w:after="0" w:line="253" w:lineRule="auto"/>
        <w:rPr>
          <w:sz w:val="20"/>
          <w:szCs w:val="20"/>
          <w:color w:val="auto"/>
        </w:rPr>
      </w:pPr>
      <w:r>
        <w:rPr>
          <w:rFonts w:ascii="Arial" w:cs="Arial" w:eastAsia="Arial" w:hAnsi="Arial"/>
          <w:sz w:val="18"/>
          <w:szCs w:val="18"/>
          <w:color w:val="auto"/>
        </w:rPr>
        <w:t>In January 2012, we entered into an exclusive license agreement with LFB Biotechnologies, GTC Biotherapeutics, and LFB/GTC LLC, all wholly-owned subsidiaries of LFB Group, relating to the development and commercialization of ublituximab. Under the license agreement, we have acquired the exclusive worldwide rights (exclusive of France/Belgium) for the development and commercialization of ublituximab. To date, we have made no payments to LFB Group under the license agreement, excluding an upfront equity payment. LFB Group is eligible to receive payments of up to an aggregate of approximately $31.0 million upon our successful achievement of certain clinical development, regulatory and sales milestones, in addition to royalty payments on net sales of ublituximab at a royalty rate that escalates from mid-single digits to high-single digits. The license will terminate on a country by 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Ildong Pharmaceutical Co. Ltd.</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November 2012, we entered into an exclusive (within the territory) sublicense agreement with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 To date, we have received $2 million in the form of an upfront payment from Ildong and are eligible to receive sales-based milestone payments up to an aggregate of $5 million and royalty payments on net sales of ublituximab at a royalty rate that escalates from mid-teens to high-teens upon approval in South Korea and/or Southeast Asia. The license will terminate on a country by country basis upon the expiration of the last licensed patent right or 15 years after the first commercial sale of a product in such country, unless the agreement is earlier terminated (i) by Ildong if the Company challenges any of the licensed patent rights, (ii) by either party due to a breach of the agreement, or (iii) by either party in the event of the insolvency of the other party.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Umbralisib</w:t>
      </w:r>
    </w:p>
    <w:p>
      <w:pPr>
        <w:spacing w:after="0" w:line="229"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In September 2014, we exercised our option to license the global rights to umbralisib, thereby entering into an exclusive licensing agreement (the “Umbralisib License”) with Rhizen Pharmaceuticals, S A (“Rhizen”) for the development and commercialization of umbralisib. Prior to this, we had been jointly developing umbralisib in a 50:50 joint venture with Rhizen.</w:t>
      </w:r>
    </w:p>
    <w:p>
      <w:pPr>
        <w:spacing w:after="0" w:line="181" w:lineRule="exact"/>
        <w:rPr>
          <w:sz w:val="20"/>
          <w:szCs w:val="20"/>
          <w:color w:val="auto"/>
        </w:rPr>
      </w:pPr>
    </w:p>
    <w:p>
      <w:pPr>
        <w:jc w:val="both"/>
        <w:ind w:right="20" w:firstLine="486"/>
        <w:spacing w:after="0" w:line="297" w:lineRule="auto"/>
        <w:rPr>
          <w:sz w:val="20"/>
          <w:szCs w:val="20"/>
          <w:color w:val="auto"/>
        </w:rPr>
      </w:pPr>
      <w:r>
        <w:rPr>
          <w:rFonts w:ascii="Arial" w:cs="Arial" w:eastAsia="Arial" w:hAnsi="Arial"/>
          <w:sz w:val="16"/>
          <w:szCs w:val="16"/>
          <w:color w:val="auto"/>
        </w:rPr>
        <w:t>Under the terms of the Umbralisib License, Rhizen received a $4.0 million cash payment and 371,530 shares of our common stock as an upfront license fee. With respect to umbralisib, Rhizen will be eligible to receive regulatory filing, approval and sales-based milestone payments in the aggregate of approximately $175 million, a small portion of which will be payable on the first New Drug Application (NDA) filing and the remainder on approval in multiple jurisdictions for up to two oncology indications and one non-oncology indication and attaining certain sales milestones. In addition, if umbralisib is co-formulated with another drug to create a new product (a "New Product"),</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Rhizen will be eligible to receive similar regulatory approval and sales-based milestone payments for such New Product. Additionally, Rhizen will be entitled to tiered royalties that escalate from high single digits to low double digits on our future net sales of umbralisib and any New Product. Rhizen will also be eligible to participate in sublicensing revenue, if any, based on a percentage that decreases as a function of the number of patients treated in clinical trials following the exercise of the license option. Rhizen will retain global manufacturing rights to umbralisib, provided that they are price competitive with alternative manufacturers. The license will terminate on a country by country basis upon the expiration of the last licensed patent right or any other exclusivity right in such country, unless the agreement is earlier terminated (i) by us for any reason, (ii) by either party due to a breach of the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Cosibelimab</w:t>
      </w:r>
    </w:p>
    <w:p>
      <w:pPr>
        <w:spacing w:after="0" w:line="229"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In March 2015, we entered into a Global Collaboration (the “Collaboration”) with Checkpoint Therapeutics, Inc. (“Checkpoint”) for the development and commercialization of Checkpoint’s anti-PD-L1 and anti-GITR antibody research programs in the field of hematological malignancies with an option to acquire rights in autoimmune diseases. These antibodies were generated at Dana-Farber Cancer Institute (Dana-Farber). In June 2019, we amended our Collaboration Agreement with Checkpoint to cover additional licenses necessary to continue the development of the anti-PD-L1 and anti-GITR research programs. Under the terms of the initial Collaboration, we made an up-front payment of $500,000, and upon entering into the amended agreement, made an additional payment of $1,000,000. Under the terms of the amended agreement, we will make development and sales-based milestone payments up to an aggregate of approximately $110 million, and will pay a tiered low double-digit royalty on net sales. The royalty term will terminate on a country by country basis upon the later of (i) ten years after the first commercial sale of any applicable licensed product in such country, or (ii) the expiration of the last-to-expire patent held by Dana Farber containing a valid claim to any licensed product in such country.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TG-1701 (BTK inhibitor)</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7"/>
          <w:szCs w:val="17"/>
          <w:color w:val="auto"/>
        </w:rPr>
        <w:t>In January 2018, we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for hematologic malignancies. Pursuant to the agreement, we paid Hengrui an upfront fee of $1.0 million in our common stock in April 2018. In addition, in July 2019, we paid Jiangsu the first milestone under the agreement of $0.1 million in our common stock.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 Additionally, before we can license, sell, develop, or commercialize ublituximab within China, we must notify Hengrui, giving Hengrui the right of first offer. The agreement allows combinations of TG-1701 or TG-1702 with umbralisib, ublituximab, or U2. Additional combinations may be undertaken under the agreement subject to additional pre-specified payments to Hengrui.</w:t>
      </w:r>
    </w:p>
    <w:p>
      <w:pPr>
        <w:spacing w:after="0" w:line="18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term of the agreement expires after the expiration of the last royalty term to expire with respect to any of the patent rights under the agreement. We or Hengrui may terminate the agreement upon notice to the other upon breach without remedy or upon insolvency. In addition, either party may terminate the agreement upon a material breach, after providing the other party with adequate notice and allowing 45 days to cure.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 bispecific antibody)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ectPr>
          <w:pgSz w:w="11900" w:h="16838" w:orient="portrait"/>
          <w:cols w:equalWidth="0" w:num="1">
            <w:col w:w="10400"/>
          </w:cols>
          <w:pgMar w:left="760" w:top="517" w:right="739" w:bottom="1440" w:gutter="0" w:footer="0" w:header="0"/>
        </w:sect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372745</wp:posOffset>
            </wp:positionV>
            <wp:extent cx="65951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IRAK4</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2014, we entered into an exclusive licensing agreement with Ligand Pharmaceuticals Incorporated (“Ligand”) for the development and commercialization of Ligand's interleukin-1 receptor associated kinase-4 (“IRAK4”) inhibitor technology, which currently is in preclinical development for potential use against certain cancers and autoimmune diseases. IRAK4 is a serine/threonine protein kinase that is a key downstream signaling component of the interleukin-1 receptor and multiple toll-like receptors.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terms of the license agreement, Ligand received 125,000 shares of our common stock as an upfront license fee. Ligand will also be eligible to receive maximum potential milestone payments of approximately $207 million upon the achievement of specific clinical, regulatory and commercial milestone events. Additionally, Ligand will be entitled to royalties on our future net sales of licensed products containing IRAK4 inhibitors. The basic royalty rate for licensed products covered by Ligand's issued patents will be 6% for annual sales of up to $1 billion and 9.5% for annual sales in excess of that threshold. The license will terminate on a country by country basis upon the expiration of the last licensed patent right or 10 years after the first commercial sale of a product in such country, unless the agreement is earlier terminated by either party due to a breach of the agreement in the event of the insolvency of the other party.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TG-1601 (BET inhibitor)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2016, as part of a broader agreement with Jubilant Biosys (“Jubilant”), we entered into a sub-license agreement (JBET Agreement) with Checkpoint for the development and commercialization of Jubilant’s novel BET inhibitor program in the field of hematological malignancies. The BET inhibitor program is the subject of a family of patents covering compounds that inhibit BRD4, a member of the BET (Bromodomain and Extra Terminal) domain for cancer treatment. Our BET inhibitor program is currently in pre-clinical development.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Competition in the pharmaceutical and biotechnology industries is intense. Our competitors include pharmaceutical companies and biotechnology companies, as well as universities and public and private research institutions. In addition, companies that are active in different but related fields represent substantial competition for us. Many of our competitors have significantly greater capital resources, larger research and development staffs and facilities and greater experience in drug development, regulation, manufacturing and marketing than we do. These organizations also compete with us to recruit qualified personnel, attract partners for joint ventures or other collaborations, and license technologies that are competitive with ours. To compete successfully in this industry, we must identify novel and unique drugs or methods of treatment and then complete the development of those drugs as treatments in advance of our competitors.</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drugs that we are attempting to develop will have to compete with existing therapies. In addition, a large number of companies are pursuing the development of pharmaceuticals that target the same diseases and conditions that we are targeting. Some of these potential competing drugs are further advanced in development than our drug candidates and may be commercialized earlier. The resulting changes in standard of care can impact the likelihood of regulatory accelerated approval opportunities for our drug candidates.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cancer indications for which we are developing our products there are a number of established therapies with which we will compete:</w:t>
      </w:r>
    </w:p>
    <w:p>
      <w:pPr>
        <w:spacing w:after="0" w:line="170" w:lineRule="exact"/>
        <w:rPr>
          <w:sz w:val="20"/>
          <w:szCs w:val="20"/>
          <w:color w:val="auto"/>
        </w:rPr>
      </w:pPr>
    </w:p>
    <w:p>
      <w:pPr>
        <w:jc w:val="both"/>
        <w:ind w:left="1000" w:hanging="327"/>
        <w:spacing w:after="0" w:line="255"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treatment of Chronic Lymphocytic Leukemia, if U2 is approved, we expect U2 to compete with approved drugs such as ibrutinib (AbbVie and Janssen), venetoclax (AbbVie and Roche), obinutuzumab (Roche), idelalisib (Gilead) and duvelisib (Verastem), and established treatments such as rituximab (Roche), and several generically available chemotherapies. Additionally, there are two second generation BTK inhibitors similar to ibrutinib in late-stage clinical testing for CLL that could enter the market in the next 12-36 months. Each of these agents can be used as monotherapy or in combination with one or more of the other agents.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00" w:right="20" w:hanging="327"/>
        <w:spacing w:after="0" w:line="256"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treatment of Marginal Zone Lymphoma, if approved, we expect umbralisib to compete with ibrutinib (AbbVie and Janssen), lenalidomide (Bristol-Myers) and established treatments such as rituximab and several generically available chemotherapies.</w:t>
      </w:r>
    </w:p>
    <w:p>
      <w:pPr>
        <w:jc w:val="both"/>
        <w:ind w:left="1000" w:right="20" w:hanging="327"/>
        <w:spacing w:after="0" w:line="250"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the treatment of Follicular Lymphoma, if approved, we expect umbralisib to compete with approved drugs such as obinutuzumab (Roche), idelalisib (Gilead), copanlisib (Bayer), and duvelisib (Verastem), lenalidomide (Bristol-Myers) and established treatments such as rituximab (Roche), and several generically available chemotherapies. Each of these agents can be used as monotherapy or in combination with one or more of the other agents. There are also several PI3K delta inhibitors in earlier stages of development.</w:t>
      </w:r>
    </w:p>
    <w:p>
      <w:pPr>
        <w:spacing w:after="0" w:line="2" w:lineRule="exact"/>
        <w:rPr>
          <w:rFonts w:ascii="Arial" w:cs="Arial" w:eastAsia="Arial" w:hAnsi="Arial"/>
          <w:sz w:val="18"/>
          <w:szCs w:val="18"/>
          <w:color w:val="auto"/>
        </w:rPr>
      </w:pPr>
    </w:p>
    <w:p>
      <w:pPr>
        <w:jc w:val="both"/>
        <w:ind w:left="1000" w:right="20" w:hanging="327"/>
        <w:spacing w:after="0" w:line="255"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addition, a number of pharmaceutical companies are developing antibodies and bispecific antibodies targeting CD20, CD19, CD47 and other B-cell associated targets, chimeric antigen receptor T-cell (“CAR-T”) immunotherapy, and other B-cell ablative therapy which, if approved, would potentially compete with U2 and umbralisib.</w:t>
      </w:r>
    </w:p>
    <w:p>
      <w:pPr>
        <w:spacing w:after="0" w:line="19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Multiple Sclerosis for which we are developing ublituximab there are a number of established therapies with which we will compete:</w:t>
      </w:r>
    </w:p>
    <w:p>
      <w:pPr>
        <w:spacing w:after="0" w:line="170" w:lineRule="exact"/>
        <w:rPr>
          <w:sz w:val="20"/>
          <w:szCs w:val="20"/>
          <w:color w:val="auto"/>
        </w:rPr>
      </w:pPr>
    </w:p>
    <w:p>
      <w:pPr>
        <w:jc w:val="both"/>
        <w:ind w:left="1000" w:right="20" w:hanging="327"/>
        <w:spacing w:after="0" w:line="279"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ublituximab is approved, we expect ublituximab will primarily compete against other CD20 targeted agents, while the group of CD20 targeted agents will also compete broadly against a number of already approved MS therapies. Currently, there is one anti-CD20 monoclonal antibody approved, ocrelizumab (Roche), and another having recently completed Phase 3 development, ofatumumab (Novartis), which is expected to enter the market in the next 12 months.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Cosibelimab, TG-1701 and TG-1801 if approved will also face competition from drugs on the market and under development that are in the same therapeutic class as each of those drugs.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Additional information can be found under Item “1A - Risk Factors – Other Risks Related to Our Business” within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MANUFACTURING</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limited experience in manufacturing products for clinical or commercial purposes. We currently do not have any manufacturing capabilities of our own. We have established contract manufacturing relationships for the supply of ublituximab. For the supply of umbralisib, Rhizen has established contract manufacturing relationships as part of our licensing agreement. As with any supply program, obtaining pre-clinical and clinical materials of sufficient quality and quantity to meet the requirements of our development programs cannot be guaranteed and we cannot ensure that we will be successful in this endeavor. In addition, as we move closer to commercialization for ublituximab and umbralisib we will need to scale-up production to ensure adequate commercial supply, complete validation batches and complete pre-approval inspection batches. We are currently in the process of scaling up ublituximab and completing validation and pre-approval inspection batches for both ublituximab and umbralisib. This is an expensive process which will require significant investment on our part over the next 24 months and there can be no assurance given that such scale-up and process validation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w:t>
      </w:r>
    </w:p>
    <w:p>
      <w:pPr>
        <w:spacing w:after="0" w:line="173"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Process improvements are common during clinical development to accommodate raw material and component variability, enhance productivity and/or accommodate different or larger equipment utilized during the scale-up process required for commercial manufacture. These types of incremental process changes have been made during clinical development for both TG’s small and large molecule programs. For example, our UNITY-CLL Phase 3 clinical trial contains ublituximab produced from both a pre-commercial process and the current commercial process. While there are some analytical differences between the two materials, we do not expect those differences to have an effect on the clinical performance of ublituximab. The primary difference is that the commercial process has resulted in further enhancement to the ADCC effect, potentially enhancing potency. We will analyze the Phase 3 data to ensure that the materials are substantially similar in performance. If there are material differences in safety or efficacy, we may need to adjust our statistical analysis of the Phase 3 study, which could impact the approvability of the U2 combination in CLL.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the time of commercial sale, to the extent possible and commercially practicable, we would seek to engage back-up suppliers for raw materials, manufacturing and testing services for each of our product candidates. Until such time, we expect that we will rely on a single contract manufacturer to produce each of our product candidates under current Good Manufacturing Practice, or cGMP, regulations. Our third-party manufacturers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Both of these occurrences would be beyond our control.</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expect to similarly rely on contract manufacturing relationships for any products that we may in-license or acquire in the future.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However, there can be no assurance that we will be able to successfully contract with such manufacturers on terms acceptable to us, or at all.</w:t>
      </w:r>
    </w:p>
    <w:p>
      <w:pPr>
        <w:spacing w:after="0" w:line="2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Contract manufacturers are subject to ongoing periodic and unannounced inspections by the FDA, the Drug Enforcement Administration and corresponding state agencies to ensure strict compliance with cGMP and other state and federal regulations. Contract manufacturers outside of the United States face similar challenges from the numerous local and regional agencies and authorized bodies. We do not have control over third-party manufacturers’ compliance with these regulations and standards, other than through contractual obligations. If they are deemed out of compliance with cGMPs, product recalls could result, inventory could be destroyed, production could be stopped and supplies could be delayed or otherwise disrupted.</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need to change manufacturers after commercialization, the FDA and corresponding foreign regulatory agencies must approve these new manufacturers in advance, which will involve testing and additional inspections to ensure compliance with FDA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INDUSTRY REGULATION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Numerous governmental authorities, principally the FDA and corresponding state and foreign regulatory agencies, impose substantial regulations upon the clinical development, manufacture and marketing of our drug candidates, as well as our ongoing research and development activities. None of our drug candidates have been approved for sale in any market in which we have marketing rights. Before marketing in the U.S., any drug that we develop must undergo rigorous pre-clinical testing and clinical trials and an extensive regulatory approval process implemented by the FDA under the FDCA. The FDA regulates, among other things, the pre-clinical and clinical testing, safety, efficacy, approval, manufacturing, record keeping, adverse event reporting, packaging, labeling, storage, advertising, promotion, export, sale and distribution of biopharmaceutical products.</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regulatory review and approval process is lengthy, expensive and uncertain. We are required to submit extensive pre-clinical and clinical data and supporting information to the FDA for each indication or use to establish a drug candidate’s safety and efficacy before we can secure FDA approval to market or sell a product in the U.S. The approval process takes many years, requires the expenditure of substantial resources and may involve ongoing requirements for post-marketing studies or surveillance. Before commencing clinical trials in humans, we must submit an IND to the FDA containing, among other things, pre-clinical data, chemistry, manufacturing and control information, and an investigative plan. Our submission of an IND may not result in FDA authorization to commence a clinical trial.</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Clinical testing must meet requirements for institutional review board oversight, informed consent and good clinical practices, and must be conducted pursuant to an IND, unless exempted. In addition, the FDA, equivalent foreign regulatory authority, or a data safety monitoring committee for a trial may place a clinical trial on hold or terminate it if it concludes that subjects are being exposed to an unacceptable health risk, or for futility. Any drug is likely to produce some toxicity or undesirable side effects in animals and in humans when administered at sufficiently high doses and/or for a sufficiently long period of time. Unacceptable toxicity or side effects may occur at any dose level at any time in the course of studies in animals designed to identify unacceptable effects of a drug candidate, known as toxicological studies, or clinical trials of drug candidates. The appearance of any unacceptable toxicity or side effect could cause us or regulatory authorities to interrupt, limit, delay or abort the development of any of our drug candidates and could ultimately prevent approval by the FDA or foreign regulatory authorities for any or all targeted indications.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NDA approval, clinical trials are typically conducted in the following sequential phases:</w:t>
      </w:r>
    </w:p>
    <w:p>
      <w:pPr>
        <w:spacing w:after="0" w:line="225" w:lineRule="exact"/>
        <w:rPr>
          <w:sz w:val="20"/>
          <w:szCs w:val="20"/>
          <w:color w:val="auto"/>
        </w:rPr>
      </w:pPr>
    </w:p>
    <w:p>
      <w:pPr>
        <w:ind w:left="1000" w:hanging="32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is administered to a small group of humans, either healthy volunteers or patients, to test for safety, dosage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excretion, and clinical pharmacology.</w:t>
      </w:r>
    </w:p>
    <w:p>
      <w:pPr>
        <w:spacing w:after="0" w:line="170" w:lineRule="exact"/>
        <w:rPr>
          <w:rFonts w:ascii="Arial" w:cs="Arial" w:eastAsia="Arial" w:hAnsi="Arial"/>
          <w:sz w:val="18"/>
          <w:szCs w:val="18"/>
          <w:color w:val="auto"/>
        </w:rPr>
      </w:pPr>
    </w:p>
    <w:p>
      <w:pPr>
        <w:ind w:left="1000" w:hanging="327"/>
        <w:spacing w:after="0" w:line="308"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Studies are conducted on a larger number of patients to assess the efficacy of the product, to ascertain dose tolerance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optimal dose range, and to gather additional data relating to safety and potential adverse events.</w:t>
      </w:r>
    </w:p>
    <w:p>
      <w:pPr>
        <w:spacing w:after="0" w:line="146" w:lineRule="exact"/>
        <w:rPr>
          <w:rFonts w:ascii="Arial" w:cs="Arial" w:eastAsia="Arial" w:hAnsi="Arial"/>
          <w:sz w:val="17"/>
          <w:szCs w:val="17"/>
          <w:color w:val="auto"/>
        </w:rPr>
      </w:pPr>
    </w:p>
    <w:p>
      <w:pPr>
        <w:ind w:left="1000" w:hanging="32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Studies establish safety and efficacy in an expanded patient population.</w:t>
      </w:r>
    </w:p>
    <w:p>
      <w:pPr>
        <w:spacing w:after="0" w:line="225" w:lineRule="exact"/>
        <w:rPr>
          <w:rFonts w:ascii="Arial" w:cs="Arial" w:eastAsia="Arial" w:hAnsi="Arial"/>
          <w:sz w:val="18"/>
          <w:szCs w:val="18"/>
          <w:color w:val="auto"/>
        </w:rPr>
      </w:pPr>
    </w:p>
    <w:p>
      <w:pPr>
        <w:ind w:left="1000" w:hanging="32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Phase 4: </w:t>
      </w:r>
      <w:r>
        <w:rPr>
          <w:rFonts w:ascii="Arial" w:cs="Arial" w:eastAsia="Arial" w:hAnsi="Arial"/>
          <w:sz w:val="18"/>
          <w:szCs w:val="18"/>
          <w:color w:val="auto"/>
        </w:rPr>
        <w:t>The FDA may require Phase 4 post-marketing studies to find out more about the drug’s long-term risks, benefits, and</w:t>
      </w:r>
      <w:r>
        <w:rPr>
          <w:rFonts w:ascii="Arial" w:cs="Arial" w:eastAsia="Arial" w:hAnsi="Arial"/>
          <w:sz w:val="18"/>
          <w:szCs w:val="18"/>
          <w:i w:val="1"/>
          <w:iCs w:val="1"/>
          <w:color w:val="auto"/>
        </w:rPr>
        <w:t xml:space="preserve"> </w:t>
      </w:r>
      <w:r>
        <w:rPr>
          <w:rFonts w:ascii="Arial" w:cs="Arial" w:eastAsia="Arial" w:hAnsi="Arial"/>
          <w:sz w:val="18"/>
          <w:szCs w:val="18"/>
          <w:color w:val="auto"/>
        </w:rPr>
        <w:t>optimal use, or to test the drug in different populations.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length of time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that may increase the costs of these trials, include:</w:t>
      </w:r>
    </w:p>
    <w:p>
      <w:pPr>
        <w:spacing w:after="0" w:line="181" w:lineRule="exact"/>
        <w:rPr>
          <w:sz w:val="20"/>
          <w:szCs w:val="20"/>
          <w:color w:val="auto"/>
        </w:rPr>
      </w:pPr>
    </w:p>
    <w:p>
      <w:pPr>
        <w:ind w:left="1000" w:hanging="327"/>
        <w:spacing w:after="0" w:line="258"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slow patient enrollment due to the nature of the clinical trial plan, the proximity of patients to clinical sites, the eligibility criteria for participation in the study or other factors;</w:t>
      </w:r>
    </w:p>
    <w:p>
      <w:pPr>
        <w:spacing w:after="0" w:line="1" w:lineRule="exact"/>
        <w:rPr>
          <w:rFonts w:ascii="Arial" w:cs="Arial" w:eastAsia="Arial" w:hAnsi="Arial"/>
          <w:sz w:val="18"/>
          <w:szCs w:val="18"/>
          <w:color w:val="auto"/>
        </w:rPr>
      </w:pPr>
    </w:p>
    <w:p>
      <w:pPr>
        <w:ind w:left="1000" w:hanging="327"/>
        <w:spacing w:after="0" w:line="250"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 or delays in approvals from a study site’s review board;</w:t>
      </w:r>
    </w:p>
    <w:p>
      <w:pPr>
        <w:ind w:left="1000" w:hanging="32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longer treatment time required to demonstrate efficacy or determine the appropriate product dose;</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insufficient supply of the drug candidates;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ineffectiveness of the drug candidates.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clinical trials that are intended to form the basis of a new drug or biologics license application for approval, sponsors of drugs may apply for an SPA from the FDA, by which the FDA provides official evaluation and written guidance on the design and size of proposed protocols. While obtaining an SPA provides some assurance the design of a trial should be sufficient for approval, the final marketing approval depends on the results of efficacy, the adverse event profile and an evaluation of the benefit/risk of treatment demonstrated in the Phase 3 trial. The SPA agreement may only be changed through a written agreement between the sponsor and the FDA, or if the FDA becomes aware of a substantial scientific issue essential to product safety or efficacy.</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September 2015, we reached an agreement with the FDA regarding an SPA on the design, endpoints and statistical analysis approach of a Phase 3 clinical trial, referred to as the UNITY-CLL trial, for the proprietary combination of ublituximab and umbralisib, for the treatment of CLL. The SPA provides agreement that the Phase 3 trial design adequately addresses objectives that, if met, would support the regulatory submission for drug approval of both ublituximab and umbralisib in combination. Additionally, in August 2017, we reached an agreement with the FDA regarding an SPA on the design of two Phase 3 clinical trials for ublituximab, referred to as the ULTIMATE I and ULTIMATE II Phase 3 clinical trials, for the treatment of relapsing forms of Multiple Sclerosis (RMS). The SPA provides agreement that the two Phase 3 trial designs adequately address objectives that, if met, would support the regulatory submission for approval of ublituximab. Despite obtaining an SPA the trials may not be positive and even if positive may not support FDA approval.</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FDA may permit expedited development, evaluation, and marketing of new therapies intended to treat persons with serious or life-threatening conditions for which there is an unmet medical need under its fast track drug development programs. A sponsor can apply for fast track designation at the time of submission of an IND, or at any time prior to receiving marketing approval of the new drug application, or NDA. To receive Fast Track designation, an applicant must demonstrate:</w:t>
      </w:r>
    </w:p>
    <w:p>
      <w:pPr>
        <w:spacing w:after="0" w:line="178" w:lineRule="exact"/>
        <w:rPr>
          <w:sz w:val="20"/>
          <w:szCs w:val="20"/>
          <w:color w:val="auto"/>
        </w:rPr>
      </w:pPr>
    </w:p>
    <w:p>
      <w:pPr>
        <w:ind w:left="1000" w:hanging="327"/>
        <w:spacing w:after="0"/>
        <w:tabs>
          <w:tab w:leader="none" w:pos="100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that the drug is intended to treat a serious or life-threatening condition; and</w:t>
      </w:r>
    </w:p>
    <w:p>
      <w:pPr>
        <w:spacing w:after="0" w:line="23" w:lineRule="exact"/>
        <w:rPr>
          <w:rFonts w:ascii="Arial" w:cs="Arial" w:eastAsia="Arial" w:hAnsi="Arial"/>
          <w:sz w:val="22"/>
          <w:szCs w:val="22"/>
          <w:color w:val="auto"/>
        </w:rPr>
      </w:pPr>
    </w:p>
    <w:p>
      <w:pPr>
        <w:ind w:left="1000" w:hanging="327"/>
        <w:spacing w:after="0" w:line="208" w:lineRule="auto"/>
        <w:tabs>
          <w:tab w:leader="none" w:pos="100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that nonclinical or clinical data demonstrate the potential to address an unmet medical need.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FDA must respond to a request for fast track designation within 60 calendar days of receipt of the request. Over the course of drug development, a product in a fast track development program must continue to meet the criteria for fast track designation. Sponsors of products in fast track drug development programs must be in regular contact with the reviewing division of the FDA to ensure that the evidence necessary to support marketing approval will be developed and presented in a format conducive to an efficient review. Sponsors of products in fast track drug development programs ordinarily are eligible for priority review of a completed application in six months or less and also may be permitted to submit portions of an NDA to the FDA for review before the complete application is submitted.</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sponsors may also apply to the FDA for Breakthrough Therapy Designation (“BTD”). The procedures and requirements for BTD are similar to those required for fast track such that the Breakthrough Therapy Designation is intended to expedite the development and review of a potential new drug for serious or life-threatening diseases however with BTD, there is a further requirement that the sponsor present “preliminary clinical evidence” which “indicates that the drug may demonstrate substantial improvement over existing therapies on one or more clinically significant endpoints, such as substantial treatment effects observed early in clinical development.” The designation of a drug as a Breakthrough Therapy was enacted as part of the 2012 Food and Drug Administration Safety and Innovation Act.</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January 2019, we announced that the FDA granted Breakthrough Therapy Designation for umbralisib for the treatment of adult patients with marginal zone lymphoma (MZL) who have received at least one prior anti-CD20 regimen based on interim results from a subset of patients from the MZL cohort of the UNITY-NHL clinical trial.</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Sponsors of drugs designated as fast track and as breakthrough therapy also may seek approval under the FDA’s accelerated approval regulations. Under this authority, the FDA may grant marketing approval for a new drug product on the basis of adequate and well-controlled clinical trials establishing that the drug product has an effect on a surrogate endpoint that is reasonably likely, based on epidemiologic, therapeutic, pathophysiologic, or other evidence, to predict clinical benefit or on the basis of an effect on a clinical endpoint other than survival or irreversible morbidity. To obtain accelerated approval you have to be the first company to have a treatment that successfully addresses a certain unmet medical need or you need to clearly be better than all other treatments for that medical need, subject to certain qualifications. Many companies have filed for accelerated approval and have subsequently failed to obtain such approval for a variety of reasons, including not being first or not being best. To the extent a product does obtain an accelerated approval, such approval will be subject to the requirement that the applicant study the drug further in a post-marketing confirmation clinical trial to verify and describe its clinical benefit where there is uncertainty as to the relation of the surrogate endpoint to clinical benefit or uncertainty as to the relation of the observed clinical benefit to ultimate outcome. Accelerated approval is sometimes referred to as conditional approval because if the results of these confirmation clinical trials are not successful, the FDA has the right to remove the drug from the market and has done so in the past. Post-marketing confirmation studies are usually underway at the time an applicant files the NDA. When required to be conducted, such post-marketing confirmation studies must also be adequate and well-controlled. The applicant must carry out any such post-marketing confirmation studies with due diligence.</w:t>
      </w:r>
    </w:p>
    <w:p>
      <w:pPr>
        <w:spacing w:after="0" w:line="17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It is also becoming more common for the FDA to request a Risk Evaluation and Mitigation Strategy, or REMS, as part of a NDA/BLA. The REMS plan contains post-market obligations of the sponsor to train prescribing physicians, monitor off-label drug use, and conduct Phase 4 follow-up studies and registries to ensure the continued safe use of the drug.</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part of the approval process, the FDA must inspect and approve each manufacturing facility. Among the conditions of approval is the requirement that a manufacturer’s quality control and manufacturing procedures conform to cGMP. Manufacturers must expend significant time, money and effort to ensure continued compliance, and the FDA conducts periodic inspections to certify compliance. It may be difficult for our manufacturers or us to comply with the applicable cGMP, as interpreted by the FDA, and other FDA regulatory requirements. If we, or our contract manufacturers, fail to comply, then the FDA may not allow us to market products that have been affected by the failure. Many drug approvals have been delayed due to issues at contract manufacturing facilities. If we were to experience any such delay that would negatively impact our business and timeline to commercialization of any of our drug candidates affected by such manufacturing issue.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If the FDA grants approval, the approval will be limited to those disease states, conditions and patient populations for which the product is safe and effective, as demonstrated through clinical studies. Further, a product may be marketed only in those dosage forms and for those indications approved in the NDA/BLA. Certain changes to an approved NDA/BLA, including, with certain exceptions, any significant changes to labeling, require approval of a supplemental application before the drug may be marketed as changed. Any products that we manufacture or distribute pursuant to FDA approvals are subject to continued monitoring and regulation by the FDA, including compliance with cGMP and the reporting of adverse experiences with the drugs. The nature of marketing claims that the FDA will permit us to make in the labeling and advertising of our products will generally be limited to those specified in FDA approved labeling, and the advertising of our products will be subject to comprehensive monitoring and regulation by the FDA. Drugs whose review was accelerated may carry additional requirements on marketing activities, including the requirement that all promotional materials are pre-submitted to the FDA. Claims exceeding those contained in approved labeling will constitute a violation of the FDCA. Violations of the FDCA or regulatory requirements at any time during the product development process, approval process, or marketing and sale following approval may result in agency enforcement actions, including withdrawal of approval, recall, seizure of products, warning letters, injunctions, fines and/or civil or criminal penalties. Any agency enforcement action could have a material adverse effect on our business.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Should we wish to market our products outside the U.S., we must receive marketing authorization from the appropriate foreign regulatory authorities. The requirements governing the conduct of clinical trials, marketing authorization, pricing and reimbursement vary widely from country to country. Importantly, the level of evidence of efficacy and safety necessary to apply for marketing authorization for a drug candidate differs from country to country. In particular, clinical trial endpoints, and the level of clinical evidence that may support an accelerated approval filing with the US FDA, such as the ORR data we intend to use as the basis for a filing for umbralisib in MZL, may be insufficient to file for marketing application outside of the US. At present, companies are typically required to apply for foreign marketing authorizations at a national level. However, within the European Union, registration procedures are available to companies wishing to market a product in more than one European Union member state. Typically, if the regulatory authority is satisfied that a company has presented adequate evidence of safety, quality and efficacy, then the regulatory authority will grant a marketing authorization. This foreign regulatory approval process, however, involves risks similar or identical to the risks associated with FDA approval discussed above, and therefore we cannot guarantee that we will be able to obtain the appropriate marketing authorization for any product in any particular country.</w:t>
      </w:r>
    </w:p>
    <w:p>
      <w:pPr>
        <w:spacing w:after="0" w:line="14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Failure to comply with applicable federal, state and foreign laws and regulations would likely have a material adverse effect on our business. In addition, federal, state and foreign laws and regulations regarding the manufacture and sale of new drugs are subject to future changes. We cannot predict the likelihood, nature, effect or extent of adverse governmental regulation that might arise from future legislative or administrative action, either in the U.S. or abroad.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Sales of our drugs will depend, in part, on the extent to which our drugs will be covered by third-party payors, such as government health programs, commercial insurance and managed healthcare organizations. These third-party payors are increasingly reducing reimbursements for medical drugs and services. In addition,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importation,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physician usage of such drugs and have a material adverse effect on our sales, results of operations and financial condition.</w:t>
      </w:r>
    </w:p>
    <w:p>
      <w:pPr>
        <w:spacing w:after="0" w:line="13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color w:val="auto"/>
        </w:rPr>
        <w:t>In the United States, the Patient Protection and Affordable Care Act, as amended by the Health Care and Education Reconciliation Act of 2010, or collectively the Affordable Care Act, enacted in March 2010, has had a significant impact on the health care industry. The Affordable Care Act expanded coverage for the uninsured while at the same time containing overall healthcare costs. With regard to pharmaceutical products, the Affordable Care Act, among other things, created a new average manufacturer price definition under the Medicaid Drug Rebate Program for drugs that are inhaled, infused, instilled, implanted or injected and not generally dispensed through the retail channel,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(subsequent legislation increased this to 70% effective as of January 1, 2019), as a condition for the manufacturer’s outpatient drugs to be covered under Medicare Part 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7"/>
          <w:szCs w:val="17"/>
          <w:color w:val="auto"/>
        </w:rPr>
        <w:t>Since the enactment of the Affordable Care Act, certain provisions of the Affordable Care Act have been subject to judicial challenges as well as efforts to repeal or replace them or to alter their interpretation or implementation. For example, the Tax Cuts and Jobs Act enacted on December 22, 2017 (the Tax Act), eliminated the shared responsibility payment for individuals who fail to maintain minimum essential coverage under section 5000A of the Internal Revenue Code of 1986, commonly referred to as the individual mandate, effective January 1, 2019. In December 2018, a United States District Court Judge for the Northern District of Texas ruled (i) that the “individual mandate” was unconstitutional as a result of the associated tax penalty being repealed by Congress as part of the Tax Act; and (ii) the individual mandate is not severable from the rest of the Affordable Care Act, and as a result the entire Affordable Care Act is invalid. On December 18, 2019, the U.S. Court of Appeals for the Fifth Circuit affirmed the district court’s decision that the individual mandate is unconstitutional, but remanded the case to the district court to reconsider the severability question. It is unclear how the ultimate decision in this case, or other efforts to repeal, replace, or invalidate the Affordable Care Act or its implementing regulations, or portions thereof, will affect the Affordable Care Act or our business. 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On October 13, 2017, President Trump signed an Executive Order that terminated the cost-sharing subsidies under the Affordable Care Act. Several state Attorneys General filed suit to stop the administration from terminating these subsidies, but on October 25, 2017, a federal judge in California denied their request for a restraining order. In addition, CMS has issued regulations giving states greater flexibility, starting in 2020, in the identification of the essential health benefits benchmarks for non-grandfathered individual and small group market health insurance coverage, including plans sold through the health insurance exchanges established under the Affordable Care Act. There may be further action to repeal, replace or modify the Affordable Care Act. While any legislative and regulatory changes will likely take time to develop and may or may not have an impact on the regulatory regime to which we are subject, we cannot predict the ultimate content, timing or effect of any healthcare reform legislation or the impact of potential legislation on us.</w:t>
      </w:r>
    </w:p>
    <w:p>
      <w:pPr>
        <w:spacing w:after="0" w:line="183"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7"/>
          <w:szCs w:val="17"/>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Trump administration is currently assessing additional proposals that are designed to affect drug pricing, such as tying U.S. drug prices to prices outside the United States. Congress and the Trump administration have each indicated that they will continue to seek new legislative and/or administrative measures to control drug costs. We expect that additional U.S. federal healthcare reform measures could be adopted in the future, any of which could limit the amounts that the U.S. federal government will pay for healthcare products and services, which could result in additional pricing pressures and reduced demand for any of our products that receive marketing approval.</w:t>
      </w:r>
    </w:p>
    <w:p>
      <w:pPr>
        <w:spacing w:after="0" w:line="153" w:lineRule="exact"/>
        <w:rPr>
          <w:sz w:val="20"/>
          <w:szCs w:val="20"/>
          <w:color w:val="auto"/>
        </w:rPr>
      </w:pPr>
    </w:p>
    <w:p>
      <w:pPr>
        <w:jc w:val="both"/>
        <w:ind w:right="20" w:firstLine="711"/>
        <w:spacing w:after="0" w:line="225" w:lineRule="auto"/>
        <w:rPr>
          <w:sz w:val="20"/>
          <w:szCs w:val="20"/>
          <w:color w:val="auto"/>
        </w:rPr>
      </w:pPr>
      <w:r>
        <w:rPr>
          <w:rFonts w:ascii="Arial" w:cs="Arial" w:eastAsia="Arial" w:hAnsi="Arial"/>
          <w:sz w:val="18"/>
          <w:szCs w:val="18"/>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European Union do not follow price structures of the United States and generally tend to be significantly lower.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175"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privacy and security and physician sunshine laws and regulations.</w:t>
      </w:r>
    </w:p>
    <w:p>
      <w:pPr>
        <w:spacing w:after="0" w:line="148"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7"/>
          <w:szCs w:val="17"/>
          <w:color w:val="auto"/>
        </w:rPr>
        <w:t>The federal Anti-Kickback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 programs.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The majority of states also have anti-kickback laws, which establish similar prohibitions and in some cases may apply to items or services reimbursed by any third-party payor, including commercial insurers.</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the civil False Claims Act prohibits, among other things,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federal Health Insurance Portability and Accountability Act of 1996, or 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There has also been a recent trend of increased federal and state regulation of payments made to physicians and other healthcare providers. The Affordable Care Act,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are required to submit annual reports to the Centers for Medicare &amp; Medicaid Services, which publicly posts the data on its website. Certain states also mandate implementation of compliance programs, impose restrictions on drug manufacturer marketing practices and/or require the tracking and reporting of gifts, compensation and other remuneration to physicians.</w:t>
      </w:r>
    </w:p>
    <w:p>
      <w:pPr>
        <w:spacing w:after="0" w:line="18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we may be subject to 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thus complicating compliance efforts.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February 14, 2020, we had 134 full and part-time employees. None of our employees are represented by a collective bargaining agreement, and we have never experienced a work stoppage.</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You should carefully consider the following risk factors and the other information contained elsewhere in this Annual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Capital</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January 2012. Our operations to date have been limited primarily to organizing and staffing our company, business planning, raising capital, developing our technology, identifying potential drug candidates and undertaking pre-clinical studies and commencing clinical trials. We have never generated any revenue from drug sales. We have not obtained regulatory approvals for any of our drug candidates.</w:t>
      </w:r>
    </w:p>
    <w:p>
      <w:pPr>
        <w:spacing w:after="0" w:line="1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not yet demonstrated our ability to successfully complete large-scale,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Since inception, we have focused substantially all of our efforts and financial resources on clinical trials and manufacturing of our drug candidates. To date, we have financed our operations primarily through public offerings of our common stock and a debt financing. Through February 18, 2020, we have received an aggregate of approximately $640 million from such transactions. Approximately $610 million of that amount constitutes the aggregate gross proceeds from the sale of common stock in one or more offerings and through the use of our at the market sales program, or ATM. The remaining $30.0 million is from our term loan facility with Hercules that we secured in February 2019.</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Since inception, we have incurred significant operating losses. As of December 31, 2019, we had an accumulated deficit of $701.2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for the foreseeable future. Our prior losses, combined with expected future losses, have had and will continue to have an adverse effect on our stockholders’ deficit and working capital. We expect to continue to incur significant research and development expenses in connection with continuing our existing clinical trials and beginning additional clinical trials. In addition, if we obtain regulatory approval for our drug candidates, we will incur significant sales, marketing and outsourced-manufacturing expenses. We also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date, we have not generated any significant revenue from our drug candidates and it is uncertain when and if we will generate any revenue from the sale of our drugs in the future. Our ability to become profitable depends upon our ability to generate significant and sustained revenues. To obtain significant and sustained revenues, we must succeed, either alone or with others, in developing, obtaining regulatory approval for and manufacturing and marketing our product candidates. Accordingly, we do not expect to generate significant and sustained revenue unless and until we obtain marketing approval of, and begin to sell umbralisib, ublituximab and/or one of our other product candidates. Our ability to generate revenue depends on a number of factors, including, but not limited to, our ability to:</w:t>
      </w:r>
    </w:p>
    <w:p>
      <w:pPr>
        <w:spacing w:after="0" w:line="192" w:lineRule="exact"/>
        <w:rPr>
          <w:sz w:val="20"/>
          <w:szCs w:val="20"/>
          <w:color w:val="auto"/>
        </w:rPr>
      </w:pPr>
    </w:p>
    <w:p>
      <w:pPr>
        <w:ind w:left="1000" w:hanging="32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complete clinical trials that meet their clinical endpoints;</w:t>
      </w:r>
    </w:p>
    <w:p>
      <w:pPr>
        <w:spacing w:after="0" w:line="23" w:lineRule="exact"/>
        <w:rPr>
          <w:rFonts w:ascii="Arial" w:cs="Arial" w:eastAsia="Arial" w:hAnsi="Arial"/>
          <w:sz w:val="18"/>
          <w:szCs w:val="18"/>
          <w:color w:val="auto"/>
        </w:rPr>
      </w:pPr>
    </w:p>
    <w:p>
      <w:pPr>
        <w:ind w:left="1000" w:hanging="327"/>
        <w:spacing w:after="0" w:line="250"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biodistribution, and non-clinical studies required to obtain U.S. and Foreign marketing approval for our drug candidates;</w:t>
      </w:r>
    </w:p>
    <w:p>
      <w:pPr>
        <w:ind w:left="1000" w:hanging="327"/>
        <w:spacing w:after="0" w:line="250"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from the U.S. Food and Drug Administration (FDA) and Foreign equivalents to market and sell our drug candidates;</w:t>
      </w:r>
    </w:p>
    <w:p>
      <w:pPr>
        <w:ind w:left="1000" w:hanging="327"/>
        <w:spacing w:after="0" w:line="250"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commercial manufacturing capabilities alone and/or with third parties that are satisfactory to the regulatory authorities, cost effective, and that are capable of providing commercial supply of our drug candidates;</w:t>
      </w:r>
    </w:p>
    <w:p>
      <w:pPr>
        <w:ind w:left="1000" w:hanging="327"/>
        <w:spacing w:after="0" w:line="250"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 commercial infrastructure to commercialize our drug candidates, if approved, by developing a sales force and/or entering into collaborations with third parties; and</w:t>
      </w:r>
    </w:p>
    <w:p>
      <w:pPr>
        <w:ind w:left="1000" w:hanging="32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Achieve market acceptance of our drug candidates in the medical community and with third-party payors.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unable to generate significant and sustained revenues, we will not become profitable and we will be unable to continue our operations without continued funding.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development of pharmaceuticals is capital-intensive. We are currently advancing our most advanced drug candidates, umbralisib, ublituximab, cosibelimab, TG-1701 and TG-1801 through clinical development. While we may experience short-term decreases in clinical trial expenses as our larger Phase 3 clinical trials complete and before our Phase 1 and 2 programs can advance into Phase 2 and 3, we do expect over time our overall expenses will increase in connection with our ongoing activities, particularly as we continue the research and development of, initiate or continue clinical trials of, seek marketing approval for, and develop an infrastructure to commercialize our drug candidates. In addition, depending on the status of regulatory approval or, if we obtain marketing approval for any of our drug candidates, we expect to incur significant commercialization expenses related to drug sales, marketing, manufacturing and distribution. Moreover, in anticipation of filing for regulatory approvals for umbralisib and ublituximab we will need to expend substantial resources on manufacturing and new drug application (NDA)/ biologics license application (BLA) preparation over the next 12 to 24 months, which could exceed any cost savings associated with lower clinical trial expenses during the same period.</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While this timing is our current estimate, the amount and timing of our future funding requirements will depend on many factors, including, but not limited to, the following:</w:t>
      </w:r>
    </w:p>
    <w:p>
      <w:pPr>
        <w:spacing w:after="0" w:line="184" w:lineRule="exact"/>
        <w:rPr>
          <w:sz w:val="20"/>
          <w:szCs w:val="20"/>
          <w:color w:val="auto"/>
        </w:rPr>
      </w:pPr>
    </w:p>
    <w:p>
      <w:pPr>
        <w:ind w:left="1000" w:hanging="327"/>
        <w:spacing w:after="0" w:line="258"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spacing w:after="0" w:line="1" w:lineRule="exact"/>
        <w:rPr>
          <w:rFonts w:ascii="Arial" w:cs="Arial" w:eastAsia="Arial" w:hAnsi="Arial"/>
          <w:sz w:val="18"/>
          <w:szCs w:val="18"/>
          <w:color w:val="auto"/>
        </w:rPr>
      </w:pPr>
    </w:p>
    <w:p>
      <w:pPr>
        <w:ind w:left="1000" w:hanging="32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a result, significant additional funding will be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marketing and medical educational efforts that are required for a successful launch of umbralisib and/or ublituximab or any of our product candidates and otherwise forego attractive business opportunities. Any additional sources of financing will likely involve the issuance of our equity securities, which would have a dilutive effect to stockholders. 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 Accordingly, our prospects must be considered in light of the uncertainties, risks, expenses and difficulties frequently encountered by companies in the early stages of operations and the competitive environment in which we operate.</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7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(See Note 7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drug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See our risk factors below under the heading Risks Related to Our Indebtedness.</w:t>
      </w:r>
    </w:p>
    <w:p>
      <w:pPr>
        <w:spacing w:after="0" w:line="169"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issuance of additional securities, whether equity or debt, by us, or the possibility of such issuance, may cause the market price of our shares to decline.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 product candidate development timelines and projections in this report are based on the assumption of further financing.</w:t>
      </w:r>
    </w:p>
    <w:p>
      <w:pPr>
        <w:spacing w:after="0" w:line="23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February 2019, we entered into a Loan and Security Agreement (the Loan Agreement), with Hercules Capital, Inc., a Maryland corporation (Hercules) (See Note 7 to our consolidated financial statements for more information). Under the Loan Agreement, Hercules will provide access to term loans with an aggregate principal amount of up to $60.0 million (the Term Loan). Concurrently with the closing of the Loan Agreement, we borrowed an initial tranche of $30.0 million. In addition, we have incurred short-term liabilities of approximately $47.2 million with a contract manufacturing organization (CMO) for the scale-up, tech-transfer, and long-term supply of one of our drug candidates. This is an expensive and lengthy process and we expect to incur additional obligations associated with these ongoing manufacturing activities over the course of the next 24 months, and potentially longer. To date, this CMO has provided payment terms which we believe are reasonable; however, no assurance can be given that such terms will continue to be available to us in the future. No assurances can be made that the obligations associated with the Loan Agreement and the CMO will not have a material adverse impact on our financial condition.</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obligations under the Loan Agreement are secured by substantially all of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87" w:lineRule="exact"/>
        <w:rPr>
          <w:sz w:val="20"/>
          <w:szCs w:val="20"/>
          <w:color w:val="auto"/>
        </w:rPr>
      </w:pPr>
    </w:p>
    <w:p>
      <w:pPr>
        <w:ind w:left="1000" w:hanging="327"/>
        <w:spacing w:after="0" w:line="274"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will need to repay the indebtedness by making payments of interest and principal, which will reduce the amount of money available to finance our operations, our research and development efforts and other general corporate activities; and</w:t>
      </w:r>
    </w:p>
    <w:p>
      <w:pPr>
        <w:jc w:val="both"/>
        <w:ind w:left="1000" w:hanging="327"/>
        <w:spacing w:after="0" w:line="255"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failure to comply with the restrictive covenants in the Loan Agreement could result in an event of default that, if not cured or waived, would accelerate our obligation to repay this indebtedness, and Hercules could seek to enforce its security interest in the assets securing such indebtedness.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have cash available in an amount sufficient to enable us to make interest or principal payments on our indebtedness when due.</w:t>
      </w:r>
    </w:p>
    <w:p>
      <w:pPr>
        <w:spacing w:after="0" w:line="2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Failure to satisfy our current and future debt obligations under the Loan Agreement, or the breach of any of its covenants, subject to specified cure periods with respect to certain breaches, could result in an event of default and, as a result, Hercules could accelerate all of the amounts due. In the event of an acceleration of amounts due under the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of our property other than intellectual property. Our business, financial condition and results of operations could be materially adversely affected as a result of any of these events.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Loan Agreement imposes operating and other restrictions on the Company. Such restrictions will affect, and in many respects limit or prohibit, our ability and the ability of any future subsidiary to, among other things:</w:t>
      </w:r>
    </w:p>
    <w:p>
      <w:pPr>
        <w:spacing w:after="0" w:line="170" w:lineRule="exact"/>
        <w:rPr>
          <w:sz w:val="20"/>
          <w:szCs w:val="20"/>
          <w:color w:val="auto"/>
        </w:rPr>
      </w:pPr>
    </w:p>
    <w:p>
      <w:pPr>
        <w:ind w:left="1000" w:hanging="32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23" w:lineRule="exact"/>
        <w:rPr>
          <w:rFonts w:ascii="Arial" w:cs="Arial" w:eastAsia="Arial" w:hAnsi="Arial"/>
          <w:sz w:val="18"/>
          <w:szCs w:val="18"/>
          <w:color w:val="auto"/>
        </w:rPr>
      </w:pPr>
    </w:p>
    <w:p>
      <w:pPr>
        <w:ind w:left="1000" w:hanging="32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97" w:lineRule="exact"/>
        <w:rPr>
          <w:sz w:val="20"/>
          <w:szCs w:val="20"/>
          <w:color w:val="auto"/>
        </w:rPr>
      </w:pPr>
    </w:p>
    <w:p>
      <w:pPr>
        <w:ind w:right="1420" w:firstLine="648"/>
        <w:spacing w:after="0" w:line="438" w:lineRule="auto"/>
        <w:rPr>
          <w:sz w:val="20"/>
          <w:szCs w:val="20"/>
          <w:color w:val="auto"/>
        </w:rPr>
      </w:pPr>
      <w:r>
        <w:rPr>
          <w:rFonts w:ascii="Arial" w:cs="Arial" w:eastAsia="Arial" w:hAnsi="Arial"/>
          <w:sz w:val="18"/>
          <w:szCs w:val="18"/>
          <w:color w:val="auto"/>
        </w:rPr>
        <w:t xml:space="preserve">The breach of any of these restrictive covenants could have a material adverse effect on our business and prospects. </w:t>
      </w:r>
      <w:r>
        <w:rPr>
          <w:rFonts w:ascii="Arial" w:cs="Arial" w:eastAsia="Arial" w:hAnsi="Arial"/>
          <w:sz w:val="18"/>
          <w:szCs w:val="18"/>
          <w:b w:val="1"/>
          <w:bCs w:val="1"/>
          <w:u w:val="single" w:color="auto"/>
          <w:color w:val="auto"/>
        </w:rPr>
        <w:t>Risks Related to Drug Development and Regulatory Approval</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we are unable to obtain regulatory approval for our most advanced drug candidates or other drug candidates and ultimately cannot commercialize our most advanced drug candidates or other drug candidates, or experience significant delays in doing so, our business will be materially harmed.</w:t>
      </w:r>
    </w:p>
    <w:p>
      <w:pPr>
        <w:spacing w:after="0" w:line="14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 variety of reasons. We have substantially invested all of our efforts and financial resources in the identification and pre-clinical and clinical development of our drug candidates, including ublituximab, umbralisib, cosibelimab, TG-1701 and TG-1801. Our ability to generate drug revenues will depend completely on the successful completion of our current and future Phase 3 and registration-directed clinical trials and commercialization of our drug candidates, which may never occur. We currently generate no revenues from sales of any drugs, and we may never be able to develop or commercialize a marketable drug. Each of our drug candidates will require additional non-clinical or clinical development, management of clinical, non-clinical and manufacturing activities, regulatory approval in multiple jurisdictions, obtaining or manufacturing supply, building of a commercial organization, substantial investment and significant marketing efforts before we generate any revenues from drug sales. The success of our most advanced drug candidates and other drug candidates will depend on several factors, including the following:</w:t>
      </w:r>
    </w:p>
    <w:p>
      <w:pPr>
        <w:spacing w:after="0" w:line="195" w:lineRule="exact"/>
        <w:rPr>
          <w:sz w:val="20"/>
          <w:szCs w:val="20"/>
          <w:color w:val="auto"/>
        </w:rPr>
      </w:pPr>
    </w:p>
    <w:p>
      <w:pPr>
        <w:ind w:left="1000" w:hanging="32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 completion of our UNITY-NHL trial, UNITY-CLL trial and our ULTIMATE I and II trials;</w:t>
      </w:r>
    </w:p>
    <w:p>
      <w:pPr>
        <w:spacing w:after="0" w:line="23" w:lineRule="exact"/>
        <w:rPr>
          <w:rFonts w:ascii="Arial" w:cs="Arial" w:eastAsia="Arial" w:hAnsi="Arial"/>
          <w:sz w:val="18"/>
          <w:szCs w:val="18"/>
          <w:color w:val="auto"/>
        </w:rPr>
      </w:pPr>
    </w:p>
    <w:p>
      <w:pPr>
        <w:ind w:left="1000" w:hanging="32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for our drug candidates;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Establishing commercially viable arrangements with third-party manufacturers for clinical supply and commercial manufacturing;</w:t>
      </w:r>
    </w:p>
    <w:p>
      <w:pPr>
        <w:spacing w:after="0" w:line="32" w:lineRule="exact"/>
        <w:rPr>
          <w:rFonts w:ascii="Arial" w:cs="Arial" w:eastAsia="Arial" w:hAnsi="Arial"/>
          <w:sz w:val="16"/>
          <w:szCs w:val="16"/>
          <w:color w:val="auto"/>
        </w:rPr>
      </w:pPr>
    </w:p>
    <w:p>
      <w:pPr>
        <w:ind w:left="1000" w:hanging="32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 candidates;</w:t>
      </w:r>
    </w:p>
    <w:p>
      <w:pPr>
        <w:spacing w:after="0" w:line="9" w:lineRule="exact"/>
        <w:rPr>
          <w:rFonts w:ascii="Arial" w:cs="Arial" w:eastAsia="Arial" w:hAnsi="Arial"/>
          <w:sz w:val="18"/>
          <w:szCs w:val="18"/>
          <w:color w:val="auto"/>
        </w:rPr>
      </w:pPr>
    </w:p>
    <w:p>
      <w:pPr>
        <w:ind w:left="1000" w:hanging="327"/>
        <w:spacing w:after="0" w:line="250"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sales and marketing capabilities, whether alone or through a collaboration, to support commercialization of our drug candidates;</w:t>
      </w:r>
    </w:p>
    <w:p>
      <w:pPr>
        <w:ind w:left="1000" w:hanging="32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third-party payors;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Effectively differentiating and competing with other therapies;</w:t>
      </w:r>
    </w:p>
    <w:p>
      <w:pPr>
        <w:spacing w:after="0" w:line="9" w:lineRule="exact"/>
        <w:rPr>
          <w:rFonts w:ascii="Arial" w:cs="Arial" w:eastAsia="Arial" w:hAnsi="Arial"/>
          <w:sz w:val="18"/>
          <w:szCs w:val="18"/>
          <w:color w:val="auto"/>
        </w:rPr>
      </w:pPr>
    </w:p>
    <w:p>
      <w:pPr>
        <w:jc w:val="both"/>
        <w:ind w:left="1000" w:hanging="327"/>
        <w:spacing w:after="0" w:line="250"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competitive prices for any drug candidates that receive regulatory approval that reflect the value that the drug candidates offer in the indications for which they are approved; Obtaining and maintaining healthcare coverage and adequate reimbursement;</w:t>
      </w:r>
    </w:p>
    <w:p>
      <w:pPr>
        <w:spacing w:after="0" w:line="1" w:lineRule="exact"/>
        <w:rPr>
          <w:rFonts w:ascii="Arial" w:cs="Arial" w:eastAsia="Arial" w:hAnsi="Arial"/>
          <w:sz w:val="18"/>
          <w:szCs w:val="18"/>
          <w:color w:val="auto"/>
        </w:rPr>
      </w:pPr>
    </w:p>
    <w:p>
      <w:pPr>
        <w:ind w:left="1000" w:hanging="32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an acceptable safety profile of the drug candidates following approval.</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drug candidates, which would materially harm our business.</w:t>
      </w:r>
    </w:p>
    <w:p>
      <w:pPr>
        <w:spacing w:after="0" w:line="14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 and we may not be able to continue our operations. Even if we are able to develop or receive regulatory approval for or successfully commercialize any of our product candidates, we may not be able to gain market acceptance for our product candidates if healthcare providers and patients do not view the overall safety, tolerability and efficacy profile of our drug candidates favorably.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Once a drug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18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17"/>
          <w:szCs w:val="17"/>
          <w:color w:val="auto"/>
        </w:rPr>
        <w:t>For instance, early clinical results seen with ublituximab (TG-1101) and/or umbralisib (TGR-1202) in a small number of patients may not be reproduced in expanded or larger clinical trials such as in our UNITY-CLL, UNITY-NHL or the ULTIMATE I and II trials. Individually reported outcomes of patients treated in clinical trials may not be representative of the entire population of treated patients in such studies.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 In addition, early clinical trial results from interim analysis or from the review of a Data Safety Monitoring Board (DSMB) or similar safety committee may not be reflective of the safety or efficacy results of the entire study, when completed. Clinical trial results can change over time as additional patients are added to a study or as additional follow-up is conducted, which may result in a material negative impact on the preliminary results. For instance, we recently announced that the Marginal Zone Lymphoma (MZL) and the Follicular Lymphoma (FL) cohorts of the UNITY-NHL study met the primary endpoint of overall response rate (ORR), falling within our target range which was between 40%-50%, and while we believe that the ORR results have the potential to increase over time within this range, or beyond, as patients continue to be followed, no assurance can be given that this will be the case, and the results may ultimately fall at the lower end of the range. Further, time to event based endpoints such as duration of response (DOR) and progression free survival (PFS) have the potential to change, sometimes drastically, with longer follow-up. No assurance can be provided that the ORR, DOR and PFS data from the MZL and FL cohorts of the UNITY-NHL study will be supportive of an FDA approval or will support broad market uptake based on the profile of competitor drugs which may be available. While the MZL and FL cohorts of the UNITY-NHL study met their primary endpoint, each cohort of this study is operated and analyzed independently, and no assurance can be given that other cohorts from the UNITY-NHL study, including the MCL cohort, the DLBCL cohort, or the Small Lymphocytic Lymphoma (SLL) patients enrolled within the FL/SLL cohort will meet their primary endpoint, have a positive outcome, or will be supportive of an FDA filing.</w:t>
      </w:r>
    </w:p>
    <w:p>
      <w:pPr>
        <w:spacing w:after="0" w:line="188"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Many of our Phase 3 and registration-directed clinical trials such as UNITY-CLL, UNITY-NHL and ULTIMATE I and II utilize international clinical research sites, including sites in eastern European countries. We work with what we believe are reputable contract research organizations (CROs) and clinical research sites in conducting our studies internationally. Nevertheless, the risk of fraud, misconduct, incompetence, unexpected patient variability and other issues affecting the quality and the outcome of our Phase 3 and registration-directed studies could arise from U.S. or international sites. If that were to occur, the study could be negatively impacted, potentially even preventing it from being useful for regulatory approval. If such event were to occur, it would have a substantial negative impact on our business.</w:t>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Many of the results reported in our early clinical trials rely on local investigator-assessed safety and efficacy outcomes which may differ from results assessed in a blinded, independent, centrally reviewed manner, often required of adequate and well-controlled registration-directed clinical trials which may be undertaken at a later date. All of our current Phase 3 and registration-directed studies such as UNITY-CLL, UNITY-NHL and the ULTIMATE I and II trials utilize blinded, independent, central review to assess the primary endpoint of such studies. If the results from interim analyses are not consistent with final results or results from our registration-directed trials are different from the results found in the earlier studies of ublituximab and umbralisib, we may need to terminate or revise our clinical development plan, which could extend the time for conducting our development program and could have a material adverse effect on our business. For example, in January 2019, we presented to the FDA, interim results from the MZL cohort of our UNITY-NHL trial that supported the granting of Breakthrough Therapy Designation (BTD). These interim results were also presented at the 2019 American Association of Cancer Research (AACR) annual meeting, 2019 American Society of Clinical Oncology (ASCO) annual meeting, and the 2019 International Conference on Malignant Lymphoma (ICML). In October 2019, we announced that the FL cohort of the UNITY-NHL trial met our target range for overall response rate based on interim preliminary data. No assurance can be given that the final results from the MZL cohort or FL cohort will reflect the activity seen in these interim results, or that the final results will be sufficient to file for accelerated approval for umbralisib for the treatment of MZL and FL, and if filed that umbralisib will receive accelerated approval. Similarly, while early Phase 1 data for umbralisib and ublituximab alone and together looked promising there is no assurance that the UNITY-CLL trial will be positive. Moreover, while we believe one of the key differentiators for umbralisib is its tolerability and side effect profile compared to other drugs in the same class, no assurance can be given that a differentiated safety and tolerability profile will be realized in our Phase 3 or registration-directed trials such as UNITY-CLL or UNITY-NHL. Specifically, we have not yet assessed the final safety data from the MZL or FL cohorts of the UNITY-NHL study as patients continue on therapy, therefore there can be no assurance given that the final safety data, once fully analyzed, will be consistent with prior safety data presented on umbralisib, will be differentiated from other similar agents in the same class, or that it will be favorable enough to support regulatory approval. In addition, no assurance can be given that new toxicities, or an increase in the severity or frequency of previously seen toxicities, will not be observed, which could have a material negative impact on the approvability or marketability of umbralisib or any of our product candidates. Finally, while the Phase 2 data for ublituximab in MS looked promising, no assurance can be given that the safety, tolerability and efficacy profile will carry into Phase 3 and that the ULTIMATE I and II clinical trials will be positive.</w:t>
      </w:r>
    </w:p>
    <w:p>
      <w:pPr>
        <w:spacing w:after="0" w:line="39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In addition to umbralisib and ublituximab, we have a number of compounds in early clinical development, such as cosibelimab, TG-1701 and TG-1801.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umbralisib and/or ublituximab.</w:t>
      </w:r>
    </w:p>
    <w:p>
      <w:pPr>
        <w:spacing w:after="0" w:line="15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drug candidates umbralisib and ublituximab are in several Phase 3 and registration-directed clinical trials such as UNITY-CLL, UNITY-NHL and ULTIMATE I and II. Despite promising early results, as with all clinical trials, the risk of failure for our drug candidates is high. It is impossible to predict when or if any of our drug candidates will prove effective and safe in humans or will receive regulatory approval or will have a differentiated safety and tolerability profile.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Accordingly, our current Phase 3 and registration-directed trials, such as UNITY-CLL, UNITY-NHL and ULTIMATE I and II and future clinical trials may not be successful.</w:t>
      </w:r>
    </w:p>
    <w:p>
      <w:pPr>
        <w:spacing w:after="0" w:line="166"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Successful completion of our clinical trials is a prerequisite to submitting an NDA, or a BLA to the U.S. FDA and a Marketing Authorization Application (MAA), in the European Union for each drug candidate and, consequently, the ultimate approval and commercial marketing of our drug candidates. We do not know whether any of our on-going or future clinical trials for our drug candidates will be completed on schedule, if at all.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Whether or not and how quickly we complete clinical trials depends in part upon the rate at which we are able to engage clinical research/trial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numerous unforeseen events during, or as a result of, any current or future clinical trials that we may conduct that could delay or prevent our ability to receive marketing approval or commercialize our drug candidates, including:</w:t>
      </w:r>
    </w:p>
    <w:p>
      <w:pPr>
        <w:spacing w:after="0" w:line="167" w:lineRule="exact"/>
        <w:rPr>
          <w:sz w:val="20"/>
          <w:szCs w:val="20"/>
          <w:color w:val="auto"/>
        </w:rPr>
      </w:pPr>
    </w:p>
    <w:p>
      <w:pPr>
        <w:ind w:left="1000" w:hanging="327"/>
        <w:spacing w:after="0" w:line="258"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1" w:lineRule="exact"/>
        <w:rPr>
          <w:rFonts w:ascii="Arial" w:cs="Arial" w:eastAsia="Arial" w:hAnsi="Arial"/>
          <w:sz w:val="18"/>
          <w:szCs w:val="18"/>
          <w:color w:val="auto"/>
        </w:rPr>
      </w:pPr>
    </w:p>
    <w:p>
      <w:pPr>
        <w:ind w:left="1000" w:hanging="327"/>
        <w:spacing w:after="0" w:line="250"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health authorities or institutional review boards (IRBs), or ethics committees may not authorize us or our investigators to commence a clinical trial or conduct a clinical trial at a prospective trial site or country;</w:t>
      </w:r>
    </w:p>
    <w:p>
      <w:pPr>
        <w:jc w:val="both"/>
        <w:ind w:left="1000" w:hanging="327"/>
        <w:spacing w:after="0" w:line="250"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spacing w:after="0" w:line="1" w:lineRule="exact"/>
        <w:rPr>
          <w:rFonts w:ascii="Arial" w:cs="Arial" w:eastAsia="Arial" w:hAnsi="Arial"/>
          <w:sz w:val="18"/>
          <w:szCs w:val="18"/>
          <w:color w:val="auto"/>
        </w:rPr>
      </w:pPr>
    </w:p>
    <w:p>
      <w:pPr>
        <w:ind w:left="1000" w:hanging="327"/>
        <w:spacing w:after="0" w:line="281"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clinical trials of our drug candidates may produce negative or inconclusive results, and we may decide, or health authorities may require us, to conduct additional pre-clinical studies or clinical trials or we may decide to abandon drug development programs;</w:t>
      </w:r>
    </w:p>
    <w:p>
      <w:pPr>
        <w:spacing w:after="0" w:line="1" w:lineRule="exact"/>
        <w:rPr>
          <w:rFonts w:ascii="Arial" w:cs="Arial" w:eastAsia="Arial" w:hAnsi="Arial"/>
          <w:sz w:val="16"/>
          <w:szCs w:val="16"/>
          <w:color w:val="auto"/>
        </w:rPr>
      </w:pPr>
    </w:p>
    <w:p>
      <w:pPr>
        <w:jc w:val="both"/>
        <w:ind w:left="1000" w:hanging="327"/>
        <w:spacing w:after="0" w:line="250"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spacing w:after="0" w:line="1" w:lineRule="exact"/>
        <w:rPr>
          <w:rFonts w:ascii="Arial" w:cs="Arial" w:eastAsia="Arial" w:hAnsi="Arial"/>
          <w:sz w:val="18"/>
          <w:szCs w:val="18"/>
          <w:color w:val="auto"/>
        </w:rPr>
      </w:pPr>
    </w:p>
    <w:p>
      <w:pPr>
        <w:jc w:val="both"/>
        <w:ind w:left="1000" w:hanging="327"/>
        <w:spacing w:after="0" w:line="250"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Arial" w:cs="Arial" w:eastAsia="Arial" w:hAnsi="Arial"/>
          <w:sz w:val="18"/>
          <w:szCs w:val="18"/>
          <w:color w:val="auto"/>
        </w:rPr>
      </w:pPr>
    </w:p>
    <w:p>
      <w:pPr>
        <w:jc w:val="both"/>
        <w:ind w:left="1000" w:hanging="327"/>
        <w:spacing w:after="0" w:line="250"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elect to, or health authorities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Arial" w:cs="Arial" w:eastAsia="Arial" w:hAnsi="Arial"/>
          <w:sz w:val="18"/>
          <w:szCs w:val="18"/>
          <w:color w:val="auto"/>
        </w:rPr>
      </w:pPr>
    </w:p>
    <w:p>
      <w:pPr>
        <w:ind w:left="1000" w:hanging="32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9" w:lineRule="exact"/>
        <w:rPr>
          <w:rFonts w:ascii="Arial" w:cs="Arial" w:eastAsia="Arial" w:hAnsi="Arial"/>
          <w:sz w:val="18"/>
          <w:szCs w:val="18"/>
          <w:color w:val="auto"/>
        </w:rPr>
      </w:pPr>
    </w:p>
    <w:p>
      <w:pPr>
        <w:jc w:val="both"/>
        <w:ind w:left="1000" w:hanging="327"/>
        <w:spacing w:after="0" w:line="281"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supply or quality of our drug candidates or other materials necessary to conduct clinical trials of our drug candidates may be insufficient or inadequate, including, without limitation, as a result of disruptions to our supply chains caused by the Coronavirus (COVID-19) and related work stoppages across China, South Korea, and potentially other parts of the world; and</w:t>
      </w:r>
    </w:p>
    <w:p>
      <w:pPr>
        <w:spacing w:after="0" w:line="2" w:lineRule="exact"/>
        <w:rPr>
          <w:rFonts w:ascii="Arial" w:cs="Arial" w:eastAsia="Arial" w:hAnsi="Arial"/>
          <w:sz w:val="16"/>
          <w:szCs w:val="16"/>
          <w:color w:val="auto"/>
        </w:rPr>
      </w:pPr>
    </w:p>
    <w:p>
      <w:pPr>
        <w:jc w:val="both"/>
        <w:ind w:left="1000" w:hanging="327"/>
        <w:spacing w:after="0" w:line="277"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drug candidates may have undesirable side effects or other unexpected characteristics, causing us or our investigators, health authorities, IRBs or ethics committees to suspend or terminate the trials, or reports may arise from pre-clinical or clinical testing of other cancer therapies that raise safety or efficacy concerns about our drug candidates.</w:t>
      </w:r>
    </w:p>
    <w:p>
      <w:pPr>
        <w:spacing w:after="0" w:line="17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the DSMB for such trial or by the FDA or other regulatory authorities. Such health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The DSMBs for the UNITY-CLL and UNITY-NHL studies meet regularly to review ongoing safety from these studies, in an unblinded manner if applicable, and may recommend modification to the study design or closure of the study entirely based on their interpretation of the benefit/risk of the study. While we develop charters that guide the nature of the DSMBs meetings, their analysis and interpretation of study data occurs independently from us and is wholly within their control. Even if the DSMB finds no safety concerns and recommends no modifications to our ongoing studies, this does not mean the safety profile of these studies may support a marketing approval or commercial acceptance if marketing approval is granted.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 This could happen even for a protocol that has received a Special Protocol Assessment (SPA). In September 2015, we announced a Phase 3 clinical trial for the combination of ublituximab plus umbralisib for patients with chronic lymphocytic leukemia (CLL), which is being conducted pursuant to an SPA with the FDA and in August 2017 we announced an SPA for our registration program for ublituximab in RMS. Many companies which have been granted SPAs have ultimately failed to obtain final approval to market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their drugs. Since we are seeking approvals under SPAs for some of our product registration strategies, based on protocol designs negotiated with the FDA, we may be subject to enhanced scrutiny. Further, while changes or amendments to protocols are common during conduct of a clinical trial, protocol changes or amendments to a study that is being conducted under SPA will have to be reviewed and approved by the FDA to verify that the SPA agreement is still valid. The FDAs willingness to agree to changes or amendments to a protocol or statistical analysis plan under SPA agreement is wholly within their discretion. Such re-reviews also provide an opportunity for the FDA to scrutinize any aspect of the study design and conduct, even if previously agreed to under the existing SPA. Failure to reach agreement with the FDA for routine protocol changes or modifications for any study we conduct under SPA could have a material negative impact to our ability to execute these studies. Even if the primary endpoint in a Phase 3 clinical trial is achieved, a SPA does not guarantee approval. While UNITY-CLL is being operated in a blinded manner, it is an open label study; meaning that trial participants, investigators, site staff, some employees of our contract research organizations, and our field level employees (e.g., clinical research associates and monitors), among others, have knowledge of treatment arm assignments on a patient-level, which has the potential to introduce bias into study conduct. Further, while the ULTIMATE 1 and 2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prior to making its final decision.</w:t>
      </w:r>
    </w:p>
    <w:p>
      <w:pPr>
        <w:spacing w:after="0" w:line="19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Negative or inconclusive results from the clinical trials we conduct or unanticipated adverse medical events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71" w:lineRule="exact"/>
        <w:rPr>
          <w:sz w:val="20"/>
          <w:szCs w:val="20"/>
          <w:color w:val="auto"/>
        </w:rPr>
      </w:pPr>
    </w:p>
    <w:p>
      <w:pPr>
        <w:ind w:left="1000" w:hanging="32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23" w:lineRule="exact"/>
        <w:rPr>
          <w:rFonts w:ascii="Arial" w:cs="Arial" w:eastAsia="Arial" w:hAnsi="Arial"/>
          <w:sz w:val="18"/>
          <w:szCs w:val="18"/>
          <w:color w:val="auto"/>
        </w:rPr>
      </w:pPr>
    </w:p>
    <w:p>
      <w:pPr>
        <w:ind w:left="1000" w:hanging="32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Our drug development costs will also increase if we experience delays in testing or regulatory approvals. We may also incur additional costs if enrollment is increased. All of our current Phase 3 and registration-directed clinical trials, such as UNITY-CLL, UNITY-NHL and ULTIMATE I and II enrolled a larger number of patients than our initial projections, adding significant costs to those studies over and above what had been projected. We do not know whether any of our clinical trials will begin as planned, will need to be restructured or will be completed on schedule, or at all. Certain clinical trials are designed to continue until a pre-determined number of events have occurred in the patients enrolled. Trials such as this are subject to delays stemming from patient withdrawal and from lower than expected event rates. UNITY-CLL is an event-driven study, which means the study can only end when a certain pre-specified number of events have occurred. In the case of UNITY-CLL, an event is defined as disease progression or death. Given that these events cannot be predicted with certainty, predicting accurately when this study will reach a sufficient number of events is impossible. We have stated we believe the number of events to conduct an efficacy analysis can be reached by the end of the first quarter of 2020 or at some point in 2020 but there can be no assurance that this will occur and timelines for this analysis and for the completion of this study should not be relied upon given this inherent uncertainty. Delays beyond the first quarter of 2020 could have a material and adverse impact on the Company. Significant clinical trial delays also could shorten any periods during which we may have the exclusive right to commercialize our drug candidates or allow our competitors to bring products to market before we do and impair our ability to successfully commercialize our drug candidates. Any delays in our pre-clinical or future clinical development programs may harm our business, financial condition and prospects significantly.</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sufficiency of our clinical trial results for accelerated approval are subject to the FDA’s discretion.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and will continue to explore strategies for ublituximab and/or umbralisib that involve use of the FDA’s accelerated approval pathway. Obtaining accelerated approval for an agent requires demonstration of meaningful benefit over all available therapies for a serious condition. While we believe we have an understanding of what is considered available therapy today, ultimately the determination of what constitutes available therapy is wholly up to the FDA and is subject to change. No assurance can be given that other agents will not receive full approval prior to our potential receipt of accelerated approval. If that were to occur, no assurance can be given that we would be successful in proving meaningful benefit over those later approved drugs. If we were unable to prove meaningful benefit over any such agents, we would be effectively blocked from receiving accelerated approval. We announced that we are planning to file the results from the MZL and FL cohorts from our UNITY-NHL trial for accelerated approval. No assurance can be given that umbralisib will obtain accelerated approval for either MZL or FL for a variety of reasons, including, without limitation, if we are unable to demonstrate meaningful benefit over a currently approved agent/regimen or any new treatment, if any, that receives full approval prior to our potential receipt of accelerated approval. Previously, we were hopeful to utilize the results from our GENUINE study for accelerated approval but the intervening full approval of a new therapy for the treatment of relapsed/refractory CLL has made that potential application more challenging. In October 2019, we announced that final results from the GENUINE study demonstrated improved progression-free survival for the combination arm compared to ibrutinib alone. Despite this positive outcome, no assurance can be given that a filing based on the GENUINE results will ever be made, or if made would result in a favorable review by regulatory authorities.</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Finally, if any of our drugs were ever to receive accelerated approval, we would be required to conduct a post-market confirmatory study, which we may not complete, or if completed, may prove unsuccessful. In such instance, the FDA can remove the product from the market.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Unacceptable or undesirable adverse events caused by any of our product candidates that we take into clinical trials could cause either us,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Any of these occurrences may harm our business, financial condition and prospects significantly.</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Many compounds that initially showed promise in early 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severe side effects of our drug candidates may only be uncovered with a significantly larger number of patients exposed to the drug candidate in Phase 3 or registration-directed trials and on the market.</w:t>
      </w:r>
    </w:p>
    <w:p>
      <w:pPr>
        <w:spacing w:after="0" w:line="15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currently running our Phase 3 and registration-directed trials, such as UNITY-CLL, UNITY-NHL and ULTIMATE I and II and have not completed testing of any of our product candidates for the treatment of the indications for which we intend to seek product approval in humans, and we currently do not know the extent that the adverse events, if any, will be observed in patients who receive any of our product candidates. To date, clinical trials using ublituximab and umbralisib have demonstrated a toxicity profile that was deemed acceptable by the investigators performing such studies. Such interpretation may not be shared by future investigators or by the health authorities and in the case of ublituximab and umbralisib, even if deemed acceptable for oncology and/or autoimmune indications, it may not be acceptable for diseases outside the oncology and autoimmune settings, and likewise for any other product candidates we may develop. Additionally, the severity, duration and incidence of adverse events may increase in larger study populations such as found in our on-going Phase 3 and registration-directed trials. Particularly, with respect to umbralisib, although over 1,500 patients have been dosed in umbralisib studies to date, the full adverse effect profile of umbralisib is not known. As additional patients are exposed for longer durations to umbralisib, it is unknown whether greater frequency and/or severity of adverse events are likely to occur. Common toxicities of other drugs in the same class as umbralisib include high levels of liver toxicity, infections and colitis, the latter of which notably has presented with later onset, with</w:t>
      </w:r>
    </w:p>
    <w:p>
      <w:pPr>
        <w:sectPr>
          <w:pgSz w:w="11900" w:h="16838" w:orient="portrait"/>
          <w:cols w:equalWidth="0" w:num="1">
            <w:col w:w="10380"/>
          </w:cols>
          <w:pgMar w:left="760" w:top="517" w:right="75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372745</wp:posOffset>
            </wp:positionV>
            <wp:extent cx="659511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incidence increasing with duration of exposure. No assurance can be given that an acceptable safety and tolerability profile for umbralisib will continue to be demonstrated in the future with longer durations of exposure, at the fixed 800mg dose being evaluated in our registration-directed trials and in multiple drug combinations.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Additionally, in drug-combination clinical development, there is an inherent risk of drug-drug interactions between combination agents which may affect each component’s individual pharmacologic properties and the overall efficacy and safety of the combination regimen. Both ublituximab and umbralisib are being evaluated in combination with each other, as well as with a variety of other active anti-cancer agents, which may cause unforeseen toxicity, or impact the severity, duration, and incidence of adverse events observed compared to those seen in the single agent studies of these agents. We also intend to explore multiple combination studies involving cosibelimab, TG-1701, and TG-1801.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our drug candidates receive marketing approval and we or others later identify undesirable or unacceptable side effects caused by such drug candidates (or any other similar drugs) after such approval, a number of potentially significant negative consequences could result, including:</w:t>
      </w:r>
    </w:p>
    <w:p>
      <w:pPr>
        <w:spacing w:after="0" w:line="181" w:lineRule="exact"/>
        <w:rPr>
          <w:sz w:val="20"/>
          <w:szCs w:val="20"/>
          <w:color w:val="auto"/>
        </w:rPr>
      </w:pPr>
    </w:p>
    <w:p>
      <w:pPr>
        <w:ind w:left="1000" w:hanging="32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 candidates;</w:t>
      </w:r>
    </w:p>
    <w:p>
      <w:pPr>
        <w:spacing w:after="0" w:line="23" w:lineRule="exact"/>
        <w:rPr>
          <w:rFonts w:ascii="Arial" w:cs="Arial" w:eastAsia="Arial" w:hAnsi="Arial"/>
          <w:sz w:val="18"/>
          <w:szCs w:val="18"/>
          <w:color w:val="auto"/>
        </w:rPr>
      </w:pPr>
    </w:p>
    <w:p>
      <w:pPr>
        <w:ind w:left="1000" w:hanging="32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1000" w:hanging="327"/>
        <w:spacing w:after="0" w:line="265"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including warnings, contra-indications, or precautions, that could diminish the usage of the product or otherwise limit the commercial success of the affected product;</w:t>
      </w:r>
    </w:p>
    <w:p>
      <w:pPr>
        <w:ind w:left="1000" w:hanging="32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9" w:lineRule="exact"/>
        <w:rPr>
          <w:rFonts w:ascii="Arial" w:cs="Arial" w:eastAsia="Arial" w:hAnsi="Arial"/>
          <w:sz w:val="18"/>
          <w:szCs w:val="18"/>
          <w:color w:val="auto"/>
        </w:rPr>
      </w:pPr>
    </w:p>
    <w:p>
      <w:pPr>
        <w:ind w:left="1000" w:hanging="327"/>
        <w:spacing w:after="0" w:line="250"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or to conduct additional clinical trials;</w:t>
      </w:r>
    </w:p>
    <w:p>
      <w:pPr>
        <w:jc w:val="both"/>
        <w:ind w:left="1000" w:hanging="327"/>
        <w:spacing w:after="0" w:line="250"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p>
      <w:pPr>
        <w:spacing w:after="0" w:line="1" w:lineRule="exact"/>
        <w:rPr>
          <w:rFonts w:ascii="Arial" w:cs="Arial" w:eastAsia="Arial" w:hAnsi="Arial"/>
          <w:sz w:val="18"/>
          <w:szCs w:val="18"/>
          <w:color w:val="auto"/>
        </w:rPr>
      </w:pPr>
    </w:p>
    <w:p>
      <w:pPr>
        <w:ind w:left="1000" w:hanging="32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 candidates; and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In the United States, we are not permitted to market a product candidate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 warning, could significantly impact our ability to successfully market our product candidates. Finally, the FDA may require adoption of a REMS requiring prescriber training, post-market registries, or otherwise restricting the marketing and dissemination of these products. Despite the time and expense invested in the clinical development of product candidates, regulatory approval is never guaranteed. Assuming successful clinical development, we intend to seek product approvals in countries outside the United States. As a result, we would be subject to regulation by the EMA, as well as the other regulatory agencies in these countries.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193" w:lineRule="exact"/>
        <w:rPr>
          <w:sz w:val="20"/>
          <w:szCs w:val="20"/>
          <w:color w:val="auto"/>
        </w:rPr>
      </w:pPr>
    </w:p>
    <w:p>
      <w:pPr>
        <w:ind w:left="1000" w:hanging="327"/>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design or implementation of our clinical trials;</w:t>
      </w:r>
    </w:p>
    <w:p>
      <w:pPr>
        <w:spacing w:after="0" w:line="34" w:lineRule="exact"/>
        <w:rPr>
          <w:rFonts w:ascii="Arial" w:cs="Arial" w:eastAsia="Arial" w:hAnsi="Arial"/>
          <w:sz w:val="17"/>
          <w:szCs w:val="17"/>
          <w:color w:val="auto"/>
        </w:rPr>
      </w:pPr>
    </w:p>
    <w:p>
      <w:pPr>
        <w:ind w:left="1000" w:hanging="327"/>
        <w:spacing w:after="0" w:line="250"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 indication;</w:t>
      </w:r>
    </w:p>
    <w:p>
      <w:pPr>
        <w:ind w:left="1000" w:hanging="327"/>
        <w:spacing w:after="0" w:line="250"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may not accept clinical data from trials conducted by individual investigators or in countries where the standard of care is potentially different from the United States;</w:t>
      </w:r>
    </w:p>
    <w:p>
      <w:pPr>
        <w:ind w:left="1000" w:hanging="327"/>
        <w:spacing w:after="0" w:line="250"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000" w:hanging="32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1000" w:hanging="327"/>
        <w:spacing w:after="0" w:line="250"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1000" w:hanging="327"/>
        <w:spacing w:after="0" w:line="250"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jc w:val="both"/>
        <w:ind w:left="1000" w:hanging="327"/>
        <w:spacing w:after="0" w:line="250"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 or</w:t>
      </w:r>
    </w:p>
    <w:p>
      <w:pPr>
        <w:spacing w:after="0" w:line="1" w:lineRule="exact"/>
        <w:rPr>
          <w:rFonts w:ascii="Arial" w:cs="Arial" w:eastAsia="Arial" w:hAnsi="Arial"/>
          <w:sz w:val="18"/>
          <w:szCs w:val="18"/>
          <w:color w:val="auto"/>
        </w:rPr>
      </w:pPr>
    </w:p>
    <w:p>
      <w:pPr>
        <w:ind w:left="1000" w:hanging="327"/>
        <w:spacing w:after="0" w:line="261"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raising questions about the safety of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including umbralisib for the treatment of adult patients with relapsed or refractory Marginal Zone Lymphoma who have received at least one prior treatment including an anti-CD20 monoclonal antibody, may not lead to a faster development or regulatory review or approval process, and it does not ensure that our drug candidates will receive marketing approval.</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January 2019, the FDA granted breakthrough therapy designation (also referred to as BTD) to umbralisib for the treatment of adult patients with relapsed or refractory MZL who have received at least one prior treatment including an anti-CD20 monoclonal antibody. We may also seek breakthrough therapy designation for some of our other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Our breakthrough therapy designation was based on interim data from the MZL cohort of the UNITY-NHL clinical trial. No assurance can be given that the full results from the MZL cohort of the UNITY-NHL clinical trial will support accelerated approval.</w:t>
      </w:r>
    </w:p>
    <w:p>
      <w:pPr>
        <w:spacing w:after="0" w:line="179"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6"/>
          <w:szCs w:val="16"/>
          <w:color w:val="auto"/>
        </w:rPr>
        <w:t>For drugs that have been designated as breakthrough therapies, interaction and communication between the FDA and the sponsor of the trial can help to identify the most efficient path for clinical development while minimizing the number of patients who may be placed in potentially less effective control regimens. Drugs designated as breakthrough therapies by the FDA are also eligible for accelerated approval. Designation as a breakthrough therapy is wholly within the discretion of the FDA. Accordingly, even if we believe one of our drug candidates meets the criteria for designation as a breakthrough therapy, the FDA may disagree and instead determine not to grant such designation to the drug candidate.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 and rescind the designation.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fast track designation by the FDA may not actually lead to a faster development or regulatory review or approval process.</w:t>
      </w:r>
    </w:p>
    <w:p>
      <w:pPr>
        <w:spacing w:after="0" w:line="23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We may seek fast track designation for some of our other drug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receive fast track designation for our other drug candidates,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8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While we have received orphan drug designation for umbralisib and ublituximab for specified indications, we may seek additional orphan drug designation for those and some of our other drug candidates. However, we may be unsuccessful in obtaining or may be unable to maintain the benefits associated with orphan drug designation, including the potential for market exclusivity.</w:t>
      </w:r>
    </w:p>
    <w:p>
      <w:pPr>
        <w:spacing w:after="0" w:line="14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7"/>
          <w:szCs w:val="17"/>
          <w:color w:val="auto"/>
        </w:rPr>
        <w:t>Ublituximab received orphan drug designation from the FDA for the treatment of MZL (nodal and extranodal) in September 2013, for the treatment of CLL in August of 2010, and orphan-drug designation by the EMA for the treatment of CLL in November of 2009. We also obtained orphan drug designation for umbralisib as monotherapy for the treatment of CLL in August 2016 and all three types of MZL (nodal, extranodal and splenic) in April 2019, and in January 2017, we announced that the FDA granted orphan drug designation covering the combination of ublituximab and umbralisib for the treatment of patients with CLL and DLBCL. As part of our business strategy, we may seek orphan drug designation for our other drug candidates, and we may be unsuccessful. Regulatory authorities in some jurisdictions, including the United States and the European Union,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additional orphan drug designation for our other drug candidates, we may never receive such designations. Even if we receive orphan drug designation for any of our drug candidates, there is no guarantee that we will enjoy the benefits of those designations.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approval of one of our product candidates in the United States would not assure approval of that candidate in foreign jurisdictions.</w:t>
      </w:r>
    </w:p>
    <w:p>
      <w:pPr>
        <w:spacing w:after="0" w:line="24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may require additional evidence for approval. In many countries outside the United States, the product must be approved for reimbursement before it can be marketed. As a general matter, however, the foreign regulatory approval process involves risks similar or identical to the risks associated with FDA approval discussed above. Therefore, we cannot guarantee that we, or future collaborators, will obtain approvals of our product candidates in any foreign jurisdiction on a timely basis, if at all. Failure to receive approval in certain foreign markets could significantly impact the full market potential of our product candidates. Furthermore, if we obtain regulatory approval for a product candidate in a foreign jurisdiction, we will be subject to the burden of complying with complex regulatory, legal, and other requirements that could be costly and could subject us to additional risks and uncertainties.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site additions, scale-up and process improvements implemented in the production of those product candidates may affect their ultimate activity or function.</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product candidates are in the initial stages of development and are currently manufactured in relatively small batches for use in pre-clinical and clinical studies. Process improvements implemented to date have changed, and process improvements in the future may change, the activity and/or analytical profile of the product candidates, which may affect the safety and efficacy of the products. For instance, the manufacturing process for ublituximab has undergone several process improvements during the clinical trial process which have resulted in analytical differences between the materials. Such process improvements continued during the conduct of Phase 3 and materials from more than one manufacturing process were utilized in the Phase 3 UNITY-CLL trial. While analytical differences exist between those materials, we do not believe the differences will alter the safety or efficacy profile of ublituximab. However,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Additionally, the efficacy of ublituximab also can be negatively impacted by such process changes. Given the uncertainty of the impact on product specifications, quality and performance, process improvements made during Phase 3 development carry a higher level of risk than those made prior to Phase 3 development. If there are significant differences in product attributes between the two materials, we may need to adjust our statistical analysis plans of the Phase 3 study to confirm that there is no difference in safety or efficacy between product made by each process in order to allow us to utilize data from all enrolled patients, as well as be able to integrate clinical safety and/or efficacy results across studies to support any potential marketing application. There can be no assurance given that such analyses will be successful in demonstrating no clinical differences between these drug products, which could substantially impact the approvability of the U2 combination based on the results of the UNITY-CLL study. In such circumstances, that would have a material adverse effect on the Company.</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no assurance can be given that the material manufactured from any future optimized processes, if any, for ublituximab or any of our product candidates will perform comparably to the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we have engaged a secondary manufacturer for ublituximab to meet our current clinical and future commercial needs and anticipate engaging additional manufacturing sources for umbralisib to meet expanded clinical trial and commercial needs. If a secondary manufacturer is not successful in replicating the product or experiences delays, or if regulatory authorities impose unforeseen requirements with respect to product comparability from multiple manufacturing sources, we may experience delays in clinical development. No assurance can be given that any additional manufacturers will be successful or that material manufactured by the additional manufacturers will perform comparably to ublituximab or umbralisib as manufactured to date and used in currently available pre-clinical data and or in clinical trials presented publicly or reported in this or any previous filing, or that the relevant regulatory agencies will agree with our interpretation of comparability.</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as we move closer to commercialization for ublituximab and umbralisib we will need to scale-up production to ensure adequate commercial supply. We are currently in the process of scaling up ublituximab. This is an expensive process and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 If scale-up were not to succeed our ability to supply our anticipated market at a reasonable cost of goods would be negatively impacted. In such event, that would have a material adverse effect on the Company. Scale up could also require additional process improvement that might be required to accommodate new and larger equipment utilized in the scaled-up process. If that were to occur and we could not demonstrate to the FDA that the materials were analytically substantially similar, we might be required to run additional clinical testing to demonstrate that they are substantially similar. That would entail a significant delay and significant increase in total cost, all of which would have a material adverse effect on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precise incidence and/or prevalence of CLL, relapsed/refractory MZL, relapsed/refractory FL and multiple sclerosis (MS)are unknown. Our projections of both the number of people who are affected by disease within our target indications, as well as the subset of these people who have the potential to benefit from treatment with our product candidates, are based on our beliefs and estimates. Our beliefs are typically based on one on one and group interactions with target physicians and our estimates have been derived from a variety of sources, including the scientific literature, healthcare utilization databases and market research, and may prove to be incorrect. Further, new studies may change the estimated incidence or prevalence of these diseases.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total addressable market opportunity for umbralisib and ublituximab for the treatment of patients with CLL, MZL, FL and MS will ultimately depend upon, among other things, the final label indication, approval for sale for these indications, acceptance by the medical community, patient access,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or patients and physicians may choose to utilize competitive products, all of which would adversely affect our results of operations and our business.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substantial competition for treatments for our target indications, which may result in others commercializing drugs before or more successfully than we do resulting in the reduction or elimination of our commercial opportunity.</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drugs that are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cancer indications for which we are developing our products there are a number of established therapies with which we will compete:</w:t>
      </w:r>
    </w:p>
    <w:p>
      <w:pPr>
        <w:spacing w:after="0" w:line="170" w:lineRule="exact"/>
        <w:rPr>
          <w:sz w:val="20"/>
          <w:szCs w:val="20"/>
          <w:color w:val="auto"/>
        </w:rPr>
      </w:pPr>
    </w:p>
    <w:p>
      <w:pPr>
        <w:jc w:val="both"/>
        <w:ind w:left="1000" w:hanging="327"/>
        <w:spacing w:after="0" w:line="285"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the treatment of CLL, if U2 is approved, we expect U2 to compete with recently approved drugs such as ibrutinib (AbbVie and Janssen), venetoclax (AbbVie and Roche), obinutuzumab (Roche), idelalisib (Gilead) and duvelisib (Verastem), and established treatments such as rituximab (Roche), and several generically available chemotherapies. Additionally, there are two second generation BTK inhibitors similar to ibrutinib in late-stage clinical testing for CLL that could enter the market in the next 12-36 months. Each of these agents can be used as monotherapy or in combination with one or more of the other agents.</w:t>
      </w:r>
    </w:p>
    <w:p>
      <w:pPr>
        <w:spacing w:after="0" w:line="2" w:lineRule="exact"/>
        <w:rPr>
          <w:rFonts w:ascii="Arial" w:cs="Arial" w:eastAsia="Arial" w:hAnsi="Arial"/>
          <w:sz w:val="16"/>
          <w:szCs w:val="16"/>
          <w:color w:val="auto"/>
        </w:rPr>
      </w:pPr>
    </w:p>
    <w:p>
      <w:pPr>
        <w:jc w:val="both"/>
        <w:ind w:left="1000" w:hanging="327"/>
        <w:spacing w:after="0" w:line="250"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treatment of Marginal Zone Lymphoma, if approved, we expect umbralisib to compete with ibrutinib (AbbVie and Janssen) and established treatments such as rituximab and several generically available chemotherapies. Additionally, in May 2019, the FDA approved the combination of rituximab and lenalidomide (Bristol-Myers) for the treatment of previously treated MZL.</w:t>
      </w:r>
    </w:p>
    <w:p>
      <w:pPr>
        <w:spacing w:after="0" w:line="1" w:lineRule="exact"/>
        <w:rPr>
          <w:rFonts w:ascii="Arial" w:cs="Arial" w:eastAsia="Arial" w:hAnsi="Arial"/>
          <w:sz w:val="18"/>
          <w:szCs w:val="18"/>
          <w:color w:val="auto"/>
        </w:rPr>
      </w:pPr>
    </w:p>
    <w:p>
      <w:pPr>
        <w:jc w:val="both"/>
        <w:ind w:left="1000" w:hanging="327"/>
        <w:spacing w:after="0" w:line="250"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treatment of Follicular Lymphoma, if approved, we expect umbralisib to compete with recently approved drugs such as obinutuzumab (Roche), idelalisib (Gilead), copanlisib (Bayer), and duvelisib (Verastem), and established treatments such as rituximab (Roche), and several generically available chemotherapies. Each of these agents can be used as monotherapy or in combination with one or more of the other agents. In addition, in May 2019, the FDA approved the combination of rituximab and lenalidomide (Bristol-Myers) for the treatment of previously treated FL. There are also several PI3K delta inhibitors in earlier stages of development.</w:t>
      </w:r>
    </w:p>
    <w:p>
      <w:pPr>
        <w:spacing w:after="0" w:line="2" w:lineRule="exact"/>
        <w:rPr>
          <w:rFonts w:ascii="Arial" w:cs="Arial" w:eastAsia="Arial" w:hAnsi="Arial"/>
          <w:sz w:val="18"/>
          <w:szCs w:val="18"/>
          <w:color w:val="auto"/>
        </w:rPr>
      </w:pPr>
    </w:p>
    <w:p>
      <w:pPr>
        <w:jc w:val="both"/>
        <w:ind w:left="1000" w:hanging="327"/>
        <w:spacing w:after="0" w:line="255"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addition, a number of pharmaceutical companies are developing antibodies and bispecific antibodies targeting CD20, CD19, CD47 and other B-cell associated targets, chimeric antigen receptor T-cell (CAR-T) immunotherapy, and other B-cell ablative therapy which, if approved, would potentially compete with U2 and umbralisib.</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Multiple Sclerosis for which we are developing ublituximab there are a number of established therapies with which we will compete:</w:t>
      </w:r>
    </w:p>
    <w:p>
      <w:pPr>
        <w:spacing w:after="0" w:line="170" w:lineRule="exact"/>
        <w:rPr>
          <w:sz w:val="20"/>
          <w:szCs w:val="20"/>
          <w:color w:val="auto"/>
        </w:rPr>
      </w:pPr>
    </w:p>
    <w:p>
      <w:pPr>
        <w:jc w:val="both"/>
        <w:ind w:left="1000" w:hanging="327"/>
        <w:spacing w:after="0" w:line="259"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ublituximab is approved, we expect ublituximab will primarily compete against other CD20 targeted agents, while the group of CD20 targeted agents will also compete broadly against a number of already approved MS therapies. Currently, there is one anti-CD20 monoclonal antibody approved, ocrelizumab (Roche), and another in Phase 3 development, ofatumumab (Novartis), which is expected to enter the market in the next 12-24 months.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Cosibelimab, TG-1701 and TG-1801 if approved will also face competition from drugs on the market and under development in the same therapeutic class as each of those drugs.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New developments, including the development of other pharmaceutical technologies and methods of treating disease, occur in the pharmaceutical and life sciences industries at a rapid pace. These developments may render our product candidates obsolete or noncompetitive. Compared to us, many of our potential competitors have substantially greater:</w:t>
      </w:r>
    </w:p>
    <w:p>
      <w:pPr>
        <w:spacing w:after="0" w:line="181" w:lineRule="exact"/>
        <w:rPr>
          <w:sz w:val="20"/>
          <w:szCs w:val="20"/>
          <w:color w:val="auto"/>
        </w:rPr>
      </w:pPr>
    </w:p>
    <w:p>
      <w:pPr>
        <w:ind w:left="1000" w:hanging="32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3" w:lineRule="exact"/>
        <w:rPr>
          <w:rFonts w:ascii="Arial" w:cs="Arial" w:eastAsia="Arial" w:hAnsi="Arial"/>
          <w:sz w:val="18"/>
          <w:szCs w:val="18"/>
          <w:color w:val="auto"/>
        </w:rPr>
      </w:pPr>
    </w:p>
    <w:p>
      <w:pPr>
        <w:ind w:left="1000" w:hanging="32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patient registration for clinical trials, and in identifying and in-licensing new product candidates.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face an inherent risk of product liability exposure related to the testing of our drug candidates in human clinical trials and use of our drug candidates through compassionate use programs in the event we establish such programs, and we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54" w:lineRule="exact"/>
        <w:rPr>
          <w:sz w:val="20"/>
          <w:szCs w:val="20"/>
          <w:color w:val="auto"/>
        </w:rPr>
      </w:pPr>
    </w:p>
    <w:p>
      <w:pPr>
        <w:ind w:left="1000" w:hanging="32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23" w:lineRule="exact"/>
        <w:rPr>
          <w:rFonts w:ascii="Arial" w:cs="Arial" w:eastAsia="Arial" w:hAnsi="Arial"/>
          <w:sz w:val="18"/>
          <w:szCs w:val="18"/>
          <w:color w:val="auto"/>
        </w:rPr>
      </w:pPr>
    </w:p>
    <w:p>
      <w:pPr>
        <w:ind w:left="1000" w:hanging="32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We anticipate that we will need to increase our insurance coverage if we successfully commercialize any drug candidate. Insurance coverage is increasingly expensive. We may not be able to maintain insurance coverage at a reasonable cost or in an amount adequate to satisfy any liability that may arise.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Even if our product candidates receive regulatory approval, they may not gain market acceptance among physicians, patients, healthcare payors, and the medical community. Commercial success also will depend, in large part, on the coverage and reimbursement of our product candidates by third-party payors, including private insurance providers and government payors. The degree of market acceptance of any approved product would depend on a number of factors, including:</w:t>
      </w:r>
    </w:p>
    <w:p>
      <w:pPr>
        <w:spacing w:after="0" w:line="187" w:lineRule="exact"/>
        <w:rPr>
          <w:sz w:val="20"/>
          <w:szCs w:val="20"/>
          <w:color w:val="auto"/>
        </w:rPr>
      </w:pPr>
    </w:p>
    <w:p>
      <w:pPr>
        <w:ind w:left="1000" w:hanging="32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efficacy, safety and tolerability as demonstrated in clinical trials;</w:t>
      </w:r>
    </w:p>
    <w:p>
      <w:pPr>
        <w:spacing w:after="0" w:line="23" w:lineRule="exact"/>
        <w:rPr>
          <w:rFonts w:ascii="Arial" w:cs="Arial" w:eastAsia="Arial" w:hAnsi="Arial"/>
          <w:sz w:val="18"/>
          <w:szCs w:val="18"/>
          <w:color w:val="auto"/>
        </w:rPr>
      </w:pPr>
    </w:p>
    <w:p>
      <w:pPr>
        <w:ind w:left="1000" w:hanging="32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acceptance by physicians, major operators of cancer clinics and patients of the product as a safe, tolerable and effective treatment;</w:t>
      </w:r>
    </w:p>
    <w:p>
      <w:pPr>
        <w:spacing w:after="0" w:line="32" w:lineRule="exact"/>
        <w:rPr>
          <w:rFonts w:ascii="Arial" w:cs="Arial" w:eastAsia="Arial" w:hAnsi="Arial"/>
          <w:sz w:val="16"/>
          <w:szCs w:val="16"/>
          <w:color w:val="auto"/>
        </w:rPr>
      </w:pPr>
    </w:p>
    <w:p>
      <w:pPr>
        <w:ind w:left="1000" w:hanging="32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safety and tolerability of the product candidate in a broader patient group;</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the product candidate;</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unfavorable publicity relating to the product.</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 In addition, if we are successful in receiving FDA approval for ublituximab for the treatment of CLL and MS, we will need to identify and execute a pricing strategy that takes into account the value of the product in each indication independently to realize the product’s full potential in both indications. If we are unable to identify and execute such a strategy, the pricing of ublituximab across indications may not be optimal, which may have a material adverse impact on the sales in one or both of the indications and on our overall business.</w:t>
      </w:r>
    </w:p>
    <w:p>
      <w:pPr>
        <w:spacing w:after="0" w:line="17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new legislation, regulatory proposals and managed care initiatives that may increase our costs of compliance and adversely affect our ability to market our products, obtain collaborators and raise capital.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of 2010, collectively, the ACA, was enacted in 2010 and made significant changes to the United States healthcare system. The ACA and any revisions or replacements of that Act, any substitute legislation, and other changes in the law or regulatory framework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Among the provisions of the ACA, those of importance to our potential product candidates are:</w:t>
      </w:r>
    </w:p>
    <w:p>
      <w:pPr>
        <w:spacing w:after="0" w:line="225" w:lineRule="exact"/>
        <w:rPr>
          <w:sz w:val="20"/>
          <w:szCs w:val="20"/>
          <w:color w:val="auto"/>
        </w:rPr>
      </w:pPr>
    </w:p>
    <w:p>
      <w:pPr>
        <w:ind w:left="1000" w:hanging="327"/>
        <w:spacing w:after="0" w:line="274"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 apportioned among these entities according to their market share in certain government healthcare programs;</w:t>
      </w:r>
    </w:p>
    <w:p>
      <w:pPr>
        <w:ind w:left="1000" w:hanging="327"/>
        <w:spacing w:after="0" w:line="250"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ind w:left="1000" w:hanging="327"/>
        <w:spacing w:after="0" w:line="250"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False Claims Act and the federal Anti-Kickback Statute, new government investigative powers and enhanced penalties for non-compliance;</w:t>
      </w:r>
    </w:p>
    <w:p>
      <w:pPr>
        <w:jc w:val="both"/>
        <w:ind w:left="1000" w:hanging="327"/>
        <w:spacing w:after="0" w:line="250"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 (subsequent legislation increased this amount to 70% effective as of January 1, 2019);</w:t>
      </w:r>
    </w:p>
    <w:p>
      <w:pPr>
        <w:spacing w:after="0" w:line="1" w:lineRule="exact"/>
        <w:rPr>
          <w:rFonts w:ascii="Arial" w:cs="Arial" w:eastAsia="Arial" w:hAnsi="Arial"/>
          <w:sz w:val="18"/>
          <w:szCs w:val="18"/>
          <w:color w:val="auto"/>
        </w:rPr>
      </w:pPr>
    </w:p>
    <w:p>
      <w:pPr>
        <w:ind w:left="1000" w:hanging="327"/>
        <w:spacing w:after="0" w:line="250"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jc w:val="both"/>
        <w:ind w:left="1000" w:hanging="327"/>
        <w:spacing w:after="0" w:line="265"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additional individuals and by adding new mandatory eligibility categories for certain individuals with income at or below 138% of the federal poverty level, thereby potentially increasing a manufacturer’s Medicaid rebate liability;</w:t>
      </w:r>
    </w:p>
    <w:p>
      <w:pPr>
        <w:jc w:val="both"/>
        <w:ind w:left="1000" w:hanging="327"/>
        <w:spacing w:after="0" w:line="250"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expansion of the list of covered entities eligible to enroll in the 340B Drug Pricing Program to include certain free standing cancer hospitals, critical access hospitals, rural referral centers, and sole community hospitals, but exempting orphan drugs from the ceiling price requirements for these covered entities;</w:t>
      </w:r>
    </w:p>
    <w:p>
      <w:pPr>
        <w:spacing w:after="0" w:line="1" w:lineRule="exact"/>
        <w:rPr>
          <w:rFonts w:ascii="Arial" w:cs="Arial" w:eastAsia="Arial" w:hAnsi="Arial"/>
          <w:sz w:val="18"/>
          <w:szCs w:val="18"/>
          <w:color w:val="auto"/>
        </w:rPr>
      </w:pPr>
    </w:p>
    <w:p>
      <w:pPr>
        <w:ind w:left="1000" w:hanging="32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9" w:lineRule="exact"/>
        <w:rPr>
          <w:rFonts w:ascii="Arial" w:cs="Arial" w:eastAsia="Arial" w:hAnsi="Arial"/>
          <w:sz w:val="18"/>
          <w:szCs w:val="18"/>
          <w:color w:val="auto"/>
        </w:rPr>
      </w:pPr>
    </w:p>
    <w:p>
      <w:pPr>
        <w:ind w:left="1000" w:hanging="327"/>
        <w:spacing w:after="0" w:line="250"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regulatory pathway for the approval of biosimilar biological products, all of which will impact existing government healthcare programs and will result in the development of new programs; and</w:t>
      </w:r>
    </w:p>
    <w:p>
      <w:pPr>
        <w:ind w:left="1000" w:hanging="327"/>
        <w:spacing w:after="0" w:line="261"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provisions of the ACA have been subject to judicial challenges as well as efforts to release or replace them or to alter the interpretation or implementation. For example, at the end of 2017, Congress passed the Tax Cuts and Jobs Act (Tax Act), which repealed the penalty for individuals who fail to maintain minimum essential health coverage as required by the ACA, commonly referred to as the individual mandate, effective January 1, 2019. In December 2018, a United States District Court Judge for the Northern District of Texas ruled (i) that the individual mandate was unconstitutional as a result of the associated tax penalty being repealed as part of the Tax Act; and (ii) that the individual mandate is not severable from the rest of the ACA and, as a result, the ACA in its entirety is invalid. In December 2019, the Fifth Circuit Court of Appeals upheld the district court’s decision that the individual mandate is unconstitutional, but remanded the case back to the district court to reconsider the severability question. It is unclear how the ultimate decision in this case, or other efforts to repeal, replace, or invalidate the ACA or its implementing regulations, or portions thereof, will affect the ACA or our business. Other attempts have been made in Congress to modify or repeal all or certain provisions of the ACA, and we anticipate that there may be further efforts to repeal, replace or invalidate the ACA, which could affect our business and operations.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Bipartisan Budget Act of 2018, the BBA, which set government spending levels for Fiscal Years 2018 and 2019, revised certain provisions of the ACA. Specifically, beginning in 2019, the BBA increased manufacturer point-of-sale discounts off negotiated prices of applicable brand drugs in the Medicare Part D coverage gap from 50% to 70%, ultimately increasing the liability for brand drug manufacturers. Further, this mandatory manufacturer discount applied to biosimilars beginning in 2019.</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Trump administration is currently assessing additional proposals that are designed to affect drug pricing, such as tying U.S. drug prices to prices outside the United States. Congress and the Trump administration have each indicated that it will continue to seek new legislative and/or administrative measures to control drug costs. Most recently, President Trump signed into law the U.S.-Mexico-Canada (USMCA) trade agreement. As enacted, there are no commitments with respect to biologic product intellectual property rights or data protection, which may create an unfavorable environment across the three countries.</w:t>
      </w:r>
    </w:p>
    <w:p>
      <w:pPr>
        <w:sectPr>
          <w:pgSz w:w="11900" w:h="16838" w:orient="portrait"/>
          <w:cols w:equalWidth="0" w:num="1">
            <w:col w:w="10380"/>
          </w:cols>
          <w:pgMar w:left="760" w:top="517"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372745</wp:posOffset>
            </wp:positionV>
            <wp:extent cx="659511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116th Congress has explored legislation intended to address the cost of prescription drugs. Notably, the major committees of jurisdiction in the Senate (Finance Committee, Health, Education, Labor and Pensions Committee, and Judiciary Committee) have marked up legislation intended to address various elements of the prescription drug supply chain. Proposals include a significant overhaul of the Medicare Part D benefit design, addressing patent loopholes, and efforts to cap increases in drug prices. The House Energy and Commerce Committee approved drug-related legislation intended to increase transparency of drug prices and also curb anti-competitive behavior in the pharmaceutical supply chain. In addition, the House Ways and Means Committee approved legislation intended to improve drug price transparency, including for drug manufacturers to justify certain price increases. On December 12, 2019, the House of Representatives passed broad legislation that would, among other provisions, require the Department of Health and Human Services (HHS) to negotiate drug prices and impose price caps. Failure by a manufacturer to reach an agreement with HHS on the negotiated price could result in significant penalties for prescription drug manufacturers. While we cannot predict what proposals may ultimately become law, the proposals under consideration could significantly change the landscape in which the pharmaceutical market operates.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Trump Administration has also taken several regulatory steps to redirect ACA implementation. HHS finalized Medicare fee-for-service hospital payment reductions for Part B drugs acquired through the 340B Drug Pricing Program, which remains subject to ongoing legal challenge. HHS also has signaled its intent to continue to pursue reimbursement policy changes for Medicare Part B drugs as a whole that likely would reduce hospital and physician reimbursement for these drugs.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HHS has made numerous other proposals aimed at lowering drug prices for Medicare beneficiaries and increasing price transparency. These proposals include giving Medicare Advantage and Part D plans flexibility in the availability of drugs in protected classes, more transparency in the cost of drugs, including the beneficiary’s financial liability, and less costly alternatives and permitting the use of step therapy as a means of prior authorization. HHS has also proposed requiring that pharmaceutical manufacturers disclose the prices of certain drugs in direct-to-consumer television advertisements. The proposal related to protected classes has been withdrawn and the disclosure requirements have been rejected by the courts. In addition, a proposed rule that would have passed drug rebates to consumers at the point of sale also has been withdrawn. However, it appears the Trump Administration will continue to explore its authority to make regulatory changes to the pharmaceutical industry. For example, the Trump Administration released an Advance Notice of Proposed Rulemaking related to an international price index model. It is unclear what eventually will be proposed, but the President has alluded to the concept of most favored nation pricing with regard to U.S. drug purchasing. In addition, HHS, in conjunction with the FDA, released two pharmaceutical importation models in December 2019: (a) a Notice of Proposed Rulemaking to permit importation of pharmaceuticals from Canada, and (2) draft FDA guidance permitting manufacturers to import their own pharmaceuticals that were originally intended for marketing in other countries.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HHS also has taken steps to increase the availability of cheaper health insurance options, typically with fewer benefits. The Trump Administration has also signaled its intention to address drug prices and to increase competition, including by increasing the availability of biosimilars and generic drugs. As these are regulatory actions, a new administration could undo or modify these efforts.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There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187" w:lineRule="exact"/>
        <w:rPr>
          <w:sz w:val="20"/>
          <w:szCs w:val="20"/>
          <w:color w:val="auto"/>
        </w:rPr>
      </w:pPr>
    </w:p>
    <w:p>
      <w:pPr>
        <w:ind w:left="1000" w:hanging="32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23" w:lineRule="exact"/>
        <w:rPr>
          <w:rFonts w:ascii="Arial" w:cs="Arial" w:eastAsia="Arial" w:hAnsi="Arial"/>
          <w:sz w:val="18"/>
          <w:szCs w:val="18"/>
          <w:color w:val="auto"/>
        </w:rPr>
      </w:pPr>
    </w:p>
    <w:p>
      <w:pPr>
        <w:ind w:left="1000" w:hanging="32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cannot predict the likelihood, nature or extent of government regulation that may arise from future legislation or administrative or executive action, either in the United States or abroad.</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cannot predict the likelihood, nature or extent of how government regulation that may arise from future legislation or administrative or executive action taken by the U.S. presidential administration may impact our business and industry. In particular, the U.S. President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23, 2017, President Trump ordered a civilian hiring freeze for all executive departments and agencies, including the FDA, which prohibits the FDA from filling employee vacancies or creating new positions. Under the terms of the order, the freeze was to remain in effect until implementation of a plan to be recommended by the Director for the Office of Management and Budget (OMB) in consultation with the Director of the Office of Personnel Management, to reduce the size of the federal workforce through attrition. An under-staffed FDA could result in delays in FDA’s responsiveness or in its ability to review submissions or applications, issue regulations or guidance or implement or enforce regulatory requirements in a timely fashion or at all. This hiring freeze was lifted later in 2017. Moreover,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8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 addition, on October 12, 2017, the President released an Executive Order intended to promote health care choices and competition and on June 24, 2019, the President released an Executive Order intended to improve price transparency and quality transparency. These may push HHS, FDA, and other relevant agencies to engage in rulemaking that may impact the pharmaceutical industry.</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81"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advance of FDA approval of our first product, we will need to make significant investments to build a commercial organization and infrastructure. We will need to hire a sales force and commercial support personnel, in order to build processes and systems to support a commercial launch prior to knowing whether our product will receive FDA approval. It is possible that the FDA approval is unexpectedly delayed or our product is not approved at all. In either case we will incur delays that may impede or significantly delay our ability to generate revenue and at the same time will incur significant expenses. If this were to occur, it would have a material adverse effect on the Company.</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There are risks involved with both establishing our own sales and marketing capabilities and entering into arrangements with third parties to perform these services. For example, recruiting and training a sales force are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225" w:lineRule="exact"/>
        <w:rPr>
          <w:sz w:val="20"/>
          <w:szCs w:val="20"/>
          <w:color w:val="auto"/>
        </w:rPr>
      </w:pPr>
    </w:p>
    <w:p>
      <w:pPr>
        <w:ind w:left="1000" w:hanging="32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3" w:lineRule="exact"/>
        <w:rPr>
          <w:rFonts w:ascii="Arial" w:cs="Arial" w:eastAsia="Arial" w:hAnsi="Arial"/>
          <w:sz w:val="18"/>
          <w:szCs w:val="18"/>
          <w:color w:val="auto"/>
        </w:rPr>
      </w:pPr>
    </w:p>
    <w:p>
      <w:pPr>
        <w:ind w:left="1000" w:hanging="32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to effectively promote any future drugs;</w:t>
      </w:r>
    </w:p>
    <w:p>
      <w:pPr>
        <w:spacing w:after="0" w:line="9" w:lineRule="exact"/>
        <w:rPr>
          <w:rFonts w:ascii="Arial" w:cs="Arial" w:eastAsia="Arial" w:hAnsi="Arial"/>
          <w:sz w:val="18"/>
          <w:szCs w:val="18"/>
          <w:color w:val="auto"/>
        </w:rPr>
      </w:pPr>
    </w:p>
    <w:p>
      <w:pPr>
        <w:ind w:left="1000" w:hanging="327"/>
        <w:spacing w:after="0" w:line="250"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ind w:left="1000" w:hanging="32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 sales and marketing organization.</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we do not currently have any drugs on the market, once we begin commercializing our drug candidates, we will be subject to additional extensive healthcare statutory and regulatory requirements and oversight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will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78" w:lineRule="exact"/>
        <w:rPr>
          <w:sz w:val="20"/>
          <w:szCs w:val="20"/>
          <w:color w:val="auto"/>
        </w:rPr>
      </w:pPr>
    </w:p>
    <w:p>
      <w:pPr>
        <w:jc w:val="both"/>
        <w:ind w:left="1000" w:hanging="327"/>
        <w:spacing w:after="0" w:line="25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3" w:lineRule="exact"/>
        <w:rPr>
          <w:rFonts w:ascii="Arial" w:cs="Arial" w:eastAsia="Arial" w:hAnsi="Arial"/>
          <w:sz w:val="18"/>
          <w:szCs w:val="18"/>
          <w:color w:val="auto"/>
        </w:rPr>
      </w:pPr>
    </w:p>
    <w:p>
      <w:pPr>
        <w:jc w:val="both"/>
        <w:ind w:left="1000" w:hanging="327"/>
        <w:spacing w:after="0" w:line="281"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3" w:lineRule="exact"/>
        <w:rPr>
          <w:rFonts w:ascii="Arial" w:cs="Arial" w:eastAsia="Arial" w:hAnsi="Arial"/>
          <w:sz w:val="16"/>
          <w:szCs w:val="16"/>
          <w:color w:val="auto"/>
        </w:rPr>
      </w:pPr>
    </w:p>
    <w:p>
      <w:pPr>
        <w:ind w:left="1000" w:hanging="327"/>
        <w:spacing w:after="0" w:line="290"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executing a scheme to defraud any healthcare benefit program, or knowingly and willfully falsifying, concealing or covering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00" w:right="20"/>
        <w:spacing w:after="0" w:line="256" w:lineRule="auto"/>
        <w:rPr>
          <w:sz w:val="20"/>
          <w:szCs w:val="20"/>
          <w:color w:val="auto"/>
        </w:rPr>
      </w:pPr>
      <w:r>
        <w:rPr>
          <w:rFonts w:ascii="Arial" w:cs="Arial" w:eastAsia="Arial" w:hAnsi="Arial"/>
          <w:sz w:val="18"/>
          <w:szCs w:val="18"/>
          <w:color w:val="auto"/>
        </w:rPr>
        <w:t>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jc w:val="both"/>
        <w:ind w:left="1000" w:right="20" w:hanging="327"/>
        <w:spacing w:after="0" w:line="250"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2" w:lineRule="exact"/>
        <w:rPr>
          <w:rFonts w:ascii="Arial" w:cs="Arial" w:eastAsia="Arial" w:hAnsi="Arial"/>
          <w:sz w:val="18"/>
          <w:szCs w:val="18"/>
          <w:color w:val="auto"/>
        </w:rPr>
      </w:pPr>
    </w:p>
    <w:p>
      <w:pPr>
        <w:jc w:val="both"/>
        <w:ind w:left="1000" w:right="20" w:hanging="327"/>
        <w:spacing w:after="0" w:line="250"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 w:lineRule="exact"/>
        <w:rPr>
          <w:rFonts w:ascii="Arial" w:cs="Arial" w:eastAsia="Arial" w:hAnsi="Arial"/>
          <w:sz w:val="18"/>
          <w:szCs w:val="18"/>
          <w:color w:val="auto"/>
        </w:rPr>
      </w:pPr>
    </w:p>
    <w:p>
      <w:pPr>
        <w:ind w:left="1000" w:right="20" w:hanging="327"/>
        <w:spacing w:after="0" w:line="250"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jc w:val="both"/>
        <w:ind w:left="1000" w:right="20" w:hanging="327"/>
        <w:spacing w:after="0" w:line="288"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pricing of products or payments to physicians and other health care providers or marketing expenditures, and governing the privacy and security of health information in certain circumstances, many of which differ from each other in significant ways and often are not preempted by HIPAA, thus complicating compliance efforts.</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70"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we are exposed to liability risks under the Foreign Corrupt Practices Act or similar anti-bribery laws.</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Any product for which we obtain marketing approval could be subject to restrictions or withdrawal from the market and we may be subject to penalties if we fail to comply with regulatory requirements or if we experience unanticipated problems with products.</w:t>
      </w:r>
    </w:p>
    <w:p>
      <w:pPr>
        <w:spacing w:after="0" w:line="124"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and requirements regarding promotional interactions with healthcare professionals. Failure to comply with these regulatory requirements or later discovery of previously unknown problems with products, manufacturers, or manufacturing processes, may result in actions such as:</w:t>
      </w:r>
    </w:p>
    <w:p>
      <w:pPr>
        <w:spacing w:after="0" w:line="178" w:lineRule="exact"/>
        <w:rPr>
          <w:sz w:val="20"/>
          <w:szCs w:val="20"/>
          <w:color w:val="auto"/>
        </w:rPr>
      </w:pPr>
    </w:p>
    <w:p>
      <w:pPr>
        <w:ind w:left="1000" w:hanging="32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23" w:lineRule="exact"/>
        <w:rPr>
          <w:rFonts w:ascii="Arial" w:cs="Arial" w:eastAsia="Arial" w:hAnsi="Arial"/>
          <w:sz w:val="18"/>
          <w:szCs w:val="18"/>
          <w:color w:val="auto"/>
        </w:rPr>
      </w:pPr>
    </w:p>
    <w:p>
      <w:pPr>
        <w:ind w:left="1000" w:hanging="32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subsidiaries submit;</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recalls;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fines;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suspension or withdrawal of marketing or regulatory approvals;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 seizure or detentions;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brand names, and any failure or delay associated with such approval may adversely impact our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 pharmaceutical product candidate cannot be marketed in the United States or other countries until we have completed a rigorous and extensive regulatory review process, including approval of a brand name. Any brand names we intend to use for ublituximab, umbralisib or any future product candidates will require approval from the FDA regardless of whether we have secured a formal trademark registration from the United States Patent and Trademark Office (USPTO).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ublituximab, umbralisib or any future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ublituximab, umbralisib, or any future product candidates. We do not currently have an agreed upon brand name for umbralisib, and no assurance can be given that we will obtain one in a timely fashion. Any delay in obtaining a brand name for umbralisib or any other of our drug candidates could delay approval and/or commercialization and have a negative impact on our launch and future prospects for umbralisib or any other such drug candidates.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rely on third parties to generate clinical, preclinical and other data necessary to support the regulatory applications needed to conduct clinical trials and file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order to submit an Investigational New Drug application (IND), BLA, or NDA to the FDA and maintain these applications, it is necessary to submit all information on the clinical, non-clinical, chemistry, manufacturing, controls and quality aspects of the product candidate. We rely on our third-party contractors and our licensing partners to provide portions of this data. If we are unable to obtain this data, or the data is not sufficient to meet the regulatory requirements, we may experience significant delays in our development programs. While we maintain an active IND for ublituximab and umbralisib enabling the conduct of studies in the FDA’s Division of Hematology and Oncology, and an active IND for ublituximab under the FDA’s Division of Neurology, there can be no assurance that the FDA will allow us to continue the development of our product candidates in those divisions where we maintain an active IND.</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are required by the FDA or IRB to close down due to data management or patient management or any other issues, we may lose patients. In our MS Phase 2 trial, during routine monitoring and site audits, significant Good Clinical Practice (GCP) violations and other noncompliance issues were identified at one of our US-based large academic sites. The investigator left the institution and shortly thereafter the site terminated their participation in our study before all data could be source document verified. While we do not believe this will have any effect on the overall results of the MS Phase 2 trial, sensitivity analyses excluding data from this site will be performed and no assurance can be given that the results were not affected.</w:t>
      </w:r>
    </w:p>
    <w:p>
      <w:pPr>
        <w:spacing w:after="0" w:line="3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up to and including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CMOs to comply with these regulations may require us to repeat clinical trials, which would delay the regulatory approval process and could</w:t>
      </w:r>
    </w:p>
    <w:p>
      <w:pPr>
        <w:sectPr>
          <w:pgSz w:w="11900" w:h="16838" w:orient="portrait"/>
          <w:cols w:equalWidth="0" w:num="1">
            <w:col w:w="10380"/>
          </w:cols>
          <w:pgMar w:left="760" w:top="517" w:right="759"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372745</wp:posOffset>
            </wp:positionV>
            <wp:extent cx="659511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81"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Although we intend to design the clinical trials for our drug candidates, 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3" w:lineRule="exact"/>
        <w:rPr>
          <w:sz w:val="20"/>
          <w:szCs w:val="20"/>
          <w:color w:val="auto"/>
        </w:rPr>
      </w:pPr>
    </w:p>
    <w:p>
      <w:pPr>
        <w:ind w:left="1000" w:hanging="32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3" w:lineRule="exact"/>
        <w:rPr>
          <w:rFonts w:ascii="Arial" w:cs="Arial" w:eastAsia="Arial" w:hAnsi="Arial"/>
          <w:sz w:val="18"/>
          <w:szCs w:val="18"/>
          <w:color w:val="auto"/>
        </w:rPr>
      </w:pPr>
    </w:p>
    <w:p>
      <w:pPr>
        <w:ind w:left="1000" w:hanging="32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1"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8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In some circumstances, our licensor has entered into arrangements with contract manufacturers to supply product for our clinical and commercial demand. Our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facilities used by contract manufacturers to manufacture our drug candidates must be approved by the FDA or a comparable foreign regulatory authority pursuant to inspections that may be conducted after we submit our marketing applications to the FDA or a comparable foreign regulatory authority.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including causing substantial delay,</w:t>
      </w:r>
    </w:p>
    <w:p>
      <w:pPr>
        <w:sectPr>
          <w:pgSz w:w="11900" w:h="16838" w:orient="portrait"/>
          <w:cols w:equalWidth="0" w:num="1">
            <w:col w:w="10400"/>
          </w:cols>
          <w:pgMar w:left="760" w:top="517" w:right="739" w:bottom="1440" w:gutter="0" w:footer="0" w:header="0"/>
        </w:sect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372745</wp:posOffset>
            </wp:positionV>
            <wp:extent cx="659511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our ability to develop, obtain regulatory approval for or market our drug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drug candidates.</w:t>
      </w:r>
    </w:p>
    <w:p>
      <w:pPr>
        <w:spacing w:after="0" w:line="15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certain of our drug candidates, we do not have long-term supply agreements with contract manufacturers. For these drug candidates, we purchase our required drug supply, including the drug product and drug substance on a purchase order basis. We may be unable to establish or maintain agreements with third-party manufacturers for these drug candidates or do so on acceptable terms.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If they are unable to do so, it could have a material adverse impact on our business.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Even if we are able to establish and maintain agreements with third-party manufacturers, reliance on third-party manufacturers entails additional risks, including:</w:t>
      </w:r>
    </w:p>
    <w:p>
      <w:pPr>
        <w:spacing w:after="0" w:line="170" w:lineRule="exact"/>
        <w:rPr>
          <w:sz w:val="20"/>
          <w:szCs w:val="20"/>
          <w:color w:val="auto"/>
        </w:rPr>
      </w:pPr>
    </w:p>
    <w:p>
      <w:pPr>
        <w:ind w:left="1000" w:hanging="32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1000" w:hanging="32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possible breach of the manufacturing or supply agreement by the third party;</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Moreover, our current long-term supply agreements contain certain minimum purchases in what are commonly referred to as “take or pay” provisions, and we would expect all future supply agreements to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If our current contract manufacturers cannot perform as agreed, we may be required to replace such manufacturers causing additional costs and delays in identifying and qualifying any such replacement.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we do not have the capability to package finished products for distribution to hospitals and other customers. Prior to commercial launch, we intend to enter into agreements with one or more alternate packaging and labeling suppliers so that we can ensure proper supply chain management once we are authorized to make commercial sales of our product candidates. If we receive marketing approval from the FDA, we intend to sell pharmaceutical product finished and packaged by such suppliers. We have not yet entered into long-term agreements with our fill/finish suppliers for all of our drug candidates, and we may be unable to enter into such an agreement or do so on commercially reasonable terms, which could have a material adverse impact upon our business.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(API), drug product, regulatory starting materials and intermediates for drug substance and other materials used in our drug candidates are our sole source of supply, and the loss of any of these suppliers could significantly harm our business.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API, drug product and drug substance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product and drug substance for these drugs in accordance with regulatory requirements and in sufficient quantities for clinical testing and commercialization. If any of our suppliers ceases its operations for any reason or is unable or unwilling to supply API, drug product, drug substance and other materials in sufficient quantities or on the timelines necessary to meet our needs, it could significantly and adversely affect our business, the supply of our drug candidates and our financial condition.</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most cases, our manufacturing partners are single source suppliers. It is expected that many of our manufacturing partners will be sole source suppliers from single site locations for the foreseeable future. Various raw materials, components, and testing services required for our products may also be single sourced. Given this, any disruption of supply from these partners could have a material, long-term impact on our ability to supply products for clinical trials or commercial sale. This includes potential disruptions to our supply chains that may be caused by COVID-19 and related work stoppages across regions impacted by this public health crisis. Ublituximab is manufactured in South Korea, and TG-1701 is manufactured in China.We have sufficient inventory of clinical supplies of ublituximab to support our current clinical program needs. In addition, we source certain raw materials for umbralisib from China; however, we have sufficient quantities of these raw materials to meet our current clinical program needs and our anticipated initial commercial demand in the event we receive FDA approval. Although COVID-19 has not had a material adverse effect on our business to date, no assurance can be given that it will not in the future if the situation persists or worsens. We continue to monitor the situation very closely with our suppliers in impacted regions.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of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7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all of our drug candidates, we plan to identify and qualify additional manufacturers and other suppliers to provide such API, drug product and drug substance prior to or following submission of an NDA or BLA to the FDA and/or an MAA to the EMA. We are not certain, however, that our single-source suppliers will be able to meet our demand for their products, either because of the nature of our agreements with those suppliers, our limited experience with those suppliers, our relative importance as a customer to those suppliers, or public health emergencies (i.e., COVID-19) or natural disasters that may cause those suppliers to stop work for a period of time.. It may be difficult for us to assess their ability to timely meet our demand in the future based on past performance.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Establishing additional or replacement suppliers for the API, drug product and drug substance used in our drug candidates, if required, may not be accomplished quickly or at all and may involve significant expense. If we are able to find a replacement supplier, such replacement supplier would need to be qualified and require additional regulatory approval, which could result in further delay. 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43" w:lineRule="exact"/>
        <w:rPr>
          <w:sz w:val="20"/>
          <w:szCs w:val="20"/>
          <w:color w:val="auto"/>
        </w:rPr>
      </w:pPr>
    </w:p>
    <w:p>
      <w:pPr>
        <w:jc w:val="both"/>
        <w:ind w:right="20" w:firstLine="648"/>
        <w:spacing w:after="0" w:line="231" w:lineRule="auto"/>
        <w:rPr>
          <w:sz w:val="20"/>
          <w:szCs w:val="20"/>
          <w:color w:val="auto"/>
        </w:rPr>
      </w:pPr>
      <w:r>
        <w:rPr>
          <w:rFonts w:ascii="Arial" w:cs="Arial" w:eastAsia="Arial" w:hAnsi="Arial"/>
          <w:sz w:val="18"/>
          <w:szCs w:val="18"/>
          <w:color w:val="auto"/>
        </w:rPr>
        <w:t>Because we license our product candidates from third parties and we expect to continue to in-license additional product candidates, if there is any dispute between us and our licensor regarding our rights under a license agreement, our ability to develop and commercialize our product candidates may be adversely affected. Disputes may arise with the third parties from whom we license our product candidates for a variety of reasons, including:</w:t>
      </w:r>
    </w:p>
    <w:p>
      <w:pPr>
        <w:spacing w:after="0" w:line="147" w:lineRule="exact"/>
        <w:rPr>
          <w:sz w:val="20"/>
          <w:szCs w:val="20"/>
          <w:color w:val="auto"/>
        </w:rPr>
      </w:pPr>
    </w:p>
    <w:p>
      <w:pPr>
        <w:ind w:left="1000" w:hanging="32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ind w:left="1000" w:right="20" w:hanging="327"/>
        <w:spacing w:after="0" w:line="219"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license agreement;</w:t>
      </w:r>
    </w:p>
    <w:p>
      <w:pPr>
        <w:ind w:left="1000" w:right="20" w:hanging="327"/>
        <w:spacing w:after="0" w:line="219"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 and obligations associated with sublicensing;</w:t>
      </w:r>
    </w:p>
    <w:p>
      <w:pPr>
        <w:ind w:left="1000" w:hanging="327"/>
        <w:spacing w:after="0" w:line="219"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ind w:left="1000" w:right="20" w:hanging="327"/>
        <w:spacing w:after="0" w:line="219"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ind w:left="1000" w:hanging="32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82"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7"/>
          <w:szCs w:val="17"/>
          <w:color w:val="auto"/>
        </w:rPr>
        <w:t>In addition, the agreements under which we currently license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5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4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5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43"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8"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7" w:lineRule="exact"/>
        <w:rPr>
          <w:sz w:val="20"/>
          <w:szCs w:val="20"/>
          <w:color w:val="auto"/>
        </w:rPr>
      </w:pPr>
    </w:p>
    <w:p>
      <w:pPr>
        <w:jc w:val="both"/>
        <w:ind w:right="20" w:firstLine="486"/>
        <w:spacing w:after="0" w:line="255" w:lineRule="auto"/>
        <w:rPr>
          <w:sz w:val="20"/>
          <w:szCs w:val="20"/>
          <w:color w:val="auto"/>
        </w:rPr>
      </w:pPr>
      <w:r>
        <w:rPr>
          <w:rFonts w:ascii="Arial" w:cs="Arial" w:eastAsia="Arial" w:hAnsi="Arial"/>
          <w:sz w:val="18"/>
          <w:szCs w:val="18"/>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89"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7"/>
          <w:szCs w:val="17"/>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Our success depends upon our ability to obtain and protect our intellectual property and proprietary technologies and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25" w:lineRule="exact"/>
        <w:rPr>
          <w:sz w:val="20"/>
          <w:szCs w:val="20"/>
          <w:color w:val="auto"/>
        </w:rPr>
      </w:pPr>
    </w:p>
    <w:p>
      <w:pPr>
        <w:jc w:val="both"/>
        <w:ind w:right="20" w:firstLine="648"/>
        <w:spacing w:after="0" w:line="226" w:lineRule="auto"/>
        <w:rPr>
          <w:sz w:val="20"/>
          <w:szCs w:val="20"/>
          <w:color w:val="auto"/>
        </w:rPr>
      </w:pPr>
      <w:r>
        <w:rPr>
          <w:rFonts w:ascii="Arial" w:cs="Arial" w:eastAsia="Arial" w:hAnsi="Arial"/>
          <w:sz w:val="18"/>
          <w:szCs w:val="18"/>
          <w:color w:val="auto"/>
        </w:rPr>
        <w:t>Our commercial success in part depends on obtaining and maintaining patent protection and trade secret protection in the United States and other countries with respect to our product candidates or any future product candidate that we may license or acquire,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drug candidates, we also rely on our licensors to protect the patent and other intellectual property rights necessary for commercialization of our drug candidates.</w:t>
      </w:r>
    </w:p>
    <w:p>
      <w:pPr>
        <w:spacing w:after="0" w:line="148" w:lineRule="exact"/>
        <w:rPr>
          <w:sz w:val="20"/>
          <w:szCs w:val="20"/>
          <w:color w:val="auto"/>
        </w:rPr>
      </w:pPr>
    </w:p>
    <w:p>
      <w:pPr>
        <w:jc w:val="both"/>
        <w:ind w:right="20" w:firstLine="648"/>
        <w:spacing w:after="0"/>
        <w:rPr>
          <w:sz w:val="20"/>
          <w:szCs w:val="20"/>
          <w:color w:val="auto"/>
        </w:rPr>
      </w:pPr>
      <w:r>
        <w:rPr>
          <w:rFonts w:ascii="Arial" w:cs="Arial" w:eastAsia="Arial" w:hAnsi="Arial"/>
          <w:sz w:val="17"/>
          <w:szCs w:val="17"/>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drug candidates. In addition, the laws of foreign countries may not protect our rights to the same extent as the laws of the United States.</w:t>
      </w:r>
    </w:p>
    <w:p>
      <w:pPr>
        <w:spacing w:after="0" w:line="15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149"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6"/>
          <w:szCs w:val="16"/>
          <w:color w:val="auto"/>
        </w:rPr>
        <w:t>Currently, the composition of matter patent for ublituximab and umbralisib are granted in both the United States and EU, among other countries. A method of use patent covering the combination of ublituximab and umbralisib has also been granted in the US, EU, Japan, and several other territories. Additionally, several method of use patents for ublituximab and umbralisib in various indications and settings have also been applied for but have not yet been issued, or have been issued in certain territories but not under all jurisdictions in which such applications have been filed. There can be no guarantee that any patents for which an application has already been filed, nor any patents filed</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the future, for our cosibelimab, TG-1701 and TG-1801 or for our pre-clinical product candidates will be granted in any or all jurisdictions in which they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risks and uncertainties include the following:</w:t>
      </w:r>
    </w:p>
    <w:p>
      <w:pPr>
        <w:spacing w:after="0" w:line="185" w:lineRule="exact"/>
        <w:rPr>
          <w:sz w:val="20"/>
          <w:szCs w:val="20"/>
          <w:color w:val="auto"/>
        </w:rPr>
      </w:pPr>
    </w:p>
    <w:p>
      <w:pPr>
        <w:ind w:left="1000" w:hanging="32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any patents being issued;</w:t>
      </w:r>
    </w:p>
    <w:p>
      <w:pPr>
        <w:spacing w:after="0" w:line="23" w:lineRule="exact"/>
        <w:rPr>
          <w:rFonts w:ascii="Arial" w:cs="Arial" w:eastAsia="Arial" w:hAnsi="Arial"/>
          <w:sz w:val="18"/>
          <w:szCs w:val="18"/>
          <w:color w:val="auto"/>
        </w:rPr>
      </w:pPr>
    </w:p>
    <w:p>
      <w:pPr>
        <w:ind w:left="1000" w:hanging="327"/>
        <w:spacing w:after="0" w:line="250"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1000" w:hanging="327"/>
        <w:spacing w:after="0" w:line="250"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 to invent to a first to file system. If we do not win the filing race, we will not be entitled to inventive priority;</w:t>
      </w:r>
    </w:p>
    <w:p>
      <w:pPr>
        <w:jc w:val="both"/>
        <w:ind w:left="1000" w:hanging="327"/>
        <w:spacing w:after="0" w:line="250"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file new patent applications or make, use, and sell our potential products either in the United States or in international markets;</w:t>
      </w:r>
    </w:p>
    <w:p>
      <w:pPr>
        <w:spacing w:after="0" w:line="1" w:lineRule="exact"/>
        <w:rPr>
          <w:rFonts w:ascii="Arial" w:cs="Arial" w:eastAsia="Arial" w:hAnsi="Arial"/>
          <w:sz w:val="18"/>
          <w:szCs w:val="18"/>
          <w:color w:val="auto"/>
        </w:rPr>
      </w:pPr>
    </w:p>
    <w:p>
      <w:pPr>
        <w:jc w:val="both"/>
        <w:ind w:left="1000" w:hanging="327"/>
        <w:spacing w:after="0" w:line="250"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1000" w:hanging="327"/>
        <w:spacing w:after="0" w:line="290"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 candidates or any future product candidate we may license or acquire,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or partnerships,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19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For example, the federal courts of the United States have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58"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178"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United States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 candidates.</w:t>
      </w:r>
    </w:p>
    <w:p>
      <w:pPr>
        <w:spacing w:after="0" w:line="182"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The issuance of a patent does not foreclose challenges to its inventorship, scope, validity or enforceability. Therefore,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Even if our patent applications issue as patents, and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5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If we do not obtain patent term extensions under the Hatch-Waxman Amendments and similar foreign legislation extending the terms of our licensed patents and any future patents we may own, our business may be materially harmed.</w:t>
      </w:r>
    </w:p>
    <w:p>
      <w:pPr>
        <w:spacing w:after="0" w:line="14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7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9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00" w:lineRule="exact"/>
        <w:rPr>
          <w:sz w:val="20"/>
          <w:szCs w:val="20"/>
          <w:color w:val="auto"/>
        </w:rPr>
      </w:pP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aware of certain patents that may pose issues for our commercialization of our drug candidates. For example, Roche, Biogen Idec, and Genentech hold patents for the use of anti-CD20 antibodies utilized in the treatment of CLL in the United States which expired in November of 2019. While these patents have been challenged, to the best of our knowledge, those matters were settled in a way that permitted additional anti-CD20 antibodies to be marketed for CLL. If those patents are still valid and enforced at the time we are intending to launch ublituximab, then we will need to either prevail in a litigation to challenge those patents or negotiate a settlement agreement with the patent holders.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ublituximab or launch at the risk of litigation for patent infringement, which may have a material adverse effect on our business and results of operations.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ectPr>
          <w:pgSz w:w="11900" w:h="16838" w:orient="portrait"/>
          <w:cols w:equalWidth="0" w:num="1">
            <w:col w:w="10380"/>
          </w:cols>
          <w:pgMar w:left="760" w:top="517"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372745</wp:posOffset>
            </wp:positionV>
            <wp:extent cx="659511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 For example, we engage extensively with third parties, including academic institutions, to conduct non-clinical and clinical research on our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Employee Matters, Managing Growth and Other Risks Related to Our Business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highly dependent on the research and development, clinical, business development, financial and legal expertise of our senior management team as well as the other principal members of our management, scientific and clinical team.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7"/>
          <w:szCs w:val="17"/>
          <w:color w:val="auto"/>
        </w:rPr>
        <w:t>We expect to continue hiring qualified development personnel. Recruiting and retaining qualified scientific, clinical, manufacturing and sales and marketing personnel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Failure to succeed in clinical trials may make it more challenging to recruit and retain qualified medical and scientific personnel.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of February 14, 2020, we had 134 full-time employees, and we expect to continue to increase our number of employees and expand the scope of our operations. Our management and medical, commercial, and scientific personnel, systems and facilities currently in place will not be adequate to support our anticipated future growth.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To accommodate growth, additional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business.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Additionally, to help manage the expanding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or results of operations.</w:t>
      </w:r>
    </w:p>
    <w:p>
      <w:pPr>
        <w:spacing w:after="0" w:line="2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January 31, 2019 (Brexit Day), the United Kingdom formally left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The long-term impact of Brexit, including on our business and our industry, will depend on the terms that are negotiated in relation to the United Kingdom’s future relationship with the European Union during the transition period which began on Brexit Day and is currently set to end on December 31, 2020. We are closely monitoring the Brexit developments in order to determine, quantify and proactively address changes as they become clear. Despite the Brexit developments, we do not expect macroeconomic conditions to have a significant impact on our liquidity needs, financial condition or results of operations.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CMOs, or other contractors or consultants, may fail or suffer security breaches, which could result in a material disruption of our drug candidates’ development programs.</w:t>
      </w:r>
    </w:p>
    <w:p>
      <w:pPr>
        <w:spacing w:after="0" w:line="14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CROs, CMOs,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Furthermore, in preparing for potential commercialization of our first drug candidate, we anticipate that our computer systems will increase in magnitude and complexity. Building the systems and infrastructure required for commercialization with appropriate security measures may be time consuming and costly. In addition, there can be no assurance that our efforts will prevent breakdowns or breaches in our systems. To the extent that any disruption or security breach results in a loss of or damage to our data or applications or other data or applications relating to our technology or drug candidates, or inappropriate disclosure of confidential or proprietary information, we could incur financial, legal, business or reputational harm.</w:t>
      </w:r>
    </w:p>
    <w:p>
      <w:pPr>
        <w:spacing w:after="0" w:line="155"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4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drugs, or form strategic alliances, in the future, and we may not realize the benefits of such acquisitions.</w:t>
      </w:r>
    </w:p>
    <w:p>
      <w:pPr>
        <w:spacing w:after="0" w:line="194" w:lineRule="exact"/>
        <w:rPr>
          <w:sz w:val="20"/>
          <w:szCs w:val="20"/>
          <w:color w:val="auto"/>
        </w:rPr>
      </w:pPr>
    </w:p>
    <w:p>
      <w:pPr>
        <w:jc w:val="both"/>
        <w:ind w:right="20" w:firstLine="648"/>
        <w:spacing w:after="0"/>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adverse legislative or regulatory tax changes that could negatively impact our financial condition.</w:t>
      </w:r>
    </w:p>
    <w:p>
      <w:pPr>
        <w:spacing w:after="0" w:line="171"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December 22, 2017, legislation commonly referred to as the Tax Cuts and Jobs Act (Tax Act) was signed into law and is generally effective after December 31, 2017. The Tax Cuts and Jobs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 and Being a Publicly-Traded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subject to wide fluctuations in price in response to various factors, many of which are beyond our control. These factors include:</w:t>
      </w:r>
    </w:p>
    <w:p>
      <w:pPr>
        <w:spacing w:after="0" w:line="170" w:lineRule="exact"/>
        <w:rPr>
          <w:sz w:val="20"/>
          <w:szCs w:val="20"/>
          <w:color w:val="auto"/>
        </w:rPr>
      </w:pPr>
    </w:p>
    <w:p>
      <w:pPr>
        <w:ind w:left="1000" w:hanging="32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23" w:lineRule="exact"/>
        <w:rPr>
          <w:rFonts w:ascii="Arial" w:cs="Arial" w:eastAsia="Arial" w:hAnsi="Arial"/>
          <w:sz w:val="18"/>
          <w:szCs w:val="18"/>
          <w:color w:val="auto"/>
        </w:rPr>
      </w:pPr>
    </w:p>
    <w:p>
      <w:pPr>
        <w:ind w:left="1000" w:hanging="327"/>
        <w:spacing w:after="0" w:line="250"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ind w:left="1000" w:hanging="32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of our common stock by us.</w:t>
      </w:r>
    </w:p>
    <w:p>
      <w:pPr>
        <w:spacing w:after="0" w:line="19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4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50" w:lineRule="exact"/>
        <w:rPr>
          <w:sz w:val="20"/>
          <w:szCs w:val="20"/>
          <w:color w:val="auto"/>
        </w:rPr>
      </w:pPr>
    </w:p>
    <w:p>
      <w:pPr>
        <w:ind w:left="1000" w:hanging="32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3" w:lineRule="exact"/>
        <w:rPr>
          <w:rFonts w:ascii="Arial" w:cs="Arial" w:eastAsia="Arial" w:hAnsi="Arial"/>
          <w:sz w:val="18"/>
          <w:szCs w:val="18"/>
          <w:color w:val="auto"/>
        </w:rPr>
      </w:pPr>
    </w:p>
    <w:p>
      <w:pPr>
        <w:ind w:left="1000" w:hanging="32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000" w:hanging="32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under the Loan Agreement, we are currently restricted from paying cash dividends, and we expect these restrictions to continue in the future. In addition, the terms of any future debt agreements may continue to preclude us from paying dividends. As a result, capital appreciation, if any, of our common stock will be the sole source of gain for our stockholders for the foreseeable future.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public company, we incur significant legal, accounting and other expenses under the Sarbanes-Oxley Act of 2002, as well as rules subsequently implemented by the Securities and Exchange Commission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which could have an adverse effect on the market price of our stock.</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Volatility in the price of our common stock may subject us to securities litigation, which could cause us to incur substantial costs and divert management’s attention, financial resources and other company assets.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past, securities class action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and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2019, we had federal net operating loss carryforwards of approximately $709.9 million, and our ability to utilize those net operating loss carryforwards could be limited by an ownership change as described above, which could result in increased tax liability to us. In addition, pursuant to the TCJA, we may not use net operating loss carry-forwards to reduce our taxable income in any year by more than 80%, and we may not carry back any net operating losses to prior years. These new rules apply regardless of the occurrence of an ownership change.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maintain corporate and executive space in New York, New York, and Edison, New Jersey. We are also currently leasing small office spaces in Raleigh, North Carolina and Kingsport, Tennessee to accommodate our clinical operations groups and commercial team. We believe that our existing facilities are adequate to meet our current requirements. We do not own any real property.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and our subsidiaries, are not a party to, and our property is not the subject of, any material pending legal proceedings.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record holders of our common stock as of February 21, 2020 was 230.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never declared or paid any cash dividends on our common stock and do not anticipate paying any cash dividends in the foreseeable future. Any future determination to pay dividends will be at the discretion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74" w:name="page75"/>
    <w:bookmarkEnd w:id="74"/>
    <w:p>
      <w:pPr>
        <w:ind w:left="2"/>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225" w:lineRule="exact"/>
        <w:rPr>
          <w:sz w:val="20"/>
          <w:szCs w:val="20"/>
          <w:color w:val="auto"/>
        </w:rPr>
      </w:pPr>
    </w:p>
    <w:p>
      <w:pPr>
        <w:ind w:left="2" w:firstLine="648"/>
        <w:spacing w:after="0" w:line="277" w:lineRule="auto"/>
        <w:rPr>
          <w:sz w:val="20"/>
          <w:szCs w:val="20"/>
          <w:color w:val="auto"/>
        </w:rPr>
      </w:pPr>
      <w:r>
        <w:rPr>
          <w:rFonts w:ascii="Arial" w:cs="Arial" w:eastAsia="Arial" w:hAnsi="Arial"/>
          <w:sz w:val="18"/>
          <w:szCs w:val="18"/>
          <w:color w:val="auto"/>
        </w:rPr>
        <w:t>The following table provides information as of December 31, 2019, regarding the securities authorized for issuance under our equity compensation plan, the TG Therapeutics, Inc. Amended and Restated 2012 Incentive Plan.</w:t>
      </w:r>
    </w:p>
    <w:p>
      <w:pPr>
        <w:spacing w:after="0" w:line="170"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Equity Compensation Plan Information</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160" w:type="dxa"/>
            <w:vAlign w:val="bottom"/>
          </w:tcPr>
          <w:p>
            <w:pPr>
              <w:spacing w:after="0"/>
              <w:rPr>
                <w:sz w:val="12"/>
                <w:szCs w:val="12"/>
                <w:color w:val="auto"/>
              </w:rPr>
            </w:pPr>
          </w:p>
        </w:tc>
        <w:tc>
          <w:tcPr>
            <w:tcW w:w="16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Weighted-average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71"/>
        </w:trPr>
        <w:tc>
          <w:tcPr>
            <w:tcW w:w="5620" w:type="dxa"/>
            <w:vAlign w:val="bottom"/>
            <w:gridSpan w:val="2"/>
            <w:vMerge w:val="continue"/>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options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in column 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2,605,730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2,605,730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2"/>
        <w:spacing w:after="0"/>
        <w:rPr>
          <w:sz w:val="20"/>
          <w:szCs w:val="20"/>
          <w:color w:val="auto"/>
        </w:rPr>
      </w:pPr>
      <w:r>
        <w:rPr>
          <w:rFonts w:ascii="Arial" w:cs="Arial" w:eastAsia="Arial" w:hAnsi="Arial"/>
          <w:sz w:val="17"/>
          <w:szCs w:val="17"/>
          <w:color w:val="auto"/>
        </w:rPr>
        <w:t>For information about all of our equity compensation plans see Note 5 to our Consolidated Financial Statements included in this</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8"/>
          <w:szCs w:val="18"/>
          <w:color w:val="auto"/>
        </w:rPr>
        <w:t>report.</w:t>
      </w:r>
    </w:p>
    <w:p>
      <w:pPr>
        <w:spacing w:after="0" w:line="207"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COMMON STOCK PERFORMANCE GRAPH</w:t>
      </w:r>
    </w:p>
    <w:p>
      <w:pPr>
        <w:spacing w:after="0" w:line="229" w:lineRule="exact"/>
        <w:rPr>
          <w:sz w:val="20"/>
          <w:szCs w:val="20"/>
          <w:color w:val="auto"/>
        </w:rPr>
      </w:pPr>
    </w:p>
    <w:p>
      <w:pPr>
        <w:jc w:val="both"/>
        <w:ind w:left="2" w:firstLine="648"/>
        <w:spacing w:after="0" w:line="274" w:lineRule="auto"/>
        <w:rPr>
          <w:sz w:val="20"/>
          <w:szCs w:val="20"/>
          <w:color w:val="auto"/>
        </w:rPr>
      </w:pPr>
      <w:r>
        <w:rPr>
          <w:rFonts w:ascii="Arial" w:cs="Arial" w:eastAsia="Arial" w:hAnsi="Arial"/>
          <w:sz w:val="17"/>
          <w:szCs w:val="17"/>
          <w:color w:val="auto"/>
        </w:rPr>
        <w:t>The following graph compares the cumulative total stockholder return on our common stock for the period from December 31, 2014 through December 31, 2019, with the cumulative total return over such period on (i) the U.S. Index of The Nasdaq Stock Market and</w:t>
      </w:r>
    </w:p>
    <w:p>
      <w:pPr>
        <w:jc w:val="both"/>
        <w:ind w:left="2" w:hanging="2"/>
        <w:spacing w:after="0" w:line="255" w:lineRule="auto"/>
        <w:tabs>
          <w:tab w:leader="none" w:pos="27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Biotechnology Index of The Nasdaq Stock Market. The graph assumes an investment of $100 on December 31, 2014, in our common stock (at the adjusted closing market price) and in each of the indices listed above, and assumes the reinvestment of all dividends. Measurement points are December 31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5659755" cy="24098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9755" cy="240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02" w:right="240" w:hanging="4454"/>
        <w:spacing w:after="0" w:line="778" w:lineRule="auto"/>
        <w:tabs>
          <w:tab w:leader="none" w:pos="959"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$100 invested on December 31, 2014 in stock or index, including reinvestment of dividends. Fiscal Years ending December 31.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59511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2"/>
          </w:cols>
          <w:pgMar w:left="758" w:top="517" w:right="7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Statement of Operations data for the years ended December 31, 2019, 2018, 2017, 2016 and 2015, and Balance Sheet Data as of December 31, 2019, 2018, 2017, 2016 and 2015, as set forth below are derived from our audited consolidated financial statements. Audited financial statements prior to 2017 are not contained herein. This financial data should be read in conjunction with “Item 7. Management’s Discussion and Analysis of Financial Condition and Results of Operations” and “Item 8. Financial Statements and Supplementary Data.”</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14"/>
          </w:tcPr>
          <w:p>
            <w:pPr>
              <w:jc w:val="center"/>
              <w:ind w:right="300"/>
              <w:spacing w:after="0" w:line="155" w:lineRule="exact"/>
              <w:rPr>
                <w:sz w:val="20"/>
                <w:szCs w:val="20"/>
                <w:color w:val="auto"/>
              </w:rPr>
            </w:pPr>
            <w:r>
              <w:rPr>
                <w:rFonts w:ascii="Arial" w:cs="Arial" w:eastAsia="Arial" w:hAnsi="Arial"/>
                <w:sz w:val="14"/>
                <w:szCs w:val="14"/>
                <w:b w:val="1"/>
                <w:bCs w:val="1"/>
                <w:color w:val="auto"/>
                <w:w w:val="90"/>
              </w:rPr>
              <w:t>Years ended December 31,</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Noncash stock expense associated with in-licensing agreements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Noncash compensation</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5,598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research and development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148,269</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149,793</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96,886</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66,490</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research and development</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154,180</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159,391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102,533</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69,232</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compensation</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general and administrative</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9,504</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6,033</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15,161</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16,331</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169,207</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174,552</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118,864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79,121</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(169,055)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(174,400)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(118,712)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(78,969)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(1,471)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(1,795)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3,816</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(918)</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(716)</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(172,871)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(173,482)</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w w:val="98"/>
              </w:rPr>
              <w:t>(118,476)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(78,253)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(62,949)</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(1.60)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Information:</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92"/>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Cash, cash equivalents, investment securities and interest receivable</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shd w:val="clear" w:color="auto" w:fill="CCEEFF"/>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140,435</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shd w:val="clear" w:color="auto" w:fill="CCEEFF"/>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68,901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shd w:val="clear" w:color="auto" w:fill="CCEEFF"/>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84,825</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shd w:val="clear" w:color="auto" w:fill="CCEEFF"/>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44,969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shd w:val="clear" w:color="auto" w:fill="CCEEFF"/>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102,417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163,014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83,616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97,381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54,782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(701,216)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(528,345)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(354,863)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(236,387)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38,615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24,036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66,993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35,868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101,573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73</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760" w:top="517" w:right="7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 should read the following discussion and analysis in conjunction with “Item 8. Financial Statements and Supplementary Data,” and our consolidated financial statements beginning on page F-1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 biopharmaceutical company dedicated to developing and delivering medicines for patients with B-cell mediated diseases, including Chronic Lymphocytic Leukemia (CLL), non-Hodgkin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lead two therapies, ublituximab (TG-1101) and umbralisib (TGR-1202), in pivotal trials for CLL, NHL and MS. Ublituximab is a novel anti-CD20 monoclonal antibody (mAb) that has been glycoengineered for enhanced potency over first generation antibodies. Umbralisib is an oral, once daily, dual inhibitor of PI3K-delta and CK1-epsilon, which may lead to a differentiated safety profile. When used together in combination therapy, ublituximab and umbralisib are referred to as "U2". Additionally, in early clinical development we have an anti-PD-L1 monoclonal antibody referred to as cosibelimab (TG-1501), an oral Bruton’s Tyrosine Kinase (“BTK”) inhibitor referred to as TG-1701, and an anti-CD47/CD19 bispecific antibody referred to as TG-1801.</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Our license revenues currently consist of license fees arising from our agreement with Ildong. In accordance with Financial Accounting Standards Board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which the Company adopted on January 1, 2018, we recognize upfront license fee revenues ratably over the estimated period in which we will have certain performance obligations, with unamortized amounts recorded as deferred revenue. We have not earned any revenues from the commercial sale of any of our drug candidates.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 Research and development expenses for the years ended December 31, 2019, 2018 and 2017 were approximately $148.4 million, $153.8 million and $96.9 million, respectively, excluding non-cash compensation expenses related to research and development.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research and development expenses per project, exclusive of non-cash compensation expenses,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Ublituximab</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62,441</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Umbralisib</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46,074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31,964</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Early Clinical Pipeline &amp; Pre-Clinical</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w:t>
            </w:r>
          </w:p>
        </w:tc>
      </w:tr>
      <w:tr>
        <w:trPr>
          <w:trHeight w:val="210"/>
        </w:trPr>
        <w:tc>
          <w:tcPr>
            <w:tcW w:w="720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148,369</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153,793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96,886</w:t>
            </w:r>
          </w:p>
        </w:tc>
      </w:tr>
      <w:tr>
        <w:trPr>
          <w:trHeight w:val="20"/>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results of operations include non-cash compensation expenses as a result of the grants of restricted stock and stock options. Compensation expense for awards of restricted stock and stock options granted to employees and directors represents the fair value of the award recorded over the respective vesting periods of the individual awards. The expense is included in the respective categories of expense in the consolidated statements of operations. We expect to continue to incur significant non-cash compensation expenses.</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recognize all share-based payments to employees and non-employee directors (as compensation for service) as noncash compensation expense in the consolidated financial statements based on the fair values of such payments. Stock-based compensation expense recognized each period is based on the value of the portion of share-based payment awards that is ultimately expected to vest during the period. Forfeitures are estimated at the time of grant and revised, if necessary, in subsequent periods if actual forfeitures differ from those estimates.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some of the restricted stock and stock options issued to employees, consultants and other third parties vest upon achievement of certain milestones, and accordingly, the total expense is uncertain. Compensation expense for such awards is recognized when the achievement of such milestones becomes probable.</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or at all. In addition, we expect losses to continue as we fund in-licensing and development of new drug candidates. As we further our development efforts, we may enter into additional third-party collaborative agreements and incur additional expenses, such as licensing fees and milestone payments. In addition, we will need to further establish a commercial infrastructure required to manufacture, market and sell our drug candidates following approval, if any, by the FDA or a foreign health authority, which would result in incurring significant additional expenses. As a result, our annual results may fluctuate and a year-by-year comparison of our operating results may not be a meaningful indication of our future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gridSpan w:val="2"/>
            <w:vMerge w:val="continue"/>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3"/>
              </w:rPr>
              <w:t>Non-cash stock expense associated with in-licensing agreements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Noncash compensation</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w:t>
            </w:r>
          </w:p>
        </w:tc>
        <w:tc>
          <w:tcPr>
            <w:tcW w:w="2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148,269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research and development</w:t>
            </w:r>
          </w:p>
        </w:tc>
        <w:tc>
          <w:tcPr>
            <w:tcW w:w="2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154,180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159,391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general and administrative</w:t>
            </w:r>
          </w:p>
        </w:tc>
        <w:tc>
          <w:tcPr>
            <w:tcW w:w="2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2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(169,055)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(174,400)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(118,712)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(172,871)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(173,482)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(118,476)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760" w:top="517" w:right="7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License Revenue. </w:t>
      </w:r>
      <w:r>
        <w:rPr>
          <w:rFonts w:ascii="Arial" w:cs="Arial" w:eastAsia="Arial" w:hAnsi="Arial"/>
          <w:sz w:val="17"/>
          <w:szCs w:val="17"/>
          <w:color w:val="auto"/>
        </w:rPr>
        <w:t>License revenue was approximately $152,000 for each of the years ended December 31, 2019 and 2018.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is related to the amortization of an upfront payment of $2.0 million associated with our license agreement with Ildong. The upfront payment from Ildong will be recognized as license revenue on a straight-line basis through December 2025, which represents the estimated period over which we will have certain ongoing responsibilities under the sublicense agreement.</w:t>
      </w:r>
    </w:p>
    <w:p>
      <w:pPr>
        <w:spacing w:after="0" w:line="171"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i w:val="1"/>
          <w:iCs w:val="1"/>
          <w:color w:val="auto"/>
        </w:rPr>
        <w:t xml:space="preserve">Noncash Stock Expense Associated with In-Licensing Agreement (Research and Development). </w:t>
      </w:r>
      <w:r>
        <w:rPr>
          <w:rFonts w:ascii="Arial" w:cs="Arial" w:eastAsia="Arial" w:hAnsi="Arial"/>
          <w:sz w:val="18"/>
          <w:szCs w:val="18"/>
          <w:color w:val="auto"/>
        </w:rPr>
        <w:t>Noncash stock expense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in-licensing agreement (research and development) amounted to $0.1 million for the year ended December 31, 2019, as compared to $4.0 million during the comparable period in 2018. The expense during the year ended December 31, 2018 was recorded in conjunction with the 333,868 total shares of common stock issued to Novimmune and Jiangsu Hengrui as upfront payments for the licenses to the CD47/CD19 and BTK programs.</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incentive grants remained consistent between the two periods totaling $5.8 million for the year ended December 31, 2019, as compared to $5.6 million during the comparable period in 2018.</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decreased by $1.5 million from $149.8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2018 to $148.3 million for the year ended December 31, 2019. The decrease in R&amp;D expense is primarily attributable to the winding down of our late-stage clinical development programs during the year ended December 31, 2019. We expect our other research and development costs to continue to decrease modestly during 2020.</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incentive grants decreased by $1.8 million from $7.3 million for the year ended December 31, 2018 to $5.5 million during the year ended December 31, 2019. The decrease in noncash compensation expense was primarily related to more vesting of restricted stock granted to executive personnel during the year ended December 31, 2018.</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$1.6 million from $7.9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2018 to $9.5 million for the year ended December 31, 2019. The increase was due primarily to increased personnel and other general and administrative costs. We expect our other general and administrative expenses to increase during 2020 as commercial costs will increase in preparation for potential launch.</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$4.4 million to $5.3 million for the year ended December 31, 2019,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$0.9 million for year ended December 31, 2018. The increase is mainly due to the interest expense related to the Hercules financing agreement. We expect our interest expense to decrease modestly during 2020.</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Other income decreased by $0.3 million to $1.5 million for the year ended December 31, 2019, as compared to $1.8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year ended December 31, 2018. The decrease in other income is mainly due to a greater change in the fair value of notes payable during the year ended December 31, 2018. We expect our other income to remain at a comparable level during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License Revenue. </w:t>
      </w:r>
      <w:r>
        <w:rPr>
          <w:rFonts w:ascii="Arial" w:cs="Arial" w:eastAsia="Arial" w:hAnsi="Arial"/>
          <w:sz w:val="17"/>
          <w:szCs w:val="17"/>
          <w:color w:val="auto"/>
        </w:rPr>
        <w:t>License revenue was approximately $152,000 for each of the years ended December 31, 2018 and 2017.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is related to the amortization of an upfront payment of $2.0 million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71"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i w:val="1"/>
          <w:iCs w:val="1"/>
          <w:color w:val="auto"/>
        </w:rPr>
        <w:t xml:space="preserve">Noncash Stock Expense Associated with In-Licensing Agreement (Research and Development). </w:t>
      </w:r>
      <w:r>
        <w:rPr>
          <w:rFonts w:ascii="Arial" w:cs="Arial" w:eastAsia="Arial" w:hAnsi="Arial"/>
          <w:sz w:val="18"/>
          <w:szCs w:val="18"/>
          <w:color w:val="auto"/>
        </w:rPr>
        <w:t>Noncash stock expense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in-licensing agreement (research and development) amounted to $4.0 million for the year ended December 31, 2018, as compared to zero during the comparable period in 2017. The expense during the year ended December 31, 2018 was recorded in conjunction with the 333,868 total shares of common stock issued to Novimmune and Jiangsu Hengrui as upfront payments for the licenses to the CD47/CD19 and BTK programs, respectively.</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 development)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incentive grants remained consistent between the two periods totaling $5.6 million for the years ended December 31, 2018 and 2017.</w:t>
      </w:r>
    </w:p>
    <w:p>
      <w:pPr>
        <w:spacing w:after="0" w:line="12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$52.9 million from $96.9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2017 to $149.8 million for the year ended December 31, 2018. The increase in R&amp;D expense is primarily attributable to ongoing late-stage clinical development programs and related manufacturing costs for ublituximab and umbralisib during the year ended December 31, 2018.</w:t>
      </w:r>
    </w:p>
    <w:p>
      <w:pPr>
        <w:spacing w:after="0" w:line="18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i w:val="1"/>
          <w:iCs w:val="1"/>
          <w:color w:val="auto"/>
        </w:rPr>
        <w:t xml:space="preserve">Noncash Compensation Expense (General and Administrative). </w:t>
      </w:r>
      <w:r>
        <w:rPr>
          <w:rFonts w:ascii="Arial" w:cs="Arial" w:eastAsia="Arial" w:hAnsi="Arial"/>
          <w:sz w:val="17"/>
          <w:szCs w:val="17"/>
          <w:color w:val="auto"/>
        </w:rPr>
        <w:t>Noncash compensation expense (general and administrative)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incentive grants decreased by $3.0 million from $10.3 million for the year ended December 31, 2017 to $7.3 million during the year ended December 31, 2018. The decrease in noncash compensation expense was primarily related to a decrease in the measurement date fair value of certain consultant restricted stock during the year ended December 31, 2018 and greater compensation expense during the year ended December 31, 2017 related to restricted stock granted to executive personnel.</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$1.9 million from $6.0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2017 to $7.9 million for the year ended December 31, 2018. The increase was due primarily to increased personnel and other general and administrative costs.</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Other Expense (Income), Net</w:t>
      </w:r>
      <w:r>
        <w:rPr>
          <w:rFonts w:ascii="Arial" w:cs="Arial" w:eastAsia="Arial" w:hAnsi="Arial"/>
          <w:sz w:val="17"/>
          <w:szCs w:val="17"/>
          <w:color w:val="auto"/>
        </w:rPr>
        <w:t>. Other income increased by $0.7 million from $0.2 million for the year ended December 31, 2017 to $0.9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year ended December 31, 2018. The increase is mainly due to an increase in interest income during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primary sources of cash have been from the sale of equity securities, and the issuance of debt.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3"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6"/>
          <w:szCs w:val="16"/>
          <w:color w:val="auto"/>
        </w:rPr>
        <w:t>As of December 31, 2019, we had $140.4 million in cash and cash equivalents, and investment securities. We anticipate that our cash and cash equivalents, and investment securities as of December 31, 2019 will provide sufficient liquidity for more than a twelve-month period from the date of filing this Annual Report on Form 10-K.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5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Cash used in operating activities for the year ended December 31, 2019 was $132.8 million as compared to $128.9 million for the year ended December 31, 2018. The increase in cash used in operating activities was due primarily to increased expenditures associated with our clinical development programs for ublituximab and umbralisib.</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For the year ended December 31, 2019, net cash used in investing activities was $0.7 million as compared to cash provided by investing activities of $1.2 million for the year ended December 31, 2018. The decrease in net cash provided by investing activities was primarily due to greater proceeds from the sale of short-term securities during the year ended December 31, 2018.</w:t>
      </w:r>
    </w:p>
    <w:p>
      <w:pPr>
        <w:spacing w:after="0" w:line="16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For the year ended December 31, 2019, net cash provided by financing activities of $204.2 million related to the net proceeds from debt financings and net proceeds from the issuance of common stock as part of our ATM program, a public offering in March 2019, and a registered direct offering in December 2019.</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Program</w:t>
      </w:r>
    </w:p>
    <w:p>
      <w:pPr>
        <w:spacing w:after="0" w:line="21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(the "2015 ATM") with MLV &amp; Co. LLC (“MLV”) such that we were able to issue and sell additional shares of our common stock, having an aggregate offering price of up to $175.0 million, from time to time through MLV and FBR Capital Markets &amp; Co. ("FBR", each of MLV and FBR individually an "Agent" and collectively the "Agents"), acting as the sales agents. Under the 2015 ATM, we paid the Agents a commission rate of up to 3.0% of the gross proceeds from the sale of any shares of common stock sold through the Agents.</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During the year ended December 31, 2017, we sold a total of 3,104,253 shares of common stock under the 2015 ATM for aggregate total gross proceeds of approximately $31.6 million at an average selling price of $10.18 per share, resulting in net proceeds of approximately $31.0 million after deducting commissions and other transaction costs.</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In May 2017, we filed a shelf registration statement on Form S-3 (the "2017 S-3"), which was declared effective in June 2017. Under the 2017 S-3, we may sell up to a total of $300 million of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an "Agent" and collectively, the "2017 Agents"), relating to the sale of shares of our common stock. Under the 2017 ATM we paid the 2017 Agents a commission rate of up to 3.0% of the gross proceeds from the sale of any shares of common stock.</w:t>
      </w:r>
    </w:p>
    <w:p>
      <w:pPr>
        <w:spacing w:after="0" w:line="17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During the year ended December 31, 2018, we sold a total of 9,025,222 shares of common stock under the 2017 ATM for aggregate total gross proceeds of approximately $115.8 million at an average selling price of $12.83 per share, resulting in net proceeds of approximately $113.7 million after deducting commissions and other transactions costs.</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During the year ended December 31, 2019, we sold a total of 13,620,165 shares of common stock under the 2017 ATM for aggregate total gross proceeds of approximately $99.3 million at an average selling price of $7.29 per share, resulting in net proceeds of approximately $97.5 million after deducting commissions and other transactions costs.</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On September 5, 2019, we filed an automatic "shelf registration" statement on Form S-3 (the "2019 WKSI") as a "well-known seasoned issuer" as defined in Rule 405 under the Securities Act of 1933, as amended. Under this shelf process, we may sell any combination of the securities described in the related prospectus in one or more offerings.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Financings</w:t>
      </w:r>
    </w:p>
    <w:p>
      <w:pPr>
        <w:spacing w:after="0" w:line="21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In March 2017, we completed an underwritten public offering of 5,128,206 shares of our common stock (plus a 30-day underwriter overallotment option to purchase up to an additional 769,230 shares of common stock, which was exercised) at a price of $9.75 per share. Net proceeds from this offering, including the overallotment option, were approximately $54 million, net of underwriting discounts and offering expenses of approximately $3.6 million.</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On March 1, 2019, we completed a public offering of 4,100,000 shares of our common stock (plus a 30-day underwriter overallotment option to purchase up to an additional 615,000 shares of common stock, which was exercised) at a price of $5.87. Proceeds from this offering, including the overallotment, after underwriting discounts and offering expenses were approximately $27.5 million.</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December 22, 2019, we completed a securities purchase agreement with an institutional investor in which we agreed to sell 5,434,783 shares of our common stock at a price of $9.20. Net proceeds from this offering were approximately $50.0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Financings</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On February 28, 2019 (the “Closing Date”), we entered into a term loan facility of up to $60.0 million (“Term Loan”) with Hercules Capital, Inc. (“Hercules”), the proceeds of which will be used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Two additional advances of $10.0 million may be drawn at our option but subject to certain clinical trial milestones, and the fourth advance of $10.0 million, available in minimum increments of $5.0 million, is available through December 15, 2020 subject to the approval of Hercules’ investment committee.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Term Loan will mature on March 1, 2022 (the “Loan Maturity Date”). Each advance accrues interest at a per annum rate of interest equal to the greater of either (i) the “prime rate” as reported in The Wall Street Journal plus 4.75%, and (ii) 10.25%. The Term Loan provides for interest-only payments until October 1, 2020. The interest-only period may be extended to April 1, 2021 if on or before September 30, 2020, we achieve either the third milestone or we have raised at least $150.0 million in unrestricted net cash proceeds from one or more equity financings, subordinated indebtedness and/or upfront proceeds from business development transactions permitted under the Loan Agreement, in each case after February 7, 2019, and prior to September 30, 2020 (“Milestone IV”). Thereafter, amortization payments will be payable monthly in eighteen installments (or, if the period requiring interest-only payments has been extended to April 1, 2021, in twelve installments) of principal and interest (subject to recalculation upon a change in prime rates). As a result of the Company having raised in excess of $150 million before the required timeline in the Loan Agreement, the interest-only period has been extended to April 1, 2021. At our option upon seven business days’ prior written notice to Hercules, we may prepay all or any portion greater than or equal to $5.0 million of the outstanding advances by paying the entire principal balance (or portion thereof), all accrued and unpaid interest, subject to a prepayment charge of 3.0%, if such advance is prepaid in any of the first twelve months following the Closing Date; 1.5%, if such advance is prepaid after twelve months following the Closing Date but on or prior to twenty-four months following the Closing Date; and 0% thereafter. In addition, a final payment equal to 3.5% of the aggregate principal amount of the loan extended by Hercules is due on the maturity date. Amounts outstanding during an event of default shall be payable on demand and accrue interest at an additional rate of 4.0% per annum of the past due amount outstanding.</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Term Loan is secured by a lien on substantially all of our assets, other than intellectual property and contains customary covenants and representations, including a liquidity covenant, financial reporting covenant and limitations on dividends, indebtedness, collateral, investments, distributions, transfers, mergers or acquisitions, taxes, corporate changes, deposit accounts, and subsidiaries.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events of default under the Loan Agreement include, without limitation, and subject to customary grace periods, (1) our failure to make any payments of principal or interest under the Loan Agreement, promissory notes or other loan documents, (2) our breach or default in the performance of any covenant under the Loan Agreement, (3) the occurrence of a material adverse effect, (4) a false or misleading representation or warranty in any material respect, (5) our insolvency or bankruptcy, (6) certain attachments or judgments on the Borrower’s assets, or (7) the occurrence of any material default under certain agreements or obligations involving indebtedness in excess of $750,000. If an event of default occurs, Hercules is entitled to take enforcement action, including acceleration of amounts due under the Loan Agreement.</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Loan Agreement also contains warrant coverage of 2% of the total amount funded. A warrant (the “Hercules Warrant”) was issued to Hercules to purchase 147,058 shares of common stock with an exercise price of $4.08. The Hercules Warrant is exercisable for seven years from the date of issuance. Hercules may exercise the Hercules Warrant either by (a) cash or check or (b) through a net issuance conversion. The shares will be registered and freely tradeable within six months of issuance. We accounted for the Hercules Warrant as an equity instrument since it was indexed to our common shares and met the criteria for classification in shareholders’ equity. The relative fair value of the Hercules Warrant on the date of issuance was approximately $1.0 million and was recorded as debt issuance costs and as an offset to the Term Loan. This amount will be amortized to interest expense using the straight-line method, which approximates the effective interest method, over the life of the Term Loan.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COMMITMENTS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2019, we have known contractual obligations, commitments and contingencies of $97.6 million related to our long-term liabilities and operating lease obligations.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20"/>
                <w:szCs w:val="20"/>
                <w:color w:val="auto"/>
              </w:rPr>
            </w:pPr>
            <w:r>
              <w:rPr>
                <w:rFonts w:ascii="Arial" w:cs="Arial" w:eastAsia="Arial" w:hAnsi="Arial"/>
                <w:sz w:val="14"/>
                <w:szCs w:val="14"/>
                <w:b w:val="1"/>
                <w:bCs w:val="1"/>
                <w:color w:val="auto"/>
              </w:rPr>
              <w:t>Payment due by period (in thousands)</w:t>
            </w:r>
          </w:p>
        </w:tc>
        <w:tc>
          <w:tcPr>
            <w:tcW w:w="2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Less than 1 year</w:t>
            </w:r>
          </w:p>
        </w:tc>
        <w:tc>
          <w:tcPr>
            <w:tcW w:w="140" w:type="dxa"/>
            <w:vAlign w:val="bottom"/>
          </w:tcPr>
          <w:p>
            <w:pPr>
              <w:spacing w:after="0"/>
              <w:rPr>
                <w:sz w:val="16"/>
                <w:szCs w:val="16"/>
                <w:color w:val="auto"/>
              </w:rPr>
            </w:pPr>
          </w:p>
        </w:tc>
        <w:tc>
          <w:tcPr>
            <w:tcW w:w="820" w:type="dxa"/>
            <w:vAlign w:val="bottom"/>
            <w:vMerge w:val="restart"/>
          </w:tcPr>
          <w:p>
            <w:pPr>
              <w:jc w:val="right"/>
              <w:ind w:right="114"/>
              <w:spacing w:after="0" w:line="161" w:lineRule="exact"/>
              <w:rPr>
                <w:sz w:val="20"/>
                <w:szCs w:val="20"/>
                <w:color w:val="auto"/>
              </w:rPr>
            </w:pPr>
            <w:r>
              <w:rPr>
                <w:rFonts w:ascii="Arial" w:cs="Arial" w:eastAsia="Arial" w:hAnsi="Arial"/>
                <w:sz w:val="14"/>
                <w:szCs w:val="14"/>
                <w:b w:val="1"/>
                <w:bCs w:val="1"/>
                <w:color w:val="auto"/>
                <w:w w:val="99"/>
              </w:rPr>
              <w:t>1</w:t>
            </w:r>
            <w:r>
              <w:rPr>
                <w:rFonts w:ascii="MS PGothic" w:cs="MS PGothic" w:eastAsia="MS PGothic" w:hAnsi="MS PGothic"/>
                <w:sz w:val="14"/>
                <w:szCs w:val="14"/>
                <w:b w:val="1"/>
                <w:bCs w:val="1"/>
                <w:color w:val="auto"/>
                <w:w w:val="99"/>
              </w:rPr>
              <w:t>‑</w:t>
            </w:r>
            <w:r>
              <w:rPr>
                <w:rFonts w:ascii="Arial" w:cs="Arial" w:eastAsia="Arial" w:hAnsi="Arial"/>
                <w:sz w:val="14"/>
                <w:szCs w:val="14"/>
                <w:b w:val="1"/>
                <w:bCs w:val="1"/>
                <w:color w:val="auto"/>
                <w:w w:val="99"/>
              </w:rPr>
              <w:t>3 years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114"/>
              <w:spacing w:after="0" w:line="161" w:lineRule="exact"/>
              <w:rPr>
                <w:sz w:val="20"/>
                <w:szCs w:val="20"/>
                <w:color w:val="auto"/>
              </w:rPr>
            </w:pPr>
            <w:r>
              <w:rPr>
                <w:rFonts w:ascii="Arial" w:cs="Arial" w:eastAsia="Arial" w:hAnsi="Arial"/>
                <w:sz w:val="14"/>
                <w:szCs w:val="14"/>
                <w:b w:val="1"/>
                <w:bCs w:val="1"/>
                <w:color w:val="auto"/>
                <w:w w:val="99"/>
              </w:rPr>
              <w:t>3</w:t>
            </w:r>
            <w:r>
              <w:rPr>
                <w:rFonts w:ascii="MS PGothic" w:cs="MS PGothic" w:eastAsia="MS PGothic" w:hAnsi="MS PGothic"/>
                <w:sz w:val="14"/>
                <w:szCs w:val="14"/>
                <w:b w:val="1"/>
                <w:bCs w:val="1"/>
                <w:color w:val="auto"/>
                <w:w w:val="99"/>
              </w:rPr>
              <w:t>‑</w:t>
            </w:r>
            <w:r>
              <w:rPr>
                <w:rFonts w:ascii="Arial" w:cs="Arial" w:eastAsia="Arial" w:hAnsi="Arial"/>
                <w:sz w:val="14"/>
                <w:szCs w:val="14"/>
                <w:b w:val="1"/>
                <w:bCs w:val="1"/>
                <w:color w:val="auto"/>
                <w:w w:val="99"/>
              </w:rPr>
              <w:t>5 years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2"/>
              </w:rPr>
              <w:t>More than 5 years</w:t>
            </w:r>
          </w:p>
        </w:tc>
        <w:tc>
          <w:tcPr>
            <w:tcW w:w="0" w:type="dxa"/>
            <w:vAlign w:val="bottom"/>
          </w:tcPr>
          <w:p>
            <w:pPr>
              <w:spacing w:after="0"/>
              <w:rPr>
                <w:sz w:val="1"/>
                <w:szCs w:val="1"/>
                <w:color w:val="auto"/>
              </w:rPr>
            </w:pPr>
          </w:p>
        </w:tc>
      </w:tr>
      <w:tr>
        <w:trPr>
          <w:trHeight w:val="134"/>
        </w:trPr>
        <w:tc>
          <w:tcPr>
            <w:tcW w:w="4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Contractual obligations</w:t>
            </w: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Operating leases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20,440</w:t>
            </w: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3,785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manufacturer</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47,168</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97,608</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Manufacturer</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2018, we entered into an agreement with a contract manufacturer for the clinical and potential commercial supply of one of our product candidates. As part of this agreement, the contract manufacturer has agreed to defer payment of certain costs and expenses under the agreement in exchange for the payment of an administrative fee. We have incurred expenses related to this agreement of approximately $47.2 million as of December 31, 2019, which include both service fees, raw material costs and administrative fees. No payments have been made to the contract manufacturer as of December 31, 2019. Accordingly, as of December 31, 2019, $47.2 million is included in current liabilities in the Company’s consolidated balance sheet, of which $19.6 million is due in the first quarter of 2020. As of December 31, 2018, $18.4 million is included in long-term liabilities in the Company’s consolidated balance sheet. We will incur an administrative fee of six percent (6%) per year starting from the date of invoice issuance. For the year ended December 31, 2019, we have accrued $1.2 million in administrative fees in connection with these costs, which has been included in interest expense in the Company’s consolidated statements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$1.4 million under the Office Agreement. We began to occupy this new space in April 2016, with rental payments beginning in the third quarter of 2016. At January 1, 2019, we recognized a lease liability and corresponding Right of Use (“ROU”) asset based on the present value of the remaining lease payments for all of our leased office spaces, the majority of which is comprised of our New York City office space. The present values of our lease liability and corresponding ROU asset are $11.8 million and $9.4 million, respectively, as of December 31, 2019. Our leases have remaining lease terms of 4 months to 12 years. One lease has a renewal option to extend the lease for an additional term of 2 years.</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Under the Office Agreement, we agreed to pay FBIO our portion of the build out costs, which have been allocated to us at the 45% rate mentioned above. The allocated build-out costs have been recorded in Leasehold Interest, net on the Company’s consolidated balance sheets and will be amortized over the 15-year term of the Office Agreement. 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December 31, 2019, the allocation rate is 61% and will be evaluated again in August 2020 for the following rent year.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rental expense was approximately $2.7 million, $1.4 million and $1.4 million for the years ended December 31, 2019, 2018 and 2017,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Future minimum lease commitments as of December 31, 2019 total, in the aggregate, approximately $19.9 million through December 31, 2031. The preceding table shows future minimum lease commitments, which include our office leases in New York, New Jersey, North Carolina and Tennessee by period as of December 31,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7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Effective January 1, 2018, the Company began recognizing revenue under Accounting Standards Codification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using the modified retrospective transition method. The impact of adopting the new revenue standard was not material to our consolidated financial statements and there was no adjustment to beginning retained earnings on January 1, 2018. The core principle of this new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65" w:lineRule="exact"/>
        <w:rPr>
          <w:sz w:val="20"/>
          <w:szCs w:val="20"/>
          <w:color w:val="auto"/>
        </w:rPr>
      </w:pPr>
    </w:p>
    <w:p>
      <w:pPr>
        <w:ind w:left="1000" w:hanging="32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184" w:lineRule="exact"/>
        <w:rPr>
          <w:rFonts w:ascii="Arial" w:cs="Arial" w:eastAsia="Arial" w:hAnsi="Arial"/>
          <w:sz w:val="18"/>
          <w:szCs w:val="18"/>
          <w:color w:val="auto"/>
        </w:rPr>
      </w:pPr>
    </w:p>
    <w:p>
      <w:pPr>
        <w:ind w:left="1000" w:hanging="32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184" w:lineRule="exact"/>
        <w:rPr>
          <w:rFonts w:ascii="Arial" w:cs="Arial" w:eastAsia="Arial" w:hAnsi="Arial"/>
          <w:sz w:val="18"/>
          <w:szCs w:val="18"/>
          <w:color w:val="auto"/>
        </w:rPr>
      </w:pPr>
    </w:p>
    <w:p>
      <w:pPr>
        <w:ind w:left="1000" w:hanging="32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198" w:lineRule="exact"/>
        <w:rPr>
          <w:rFonts w:ascii="Arial" w:cs="Arial" w:eastAsia="Arial" w:hAnsi="Arial"/>
          <w:sz w:val="18"/>
          <w:szCs w:val="18"/>
          <w:color w:val="auto"/>
        </w:rPr>
      </w:pPr>
    </w:p>
    <w:p>
      <w:pPr>
        <w:ind w:left="1000" w:hanging="32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184" w:lineRule="exact"/>
        <w:rPr>
          <w:rFonts w:ascii="Arial" w:cs="Arial" w:eastAsia="Arial" w:hAnsi="Arial"/>
          <w:sz w:val="18"/>
          <w:szCs w:val="18"/>
          <w:color w:val="auto"/>
        </w:rPr>
      </w:pPr>
    </w:p>
    <w:p>
      <w:pPr>
        <w:ind w:left="1000" w:hanging="32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81" w:lineRule="exact"/>
        <w:rPr>
          <w:sz w:val="20"/>
          <w:szCs w:val="20"/>
          <w:color w:val="auto"/>
        </w:rPr>
      </w:pPr>
    </w:p>
    <w:p>
      <w:pPr>
        <w:ind w:left="1000" w:right="20" w:hanging="32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customer can benefit from the good or service either on its own or together with other resources that are readily available to the customer (i.e., the good or service is capable of being distinct).</w:t>
      </w:r>
    </w:p>
    <w:p>
      <w:pPr>
        <w:spacing w:after="0" w:line="170" w:lineRule="exact"/>
        <w:rPr>
          <w:rFonts w:ascii="Arial" w:cs="Arial" w:eastAsia="Arial" w:hAnsi="Arial"/>
          <w:sz w:val="18"/>
          <w:szCs w:val="18"/>
          <w:color w:val="auto"/>
        </w:rPr>
      </w:pPr>
    </w:p>
    <w:p>
      <w:pPr>
        <w:ind w:left="1000" w:right="20" w:hanging="32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70"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Stock Compensation</w:t>
      </w:r>
      <w:r>
        <w:rPr>
          <w:rFonts w:ascii="Arial" w:cs="Arial" w:eastAsia="Arial" w:hAnsi="Arial"/>
          <w:sz w:val="16"/>
          <w:szCs w:val="16"/>
          <w:color w:val="auto"/>
        </w:rPr>
        <w:t>. We have granted stock options and restricted stock to employees, directors and consultants, as well as warrants to</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third parties. For employee, director and consultant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because some of the options, restricted stock and warrants issued to employees, consultants and other third parties vest upon the achievement of certain milestones, the total expense is uncertain. Compensation expense for such awards that vest upon the achievement of milestones is recognized when the achievement of such milestone becomes probable.</w:t>
      </w:r>
    </w:p>
    <w:p>
      <w:pPr>
        <w:spacing w:after="0" w:line="16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w:t>
      </w:r>
      <w:r>
        <w:rPr>
          <w:rFonts w:ascii="Arial" w:cs="Arial" w:eastAsia="Arial" w:hAnsi="Arial"/>
          <w:sz w:val="16"/>
          <w:szCs w:val="16"/>
          <w:i w:val="1"/>
          <w:iCs w:val="1"/>
          <w:color w:val="auto"/>
        </w:rPr>
        <w:t xml:space="preserve"> </w:t>
      </w:r>
      <w:r>
        <w:rPr>
          <w:rFonts w:ascii="Arial" w:cs="Arial" w:eastAsia="Arial" w:hAnsi="Arial"/>
          <w:sz w:val="16"/>
          <w:szCs w:val="16"/>
          <w:color w:val="auto"/>
        </w:rPr>
        <w:t>of the 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16"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6"/>
          <w:szCs w:val="16"/>
          <w:color w:val="auto"/>
        </w:rPr>
        <w:t>In July 2018, the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6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ASC 840, Leases (“ASC 840”).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ASU 2018-11 is effective for public business entities for fiscal years beginning after December 15, 2018, and interim periods within those fiscal years, with earlier adoption permitted. The Company adopted ASU 2018-11 on January 1, 2019 using a modified retrospective method and will not restate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right of use assets and lease liabilities to our consolidated balance sheets at January 1, 2019, primarily relating to our lease of office space (see Note 8). The impact to our consolidated statements of operations was not material as a result of this standard.</w:t>
      </w:r>
    </w:p>
    <w:p>
      <w:pPr>
        <w:spacing w:after="0" w:line="18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ASU 2018-07 is effective for public business entities for fiscal years beginning after December 15, 2018, including interim periods within that fiscal year. Early adoption is permitted, but no earlier than an entity’s adoption date of Topic 606.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9"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The primary objective of our investment activities is to preserve principal while maximizing our income from investments and minimizing our market risk. We currently invest in government and investment-grade corporate debt in accordance with our investment policy, which we may change from time to time.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December 31, 2019, our portfolio of financial instruments consists of cash equivalents and short-term interest-bearing securities, including government debt and money market funds. The average duration of all of our held-to-maturity investments held as of December 31, 2019, was less than 12 months. Due to the relatively short-term nature of these financial instruments, we believe there is no material exposure to interest rate risk, and/or credit risk, arising from our portfolio of financial instruments.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consolidated financial statements and the notes thereto, included in Part IV, Item 15(a), part 1, are incorporated by reference into this Item 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As of December 31, 2019, management carried out an evaluation,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supervision and with the participation of our Chief Executive Officer and our Chief Financial Officer, of the effectiveness of the design and operation of our disclosure controls and procedures (as defined in Rules 13a-15(e) and 15d-15(e) of the Securities Exchange Act of 1934, as amended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and Chief Financial Officers concluded that, as of December 31, 2019, our disclosure controls and procedures were effective.</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Management’s Annual Report on Internal Control over Financial Reporting. </w:t>
      </w:r>
      <w:r>
        <w:rPr>
          <w:rFonts w:ascii="Arial" w:cs="Arial" w:eastAsia="Arial" w:hAnsi="Arial"/>
          <w:sz w:val="17"/>
          <w:szCs w:val="17"/>
          <w:color w:val="auto"/>
        </w:rPr>
        <w:t>Our management is responsible for establishing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maintaining adequate internal control over financial reporting (as defined in Rule 13a-15(f) or Rule 15d-15(f) under the Exchange Act). Our management assessed the effectiveness of our internal control over financial reporting as of December 31, 2019. In making this assessment, our management used the criteria established in Internal Control – Integrated Framework (2013) issued by the Committee of Sponsoring Organizations of the Treadway Commission, or COSO Framework. Our management has concluded that, as of December 31, 2019, our internal control over financial reporting was effective based on these criteria.</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effectiveness of our internal control over financial reporting as of December 31, 2019 was audited by CohnReznick LLP, our independent registered public accounting firm, as stated in their report appearing below, which expressed an unqualified opinion on the effectiveness of our internal control over financial reporting as of December 31, 2019.</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quarter ended December 31, 2019 that have materially affected, or are reasonably likely to materially affect, our internal control over financial reporting.</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Our management, including our Chief Executive Officer and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audited TG Therapeutics, Inc. (the Company’s) internal control over financial reporting as of December 31, 2019,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December 31, 2019, based on criteria established in Internal Control—Integrated Framework (2013) issued by COSO.</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Stated) (PCAOB), the consolidated balance sheets and the related consolidated statements of operations, stockholders’ equity and cash flows of the Company as of December 31, 2019 and 2018 and for each of the three years in the period ended December 31, 2019 and our report dated March 2, 2020,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ectPr>
          <w:pgSz w:w="11900" w:h="16838" w:orient="portrait"/>
          <w:cols w:equalWidth="0" w:num="1">
            <w:col w:w="10380"/>
          </w:cols>
          <w:pgMar w:left="760" w:top="517" w:right="7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372745</wp:posOffset>
            </wp:positionV>
            <wp:extent cx="659511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2020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2020 Annual Meeting of Stockholders.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2020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2020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from our Proxy Statement for our 2020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1060" w:hanging="414"/>
        <w:spacing w:after="0"/>
        <w:tabs>
          <w:tab w:leader="none" w:pos="10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gridSpan w:val="10"/>
          </w:tcPr>
          <w:p>
            <w:pPr>
              <w:spacing w:after="0"/>
              <w:rPr>
                <w:sz w:val="20"/>
                <w:szCs w:val="20"/>
                <w:color w:val="auto"/>
              </w:rPr>
            </w:pPr>
            <w:r>
              <w:rPr>
                <w:rFonts w:ascii="Arial" w:cs="Arial" w:eastAsia="Arial" w:hAnsi="Arial"/>
                <w:sz w:val="18"/>
                <w:szCs w:val="18"/>
                <w:color w:val="auto"/>
              </w:rPr>
              <w:t>The following consolidated financial statements of TG Therapeutics, Inc. are filed as part of this report.</w:t>
            </w:r>
          </w:p>
        </w:tc>
        <w:tc>
          <w:tcPr>
            <w:tcW w:w="1020" w:type="dxa"/>
            <w:vAlign w:val="bottom"/>
          </w:tcPr>
          <w:p>
            <w:pPr>
              <w:spacing w:after="0"/>
              <w:rPr>
                <w:sz w:val="20"/>
                <w:szCs w:val="20"/>
                <w:color w:val="auto"/>
              </w:rPr>
            </w:pPr>
          </w:p>
        </w:tc>
      </w:tr>
      <w:tr>
        <w:trPr>
          <w:trHeight w:val="446"/>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Contents</w:t>
            </w: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169"/>
        </w:trPr>
        <w:tc>
          <w:tcPr>
            <w:tcW w:w="20" w:type="dxa"/>
            <w:vAlign w:val="bottom"/>
          </w:tcPr>
          <w:p>
            <w:pPr>
              <w:spacing w:after="0"/>
              <w:rPr>
                <w:sz w:val="14"/>
                <w:szCs w:val="14"/>
                <w:color w:val="auto"/>
              </w:rPr>
            </w:pPr>
          </w:p>
        </w:tc>
        <w:tc>
          <w:tcPr>
            <w:tcW w:w="9080" w:type="dxa"/>
            <w:vAlign w:val="bottom"/>
            <w:tcBorders>
              <w:top w:val="single" w:sz="8" w:color="auto"/>
            </w:tcBorders>
            <w:gridSpan w:val="8"/>
          </w:tcPr>
          <w:p>
            <w:pPr>
              <w:spacing w:after="0" w:line="170" w:lineRule="exact"/>
              <w:rPr>
                <w:rFonts w:ascii="Arial" w:cs="Arial" w:eastAsia="Arial" w:hAnsi="Arial"/>
                <w:sz w:val="18"/>
                <w:szCs w:val="18"/>
                <w:color w:val="0000EE"/>
              </w:rPr>
            </w:pPr>
            <w:hyperlink w:anchor="page94">
              <w:r>
                <w:rPr>
                  <w:rFonts w:ascii="Arial" w:cs="Arial" w:eastAsia="Arial" w:hAnsi="Arial"/>
                  <w:sz w:val="18"/>
                  <w:szCs w:val="18"/>
                  <w:color w:val="0000EE"/>
                </w:rPr>
                <w:t>Report of Independent Registered Public Accounting Firm</w:t>
              </w:r>
            </w:hyperlink>
          </w:p>
        </w:tc>
        <w:tc>
          <w:tcPr>
            <w:tcW w:w="260" w:type="dxa"/>
            <w:vAlign w:val="bottom"/>
          </w:tcPr>
          <w:p>
            <w:pPr>
              <w:spacing w:after="0"/>
              <w:rPr>
                <w:sz w:val="14"/>
                <w:szCs w:val="14"/>
                <w:color w:val="auto"/>
              </w:rPr>
            </w:pPr>
          </w:p>
        </w:tc>
        <w:tc>
          <w:tcPr>
            <w:tcW w:w="10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6"/>
              </w:rPr>
              <w:t>F-1</w:t>
            </w:r>
          </w:p>
        </w:tc>
      </w:tr>
      <w:tr>
        <w:trPr>
          <w:trHeight w:val="20"/>
        </w:trPr>
        <w:tc>
          <w:tcPr>
            <w:tcW w:w="316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Consolidated Balance Sheets as of December 31, 2019 and 2018</w:t>
              </w:r>
            </w:hyperlink>
          </w:p>
        </w:tc>
        <w:tc>
          <w:tcPr>
            <w:tcW w:w="4700" w:type="dxa"/>
            <w:vAlign w:val="bottom"/>
            <w:gridSpan w:val="5"/>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F-3</w:t>
            </w:r>
          </w:p>
        </w:tc>
      </w:tr>
      <w:tr>
        <w:trPr>
          <w:trHeight w:val="412"/>
        </w:trPr>
        <w:tc>
          <w:tcPr>
            <w:tcW w:w="68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Consolidated Statements of Operations for the years ended December 31, 2019, 2018 and 2017</w:t>
              </w:r>
            </w:hyperlink>
          </w:p>
        </w:tc>
        <w:tc>
          <w:tcPr>
            <w:tcW w:w="2500" w:type="dxa"/>
            <w:vAlign w:val="bottom"/>
            <w:gridSpan w:val="4"/>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F-4</w:t>
            </w:r>
          </w:p>
        </w:tc>
      </w:tr>
      <w:tr>
        <w:trPr>
          <w:trHeight w:val="412"/>
        </w:trPr>
        <w:tc>
          <w:tcPr>
            <w:tcW w:w="9360" w:type="dxa"/>
            <w:vAlign w:val="bottom"/>
            <w:gridSpan w:val="10"/>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Consolidated Statements of Stockholders’ Equity for the years ended December 31, 2019, 2018 and 2017</w:t>
              </w:r>
            </w:hyperlink>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F-5</w:t>
            </w:r>
          </w:p>
        </w:tc>
      </w:tr>
      <w:tr>
        <w:trPr>
          <w:trHeight w:val="412"/>
        </w:trPr>
        <w:tc>
          <w:tcPr>
            <w:tcW w:w="7580" w:type="dxa"/>
            <w:vAlign w:val="bottom"/>
            <w:tcBorders>
              <w:top w:val="single" w:sz="8" w:color="0000EE"/>
            </w:tcBorders>
            <w:gridSpan w:val="8"/>
          </w:tcPr>
          <w:p>
            <w:pPr>
              <w:spacing w:after="0"/>
              <w:rPr>
                <w:rFonts w:ascii="Arial" w:cs="Arial" w:eastAsia="Arial" w:hAnsi="Arial"/>
                <w:sz w:val="18"/>
                <w:szCs w:val="18"/>
                <w:color w:val="0000EE"/>
                <w:w w:val="97"/>
              </w:rPr>
            </w:pPr>
            <w:hyperlink w:anchor="page99">
              <w:r>
                <w:rPr>
                  <w:rFonts w:ascii="Arial" w:cs="Arial" w:eastAsia="Arial" w:hAnsi="Arial"/>
                  <w:sz w:val="18"/>
                  <w:szCs w:val="18"/>
                  <w:color w:val="0000EE"/>
                  <w:w w:val="97"/>
                </w:rPr>
                <w:t>Consolidated Statements of Cash Flows for the years ended December 31, 2019, 2018 and 2017</w:t>
              </w:r>
            </w:hyperlink>
          </w:p>
        </w:tc>
        <w:tc>
          <w:tcPr>
            <w:tcW w:w="1780" w:type="dxa"/>
            <w:vAlign w:val="bottom"/>
            <w:gridSpan w:val="2"/>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F-6</w:t>
            </w:r>
          </w:p>
        </w:tc>
      </w:tr>
      <w:tr>
        <w:trPr>
          <w:trHeight w:val="412"/>
        </w:trPr>
        <w:tc>
          <w:tcPr>
            <w:tcW w:w="6900" w:type="dxa"/>
            <w:vAlign w:val="bottom"/>
            <w:tcBorders>
              <w:top w:val="single" w:sz="8" w:color="0000EE"/>
            </w:tcBorders>
            <w:gridSpan w:val="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Notes to Consolidated Financial Statements</w:t>
              </w:r>
            </w:hyperlink>
          </w:p>
        </w:tc>
        <w:tc>
          <w:tcPr>
            <w:tcW w:w="2460" w:type="dxa"/>
            <w:vAlign w:val="bottom"/>
            <w:gridSpan w:val="3"/>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F-7</w:t>
            </w: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620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w:t>
            </w:r>
          </w:p>
        </w:tc>
        <w:tc>
          <w:tcPr>
            <w:tcW w:w="8440" w:type="dxa"/>
            <w:vAlign w:val="bottom"/>
            <w:gridSpan w:val="8"/>
          </w:tcPr>
          <w:p>
            <w:pPr>
              <w:ind w:left="140"/>
              <w:spacing w:after="0"/>
              <w:rPr>
                <w:sz w:val="20"/>
                <w:szCs w:val="20"/>
                <w:color w:val="auto"/>
              </w:rPr>
            </w:pPr>
            <w:r>
              <w:rPr>
                <w:rFonts w:ascii="Arial" w:cs="Arial" w:eastAsia="Arial" w:hAnsi="Arial"/>
                <w:sz w:val="18"/>
                <w:szCs w:val="18"/>
                <w:b w:val="1"/>
                <w:bCs w:val="1"/>
                <w:color w:val="auto"/>
              </w:rPr>
              <w:t>Consolidated Financial Statement Schedules</w:t>
            </w:r>
          </w:p>
        </w:tc>
        <w:tc>
          <w:tcPr>
            <w:tcW w:w="102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schedules are omitted as the information required is inapplicable or the information is presented in the consolidated financial statements or the related notes.</w:t>
      </w:r>
    </w:p>
    <w:p>
      <w:pPr>
        <w:spacing w:after="0" w:line="166" w:lineRule="exact"/>
        <w:rPr>
          <w:sz w:val="20"/>
          <w:szCs w:val="20"/>
          <w:color w:val="auto"/>
        </w:rPr>
      </w:pPr>
    </w:p>
    <w:p>
      <w:pPr>
        <w:ind w:left="1000" w:hanging="354"/>
        <w:spacing w:after="0"/>
        <w:tabs>
          <w:tab w:leader="none" w:pos="10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9580" w:type="dxa"/>
            <w:vAlign w:val="bottom"/>
          </w:tcPr>
          <w:p>
            <w:pPr>
              <w:spacing w:after="0"/>
              <w:rPr>
                <w:sz w:val="18"/>
                <w:szCs w:val="18"/>
                <w:color w:val="auto"/>
              </w:rPr>
            </w:pPr>
          </w:p>
        </w:tc>
      </w:tr>
      <w:tr>
        <w:trPr>
          <w:trHeight w:val="234"/>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9580" w:type="dxa"/>
            <w:vAlign w:val="bottom"/>
          </w:tcPr>
          <w:p>
            <w:pPr>
              <w:ind w:left="160"/>
              <w:spacing w:after="0"/>
              <w:rPr>
                <w:sz w:val="20"/>
                <w:szCs w:val="20"/>
                <w:color w:val="auto"/>
              </w:rPr>
            </w:pPr>
            <w:r>
              <w:rPr>
                <w:rFonts w:ascii="Arial" w:cs="Arial" w:eastAsia="Arial" w:hAnsi="Arial"/>
                <w:sz w:val="18"/>
                <w:szCs w:val="18"/>
                <w:b w:val="1"/>
                <w:bCs w:val="1"/>
                <w:color w:val="auto"/>
              </w:rPr>
              <w:t>Exhibit Description</w:t>
            </w:r>
          </w:p>
        </w:tc>
      </w:tr>
      <w:tr>
        <w:trPr>
          <w:trHeight w:val="392"/>
        </w:trPr>
        <w:tc>
          <w:tcPr>
            <w:tcW w:w="220" w:type="dxa"/>
            <w:vAlign w:val="bottom"/>
            <w:tcBorders>
              <w:bottom w:val="single" w:sz="8" w:color="0000EE"/>
            </w:tcBorders>
          </w:tcPr>
          <w:p>
            <w:pPr>
              <w:spacing w:after="0"/>
              <w:rPr>
                <w:rFonts w:ascii="Arial" w:cs="Arial" w:eastAsia="Arial" w:hAnsi="Arial"/>
                <w:sz w:val="18"/>
                <w:szCs w:val="18"/>
                <w:color w:val="0000EE"/>
                <w:w w:val="79"/>
              </w:rPr>
            </w:pPr>
            <w:hyperlink r:id="rId105">
              <w:r>
                <w:rPr>
                  <w:rFonts w:ascii="Arial" w:cs="Arial" w:eastAsia="Arial" w:hAnsi="Arial"/>
                  <w:sz w:val="18"/>
                  <w:szCs w:val="18"/>
                  <w:color w:val="0000EE"/>
                  <w:w w:val="79"/>
                </w:rPr>
                <w:t>3.</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3"/>
              </w:rPr>
              <w:t>Amended and Restated Certificate of Incorporation of TG Therapeutics, Inc. dated April 26, 2012 (incorporated by reference to</w:t>
            </w:r>
          </w:p>
        </w:tc>
      </w:tr>
      <w:tr>
        <w:trPr>
          <w:trHeight w:val="237"/>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Exhibit 3.2 to the Registrant’s Form 10-Q for the quarter ended June 30, 2012).</w:t>
            </w:r>
          </w:p>
        </w:tc>
      </w:tr>
      <w:tr>
        <w:trPr>
          <w:trHeight w:val="392"/>
        </w:trPr>
        <w:tc>
          <w:tcPr>
            <w:tcW w:w="220" w:type="dxa"/>
            <w:vAlign w:val="bottom"/>
            <w:tcBorders>
              <w:bottom w:val="single" w:sz="8" w:color="0000EE"/>
            </w:tcBorders>
          </w:tcPr>
          <w:p>
            <w:pPr>
              <w:spacing w:after="0"/>
              <w:rPr>
                <w:rFonts w:ascii="Arial" w:cs="Arial" w:eastAsia="Arial" w:hAnsi="Arial"/>
                <w:sz w:val="18"/>
                <w:szCs w:val="18"/>
                <w:color w:val="0000EE"/>
                <w:w w:val="79"/>
              </w:rPr>
            </w:pPr>
            <w:hyperlink r:id="rId106">
              <w:r>
                <w:rPr>
                  <w:rFonts w:ascii="Arial" w:cs="Arial" w:eastAsia="Arial" w:hAnsi="Arial"/>
                  <w:sz w:val="18"/>
                  <w:szCs w:val="18"/>
                  <w:color w:val="0000EE"/>
                  <w:w w:val="79"/>
                </w:rPr>
                <w:t>3.</w:t>
              </w:r>
              <w:r>
                <w:rPr>
                  <w:rFonts w:ascii="Arial" w:cs="Arial" w:eastAsia="Arial" w:hAnsi="Arial"/>
                  <w:sz w:val="18"/>
                  <w:szCs w:val="18"/>
                  <w:u w:val="single" w:color="auto"/>
                  <w:color w:val="0000EE"/>
                  <w:w w:val="79"/>
                </w:rPr>
                <w:t>2</w:t>
              </w:r>
            </w:hyperlink>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4"/>
              </w:rPr>
              <w:t>Certificate of Amendment to Amended and Restated Certificate of Incorporation of TG Therapeutics, Inc. dated June 9, 2014</w:t>
            </w:r>
          </w:p>
        </w:tc>
      </w:tr>
      <w:tr>
        <w:trPr>
          <w:trHeight w:val="237"/>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(incorporated by reference to Exhibit 3.2 to the Registrant’s Form 10-Q for the quarter ended June 30, 2014).</w:t>
            </w:r>
          </w:p>
        </w:tc>
      </w:tr>
      <w:tr>
        <w:trPr>
          <w:trHeight w:val="392"/>
        </w:trPr>
        <w:tc>
          <w:tcPr>
            <w:tcW w:w="220" w:type="dxa"/>
            <w:vAlign w:val="bottom"/>
            <w:tcBorders>
              <w:bottom w:val="single" w:sz="8" w:color="0000EE"/>
            </w:tcBorders>
          </w:tcPr>
          <w:p>
            <w:pPr>
              <w:spacing w:after="0"/>
              <w:rPr>
                <w:rFonts w:ascii="Arial" w:cs="Arial" w:eastAsia="Arial" w:hAnsi="Arial"/>
                <w:sz w:val="18"/>
                <w:szCs w:val="18"/>
                <w:color w:val="0000EE"/>
                <w:w w:val="79"/>
              </w:rPr>
            </w:pPr>
            <w:hyperlink r:id="rId107">
              <w:r>
                <w:rPr>
                  <w:rFonts w:ascii="Arial" w:cs="Arial" w:eastAsia="Arial" w:hAnsi="Arial"/>
                  <w:sz w:val="18"/>
                  <w:szCs w:val="18"/>
                  <w:color w:val="0000EE"/>
                  <w:w w:val="79"/>
                </w:rPr>
                <w:t>3.</w:t>
              </w:r>
              <w:r>
                <w:rPr>
                  <w:rFonts w:ascii="Arial" w:cs="Arial" w:eastAsia="Arial" w:hAnsi="Arial"/>
                  <w:sz w:val="18"/>
                  <w:szCs w:val="18"/>
                  <w:u w:val="single" w:color="auto"/>
                  <w:color w:val="0000EE"/>
                  <w:w w:val="79"/>
                </w:rPr>
                <w:t>3</w:t>
              </w:r>
            </w:hyperlink>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5"/>
              </w:rPr>
              <w:t>Amended and Restated Bylaws of TG Therapeutics, Inc. dated July 18, 2014 (incorporated by reference to Exhibit 3.1 to the</w:t>
            </w:r>
          </w:p>
        </w:tc>
      </w:tr>
      <w:tr>
        <w:trPr>
          <w:trHeight w:val="237"/>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Registrant’s Current Report on Form 8-K filed on July 21, 2014).</w:t>
            </w:r>
          </w:p>
        </w:tc>
      </w:tr>
      <w:tr>
        <w:trPr>
          <w:trHeight w:val="392"/>
        </w:trPr>
        <w:tc>
          <w:tcPr>
            <w:tcW w:w="220" w:type="dxa"/>
            <w:vAlign w:val="bottom"/>
            <w:tcBorders>
              <w:bottom w:val="single" w:sz="8" w:color="0000EE"/>
            </w:tcBorders>
          </w:tcPr>
          <w:p>
            <w:pPr>
              <w:spacing w:after="0"/>
              <w:rPr>
                <w:rFonts w:ascii="Arial" w:cs="Arial" w:eastAsia="Arial" w:hAnsi="Arial"/>
                <w:sz w:val="18"/>
                <w:szCs w:val="18"/>
                <w:color w:val="0000EE"/>
                <w:w w:val="79"/>
              </w:rPr>
            </w:pPr>
            <w:hyperlink r:id="rId108">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4"/>
              </w:rPr>
              <w:t>Specimen common stock certificate (incorporated by reference to Exhibit 4.1 to the Registrant’s Form 10-K for the year ended</w:t>
            </w:r>
          </w:p>
        </w:tc>
      </w:tr>
      <w:tr>
        <w:trPr>
          <w:trHeight w:val="237"/>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December 31, 2011).</w:t>
            </w:r>
          </w:p>
        </w:tc>
      </w:tr>
      <w:tr>
        <w:trPr>
          <w:trHeight w:val="392"/>
        </w:trPr>
        <w:tc>
          <w:tcPr>
            <w:tcW w:w="220" w:type="dxa"/>
            <w:vAlign w:val="bottom"/>
            <w:tcBorders>
              <w:bottom w:val="single" w:sz="8" w:color="0000EE"/>
            </w:tcBorders>
          </w:tcPr>
          <w:p>
            <w:pPr>
              <w:spacing w:after="0"/>
              <w:rPr>
                <w:rFonts w:ascii="Arial" w:cs="Arial" w:eastAsia="Arial" w:hAnsi="Arial"/>
                <w:sz w:val="18"/>
                <w:szCs w:val="18"/>
                <w:color w:val="0000EE"/>
                <w:w w:val="79"/>
              </w:rPr>
            </w:pPr>
            <w:hyperlink r:id="rId109">
              <w:r>
                <w:rPr>
                  <w:rFonts w:ascii="Arial" w:cs="Arial" w:eastAsia="Arial" w:hAnsi="Arial"/>
                  <w:sz w:val="18"/>
                  <w:szCs w:val="18"/>
                  <w:color w:val="0000EE"/>
                  <w:w w:val="79"/>
                </w:rPr>
                <w:t>4.</w:t>
              </w:r>
              <w:r>
                <w:rPr>
                  <w:rFonts w:ascii="Arial" w:cs="Arial" w:eastAsia="Arial" w:hAnsi="Arial"/>
                  <w:sz w:val="18"/>
                  <w:szCs w:val="18"/>
                  <w:u w:val="single" w:color="auto"/>
                  <w:color w:val="0000EE"/>
                  <w:w w:val="79"/>
                </w:rPr>
                <w:t>4</w:t>
              </w:r>
            </w:hyperlink>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3"/>
              </w:rPr>
              <w:t>Stockholder Protection Rights Agreement, dated July 18, 2014 between TG Therapeutics, Inc. and American Stock Transfer &amp;</w:t>
            </w:r>
          </w:p>
        </w:tc>
      </w:tr>
      <w:tr>
        <w:trPr>
          <w:trHeight w:val="222"/>
        </w:trPr>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w w:val="93"/>
              </w:rPr>
              <w:t>Trust Company, LLC, as Rights Agent (incorporated by reference to Exhibit 4.1 to the Registrant’s Current Report on Form 8-K</w:t>
            </w:r>
          </w:p>
        </w:tc>
      </w:tr>
      <w:tr>
        <w:trPr>
          <w:trHeight w:val="230"/>
        </w:trPr>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filed on July 21, 2014).</w:t>
            </w:r>
          </w:p>
        </w:tc>
      </w:tr>
      <w:tr>
        <w:trPr>
          <w:trHeight w:val="392"/>
        </w:trPr>
        <w:tc>
          <w:tcPr>
            <w:tcW w:w="220" w:type="dxa"/>
            <w:vAlign w:val="bottom"/>
            <w:tcBorders>
              <w:bottom w:val="single" w:sz="8" w:color="0000EE"/>
            </w:tcBorders>
          </w:tcPr>
          <w:p>
            <w:pPr>
              <w:spacing w:after="0"/>
              <w:rPr>
                <w:rFonts w:ascii="Arial" w:cs="Arial" w:eastAsia="Arial" w:hAnsi="Arial"/>
                <w:sz w:val="18"/>
                <w:szCs w:val="18"/>
                <w:color w:val="0000EE"/>
                <w:w w:val="79"/>
              </w:rPr>
            </w:pPr>
            <w:hyperlink w:anchor="page123">
              <w:r>
                <w:rPr>
                  <w:rFonts w:ascii="Arial" w:cs="Arial" w:eastAsia="Arial" w:hAnsi="Arial"/>
                  <w:sz w:val="18"/>
                  <w:szCs w:val="18"/>
                  <w:color w:val="0000EE"/>
                  <w:w w:val="79"/>
                </w:rPr>
                <w:t>4.</w:t>
              </w:r>
              <w:r>
                <w:rPr>
                  <w:rFonts w:ascii="Arial" w:cs="Arial" w:eastAsia="Arial" w:hAnsi="Arial"/>
                  <w:sz w:val="18"/>
                  <w:szCs w:val="18"/>
                  <w:u w:val="single" w:color="auto"/>
                  <w:color w:val="0000EE"/>
                  <w:w w:val="79"/>
                </w:rPr>
                <w:t>5</w:t>
              </w:r>
            </w:hyperlink>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Description of Securities of TG Therapeutics, Inc. #</w:t>
            </w:r>
          </w:p>
        </w:tc>
      </w:tr>
      <w:tr>
        <w:trPr>
          <w:trHeight w:val="412"/>
        </w:trPr>
        <w:tc>
          <w:tcPr>
            <w:tcW w:w="800" w:type="dxa"/>
            <w:vAlign w:val="bottom"/>
            <w:gridSpan w:val="3"/>
          </w:tcPr>
          <w:p>
            <w:pPr>
              <w:spacing w:after="0"/>
              <w:rPr>
                <w:rFonts w:ascii="Arial" w:cs="Arial" w:eastAsia="Arial" w:hAnsi="Arial"/>
                <w:sz w:val="18"/>
                <w:szCs w:val="18"/>
                <w:color w:val="0000EE"/>
              </w:rPr>
            </w:pPr>
            <w:hyperlink r:id="rId110">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9580" w:type="dxa"/>
            <w:vAlign w:val="bottom"/>
          </w:tcPr>
          <w:p>
            <w:pPr>
              <w:ind w:left="160"/>
              <w:spacing w:after="0"/>
              <w:rPr>
                <w:sz w:val="20"/>
                <w:szCs w:val="20"/>
                <w:color w:val="auto"/>
              </w:rPr>
            </w:pPr>
            <w:r>
              <w:rPr>
                <w:rFonts w:ascii="Arial" w:cs="Arial" w:eastAsia="Arial" w:hAnsi="Arial"/>
                <w:sz w:val="18"/>
                <w:szCs w:val="18"/>
                <w:color w:val="auto"/>
                <w:w w:val="92"/>
              </w:rPr>
              <w:t>Employment Agreement, effective December 29, 2011, between the Registrant and Michael Weiss (incorporated by reference to</w:t>
            </w:r>
          </w:p>
        </w:tc>
      </w:tr>
      <w:tr>
        <w:trPr>
          <w:trHeight w:val="237"/>
        </w:trPr>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Exhibit 10.30 to the Registrant’s Form 10-K for the fiscal year ended December 31, 2011). †</w:t>
            </w:r>
          </w:p>
        </w:tc>
      </w:tr>
      <w:tr>
        <w:trPr>
          <w:trHeight w:val="392"/>
        </w:trPr>
        <w:tc>
          <w:tcPr>
            <w:tcW w:w="800" w:type="dxa"/>
            <w:vAlign w:val="bottom"/>
            <w:gridSpan w:val="3"/>
          </w:tcPr>
          <w:p>
            <w:pPr>
              <w:spacing w:after="0"/>
              <w:rPr>
                <w:rFonts w:ascii="Arial" w:cs="Arial" w:eastAsia="Arial" w:hAnsi="Arial"/>
                <w:sz w:val="18"/>
                <w:szCs w:val="18"/>
                <w:color w:val="0000EE"/>
              </w:rPr>
            </w:pPr>
            <w:hyperlink r:id="rId111">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9580" w:type="dxa"/>
            <w:vAlign w:val="bottom"/>
          </w:tcPr>
          <w:p>
            <w:pPr>
              <w:ind w:left="160"/>
              <w:spacing w:after="0"/>
              <w:rPr>
                <w:sz w:val="20"/>
                <w:szCs w:val="20"/>
                <w:color w:val="auto"/>
              </w:rPr>
            </w:pPr>
            <w:r>
              <w:rPr>
                <w:rFonts w:ascii="Arial" w:cs="Arial" w:eastAsia="Arial" w:hAnsi="Arial"/>
                <w:sz w:val="18"/>
                <w:szCs w:val="18"/>
                <w:color w:val="auto"/>
                <w:w w:val="91"/>
              </w:rPr>
              <w:t>Restricted Stock Subscription Agreement, effective December 29, 2011, between the Registrant and Michael Weiss (incorporated</w:t>
            </w:r>
          </w:p>
        </w:tc>
      </w:tr>
      <w:tr>
        <w:trPr>
          <w:trHeight w:val="237"/>
        </w:trPr>
        <w:tc>
          <w:tcPr>
            <w:tcW w:w="2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80" w:type="dxa"/>
            <w:vAlign w:val="bottom"/>
          </w:tcPr>
          <w:p>
            <w:pPr>
              <w:spacing w:after="0"/>
              <w:rPr>
                <w:sz w:val="20"/>
                <w:szCs w:val="20"/>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by reference to Exhibit 10.31 to the Registrant’s Form 10-K for the fiscal year ended December 31, 2011). †</w:t>
            </w:r>
          </w:p>
        </w:tc>
      </w:tr>
    </w:tbl>
    <w:p>
      <w:pPr>
        <w:spacing w:after="0" w:line="200" w:lineRule="exact"/>
        <w:rPr>
          <w:sz w:val="20"/>
          <w:szCs w:val="20"/>
          <w:color w:val="auto"/>
        </w:rPr>
      </w:pPr>
    </w:p>
    <w:p>
      <w:pPr>
        <w:sectPr>
          <w:pgSz w:w="11900" w:h="16838" w:orient="portrait"/>
          <w:cols w:equalWidth="0" w:num="1">
            <w:col w:w="10380"/>
          </w:cols>
          <w:pgMar w:left="760" w:top="517" w:right="75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372745</wp:posOffset>
            </wp:positionV>
            <wp:extent cx="659511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960" w:hanging="958"/>
        <w:spacing w:after="0" w:line="308" w:lineRule="auto"/>
        <w:tabs>
          <w:tab w:leader="none" w:pos="940" w:val="left"/>
        </w:tabs>
        <w:rPr>
          <w:rFonts w:ascii="Arial" w:cs="Arial" w:eastAsia="Arial" w:hAnsi="Arial"/>
          <w:sz w:val="18"/>
          <w:szCs w:val="18"/>
          <w:color w:val="0000EE"/>
        </w:rPr>
      </w:pPr>
      <w:hyperlink r:id="rId113">
        <w:r>
          <w:rPr>
            <w:rFonts w:ascii="Arial" w:cs="Arial" w:eastAsia="Arial" w:hAnsi="Arial"/>
            <w:sz w:val="18"/>
            <w:szCs w:val="18"/>
            <w:u w:val="single" w:color="auto"/>
            <w:color w:val="0000EE"/>
          </w:rPr>
          <w:t>10.3</w:t>
        </w:r>
      </w:hyperlink>
      <w:r>
        <w:rPr>
          <w:rFonts w:ascii="Arial" w:cs="Arial" w:eastAsia="Arial" w:hAnsi="Arial"/>
          <w:sz w:val="18"/>
          <w:szCs w:val="18"/>
          <w:color w:val="0000EE"/>
        </w:rPr>
        <w:tab/>
      </w:r>
      <w:r>
        <w:rPr>
          <w:rFonts w:ascii="Arial" w:cs="Arial" w:eastAsia="Arial" w:hAnsi="Arial"/>
          <w:sz w:val="17"/>
          <w:szCs w:val="17"/>
          <w:color w:val="0000EE"/>
        </w:rPr>
        <w:t>Amendment to Restricted Stock Agreement, dated July 12, 2013, by and between TG Therapeutics, Inc. and Michael S. Weiss (incorporated by reference to Exhibit 10.1 to the Registrant’s Current Report on Form 8-K filed on July 16, 2013). †</w:t>
      </w:r>
    </w:p>
    <w:p>
      <w:pPr>
        <w:spacing w:after="0" w:line="147" w:lineRule="exact"/>
        <w:rPr>
          <w:sz w:val="20"/>
          <w:szCs w:val="20"/>
          <w:color w:val="auto"/>
        </w:rPr>
      </w:pPr>
    </w:p>
    <w:p>
      <w:pPr>
        <w:jc w:val="both"/>
        <w:ind w:left="960" w:hanging="958"/>
        <w:spacing w:after="0" w:line="342" w:lineRule="auto"/>
        <w:tabs>
          <w:tab w:leader="none" w:pos="940" w:val="left"/>
        </w:tabs>
        <w:rPr>
          <w:rFonts w:ascii="Arial" w:cs="Arial" w:eastAsia="Arial" w:hAnsi="Arial"/>
          <w:sz w:val="18"/>
          <w:szCs w:val="18"/>
          <w:color w:val="0000EE"/>
        </w:rPr>
      </w:pPr>
      <w:hyperlink r:id="rId114">
        <w:r>
          <w:rPr>
            <w:rFonts w:ascii="Arial" w:cs="Arial" w:eastAsia="Arial" w:hAnsi="Arial"/>
            <w:sz w:val="18"/>
            <w:szCs w:val="18"/>
            <w:u w:val="single" w:color="auto"/>
            <w:color w:val="0000EE"/>
          </w:rPr>
          <w:t>10.4</w:t>
        </w:r>
      </w:hyperlink>
      <w:r>
        <w:rPr>
          <w:rFonts w:ascii="Arial" w:cs="Arial" w:eastAsia="Arial" w:hAnsi="Arial"/>
          <w:sz w:val="18"/>
          <w:szCs w:val="18"/>
          <w:color w:val="0000EE"/>
        </w:rPr>
        <w:tab/>
      </w:r>
      <w:r>
        <w:rPr>
          <w:rFonts w:ascii="Arial" w:cs="Arial" w:eastAsia="Arial" w:hAnsi="Arial"/>
          <w:sz w:val="16"/>
          <w:szCs w:val="16"/>
          <w:color w:val="0000EE"/>
        </w:rPr>
        <w:t>Amendment to Restricted Stock Agreements, dated December 31, 2014, by and between TG Therapeutics, Inc. and Michael S. Weiss (incorporated by reference to Exhibit 10.1 to the Registrant’s Current Report on Form 8-K filed on January 7, 2015). †</w:t>
      </w:r>
    </w:p>
    <w:p>
      <w:pPr>
        <w:spacing w:after="0" w:line="124" w:lineRule="exact"/>
        <w:rPr>
          <w:sz w:val="20"/>
          <w:szCs w:val="20"/>
          <w:color w:val="auto"/>
        </w:rPr>
      </w:pPr>
    </w:p>
    <w:p>
      <w:pPr>
        <w:jc w:val="both"/>
        <w:ind w:left="960" w:hanging="958"/>
        <w:spacing w:after="0" w:line="277" w:lineRule="auto"/>
        <w:tabs>
          <w:tab w:leader="none" w:pos="940" w:val="left"/>
        </w:tabs>
        <w:rPr>
          <w:rFonts w:ascii="Arial" w:cs="Arial" w:eastAsia="Arial" w:hAnsi="Arial"/>
          <w:sz w:val="18"/>
          <w:szCs w:val="18"/>
          <w:color w:val="0000EE"/>
        </w:rPr>
      </w:pPr>
      <w:hyperlink r:id="rId115">
        <w:r>
          <w:rPr>
            <w:rFonts w:ascii="Arial" w:cs="Arial" w:eastAsia="Arial" w:hAnsi="Arial"/>
            <w:sz w:val="18"/>
            <w:szCs w:val="18"/>
            <w:u w:val="single" w:color="auto"/>
            <w:color w:val="0000EE"/>
          </w:rPr>
          <w:t>10.5</w:t>
        </w:r>
      </w:hyperlink>
      <w:r>
        <w:rPr>
          <w:rFonts w:ascii="Arial" w:cs="Arial" w:eastAsia="Arial" w:hAnsi="Arial"/>
          <w:sz w:val="18"/>
          <w:szCs w:val="18"/>
          <w:color w:val="0000EE"/>
        </w:rPr>
        <w:tab/>
        <w:t>Employment Agreement, effective December 29, 2011, between the Registrant and Sean Power (incorporated by reference to Exhibit 10.32 to the Registrant’s Form 10-K for the fiscal year ended December 31, 2011). †</w:t>
      </w:r>
    </w:p>
    <w:p>
      <w:pPr>
        <w:spacing w:after="0" w:line="170" w:lineRule="exact"/>
        <w:rPr>
          <w:sz w:val="20"/>
          <w:szCs w:val="20"/>
          <w:color w:val="auto"/>
        </w:rPr>
      </w:pPr>
    </w:p>
    <w:p>
      <w:pPr>
        <w:jc w:val="both"/>
        <w:ind w:left="960" w:hanging="958"/>
        <w:spacing w:after="0" w:line="308" w:lineRule="auto"/>
        <w:tabs>
          <w:tab w:leader="none" w:pos="940" w:val="left"/>
        </w:tabs>
        <w:rPr>
          <w:rFonts w:ascii="Arial" w:cs="Arial" w:eastAsia="Arial" w:hAnsi="Arial"/>
          <w:sz w:val="18"/>
          <w:szCs w:val="18"/>
          <w:color w:val="0000EE"/>
        </w:rPr>
      </w:pPr>
      <w:hyperlink r:id="rId116">
        <w:r>
          <w:rPr>
            <w:rFonts w:ascii="Arial" w:cs="Arial" w:eastAsia="Arial" w:hAnsi="Arial"/>
            <w:sz w:val="18"/>
            <w:szCs w:val="18"/>
            <w:u w:val="single" w:color="auto"/>
            <w:color w:val="0000EE"/>
          </w:rPr>
          <w:t>10.6</w:t>
        </w:r>
      </w:hyperlink>
      <w:r>
        <w:rPr>
          <w:rFonts w:ascii="Arial" w:cs="Arial" w:eastAsia="Arial" w:hAnsi="Arial"/>
          <w:sz w:val="18"/>
          <w:szCs w:val="18"/>
          <w:color w:val="0000EE"/>
        </w:rPr>
        <w:tab/>
      </w:r>
      <w:r>
        <w:rPr>
          <w:rFonts w:ascii="Arial" w:cs="Arial" w:eastAsia="Arial" w:hAnsi="Arial"/>
          <w:sz w:val="17"/>
          <w:szCs w:val="17"/>
          <w:color w:val="0000EE"/>
        </w:rPr>
        <w:t>Restricted Stock Subscription Agreement, effective December 29, 2011 between the Registrant and Sean Power (incorporated by reference to Exhibit 10.33 to the Registrant’s Form 10-K for the fiscal year ended December 31, 2011). †</w:t>
      </w:r>
    </w:p>
    <w:p>
      <w:pPr>
        <w:spacing w:after="0" w:line="147" w:lineRule="exact"/>
        <w:rPr>
          <w:sz w:val="20"/>
          <w:szCs w:val="20"/>
          <w:color w:val="auto"/>
        </w:rPr>
      </w:pPr>
    </w:p>
    <w:p>
      <w:pPr>
        <w:jc w:val="both"/>
        <w:ind w:left="960" w:hanging="958"/>
        <w:spacing w:after="0" w:line="308" w:lineRule="auto"/>
        <w:tabs>
          <w:tab w:leader="none" w:pos="940" w:val="left"/>
        </w:tabs>
        <w:rPr>
          <w:rFonts w:ascii="Arial" w:cs="Arial" w:eastAsia="Arial" w:hAnsi="Arial"/>
          <w:sz w:val="18"/>
          <w:szCs w:val="18"/>
          <w:color w:val="0000EE"/>
        </w:rPr>
      </w:pPr>
      <w:hyperlink r:id="rId117">
        <w:r>
          <w:rPr>
            <w:rFonts w:ascii="Arial" w:cs="Arial" w:eastAsia="Arial" w:hAnsi="Arial"/>
            <w:sz w:val="18"/>
            <w:szCs w:val="18"/>
            <w:u w:val="single" w:color="auto"/>
            <w:color w:val="0000EE"/>
          </w:rPr>
          <w:t>10.7</w:t>
        </w:r>
      </w:hyperlink>
      <w:r>
        <w:rPr>
          <w:rFonts w:ascii="Arial" w:cs="Arial" w:eastAsia="Arial" w:hAnsi="Arial"/>
          <w:sz w:val="18"/>
          <w:szCs w:val="18"/>
          <w:color w:val="0000EE"/>
        </w:rPr>
        <w:tab/>
      </w:r>
      <w:r>
        <w:rPr>
          <w:rFonts w:ascii="Arial" w:cs="Arial" w:eastAsia="Arial" w:hAnsi="Arial"/>
          <w:sz w:val="17"/>
          <w:szCs w:val="17"/>
          <w:color w:val="0000EE"/>
        </w:rPr>
        <w:t>Amendment to Restricted Stock Agreement, dated July 12, 2013, by and between TG Therapeutics, Inc. and Sean A. Power (incorporated by reference to Exhibit 10.2 to the Registrant’s Current Report on Form 8-K filed on July 16, 2013). †</w:t>
      </w:r>
    </w:p>
    <w:p>
      <w:pPr>
        <w:spacing w:after="0" w:line="147" w:lineRule="exact"/>
        <w:rPr>
          <w:sz w:val="20"/>
          <w:szCs w:val="20"/>
          <w:color w:val="auto"/>
        </w:rPr>
      </w:pPr>
    </w:p>
    <w:p>
      <w:pPr>
        <w:jc w:val="both"/>
        <w:ind w:left="960" w:hanging="958"/>
        <w:spacing w:after="0" w:line="308" w:lineRule="auto"/>
        <w:tabs>
          <w:tab w:leader="none" w:pos="940" w:val="left"/>
        </w:tabs>
        <w:rPr>
          <w:rFonts w:ascii="Arial" w:cs="Arial" w:eastAsia="Arial" w:hAnsi="Arial"/>
          <w:sz w:val="18"/>
          <w:szCs w:val="18"/>
          <w:color w:val="0000EE"/>
        </w:rPr>
      </w:pPr>
      <w:hyperlink r:id="rId118">
        <w:r>
          <w:rPr>
            <w:rFonts w:ascii="Arial" w:cs="Arial" w:eastAsia="Arial" w:hAnsi="Arial"/>
            <w:sz w:val="18"/>
            <w:szCs w:val="18"/>
            <w:u w:val="single" w:color="auto"/>
            <w:color w:val="0000EE"/>
          </w:rPr>
          <w:t>10.8</w:t>
        </w:r>
      </w:hyperlink>
      <w:r>
        <w:rPr>
          <w:rFonts w:ascii="Arial" w:cs="Arial" w:eastAsia="Arial" w:hAnsi="Arial"/>
          <w:sz w:val="18"/>
          <w:szCs w:val="18"/>
          <w:color w:val="0000EE"/>
        </w:rPr>
        <w:tab/>
      </w:r>
      <w:r>
        <w:rPr>
          <w:rFonts w:ascii="Arial" w:cs="Arial" w:eastAsia="Arial" w:hAnsi="Arial"/>
          <w:sz w:val="17"/>
          <w:szCs w:val="17"/>
          <w:color w:val="0000EE"/>
        </w:rPr>
        <w:t>Amendment to Restricted Stock Agreements, dated December 31, 2014, by and between TG Therapeutics, Inc. and Sean A. Power (incorporated by reference to Exhibit 10.2 to the Registrant’s Current Report on Form 8-K filed on January 7, 2015). †</w:t>
      </w:r>
    </w:p>
    <w:p>
      <w:pPr>
        <w:spacing w:after="0" w:line="147" w:lineRule="exact"/>
        <w:rPr>
          <w:sz w:val="20"/>
          <w:szCs w:val="20"/>
          <w:color w:val="auto"/>
        </w:rPr>
      </w:pPr>
    </w:p>
    <w:p>
      <w:pPr>
        <w:jc w:val="both"/>
        <w:ind w:left="960" w:hanging="958"/>
        <w:spacing w:after="0" w:line="264" w:lineRule="auto"/>
        <w:tabs>
          <w:tab w:leader="none" w:pos="940" w:val="left"/>
        </w:tabs>
        <w:rPr>
          <w:rFonts w:ascii="Arial" w:cs="Arial" w:eastAsia="Arial" w:hAnsi="Arial"/>
          <w:sz w:val="18"/>
          <w:szCs w:val="18"/>
          <w:color w:val="0000EE"/>
        </w:rPr>
      </w:pPr>
      <w:hyperlink r:id="rId119">
        <w:r>
          <w:rPr>
            <w:rFonts w:ascii="Arial" w:cs="Arial" w:eastAsia="Arial" w:hAnsi="Arial"/>
            <w:sz w:val="18"/>
            <w:szCs w:val="18"/>
            <w:u w:val="single" w:color="auto"/>
            <w:color w:val="0000EE"/>
          </w:rPr>
          <w:t>10.9</w:t>
        </w:r>
      </w:hyperlink>
      <w:r>
        <w:rPr>
          <w:rFonts w:ascii="Arial" w:cs="Arial" w:eastAsia="Arial" w:hAnsi="Arial"/>
          <w:sz w:val="18"/>
          <w:szCs w:val="18"/>
          <w:color w:val="0000EE"/>
        </w:rPr>
        <w:tab/>
        <w:t>License Agreement, dated January 30, 2012, by and among the Registrant, GTC Biotherapeutics, Inc., LFB Biotechnologies S.A.S. and LFB/GTC LLC (incorporated by reference to Exhibit 10.35 to the Registrant’s Form 10-K for the fiscal year ended December 31, 2011). *</w:t>
      </w:r>
    </w:p>
    <w:p>
      <w:pPr>
        <w:spacing w:after="0" w:line="181" w:lineRule="exact"/>
        <w:rPr>
          <w:sz w:val="20"/>
          <w:szCs w:val="20"/>
          <w:color w:val="auto"/>
        </w:rPr>
      </w:pPr>
    </w:p>
    <w:p>
      <w:pPr>
        <w:jc w:val="both"/>
        <w:ind w:left="960" w:hanging="958"/>
        <w:spacing w:after="0" w:line="277" w:lineRule="auto"/>
        <w:tabs>
          <w:tab w:leader="none" w:pos="940" w:val="left"/>
        </w:tabs>
        <w:rPr>
          <w:rFonts w:ascii="Arial" w:cs="Arial" w:eastAsia="Arial" w:hAnsi="Arial"/>
          <w:sz w:val="18"/>
          <w:szCs w:val="18"/>
          <w:color w:val="0000EE"/>
        </w:rPr>
      </w:pPr>
      <w:hyperlink r:id="rId120">
        <w:r>
          <w:rPr>
            <w:rFonts w:ascii="Arial" w:cs="Arial" w:eastAsia="Arial" w:hAnsi="Arial"/>
            <w:sz w:val="18"/>
            <w:szCs w:val="18"/>
            <w:u w:val="single" w:color="auto"/>
            <w:color w:val="0000EE"/>
          </w:rPr>
          <w:t>10.10</w:t>
        </w:r>
      </w:hyperlink>
      <w:r>
        <w:rPr>
          <w:rFonts w:ascii="Arial" w:cs="Arial" w:eastAsia="Arial" w:hAnsi="Arial"/>
          <w:sz w:val="18"/>
          <w:szCs w:val="18"/>
          <w:color w:val="0000EE"/>
        </w:rPr>
        <w:tab/>
        <w:t>TG Therapeutics, Inc. Amended and Restated 2012 Incentive Plan, dated May 14, 2012 (incorporated by reference to Exhibit 10.1 to the Registrant’s Form 10-Q/A for the quarter ended March 31, 2012).</w:t>
      </w:r>
    </w:p>
    <w:p>
      <w:pPr>
        <w:spacing w:after="0" w:line="170" w:lineRule="exact"/>
        <w:rPr>
          <w:sz w:val="20"/>
          <w:szCs w:val="20"/>
          <w:color w:val="auto"/>
        </w:rPr>
      </w:pPr>
    </w:p>
    <w:p>
      <w:pPr>
        <w:jc w:val="both"/>
        <w:ind w:left="960" w:hanging="958"/>
        <w:spacing w:after="0" w:line="264" w:lineRule="auto"/>
        <w:tabs>
          <w:tab w:leader="none" w:pos="940" w:val="left"/>
        </w:tabs>
        <w:rPr>
          <w:rFonts w:ascii="Arial" w:cs="Arial" w:eastAsia="Arial" w:hAnsi="Arial"/>
          <w:sz w:val="18"/>
          <w:szCs w:val="18"/>
          <w:color w:val="0000EE"/>
        </w:rPr>
      </w:pPr>
      <w:hyperlink r:id="rId121">
        <w:r>
          <w:rPr>
            <w:rFonts w:ascii="Arial" w:cs="Arial" w:eastAsia="Arial" w:hAnsi="Arial"/>
            <w:sz w:val="18"/>
            <w:szCs w:val="18"/>
            <w:u w:val="single" w:color="auto"/>
            <w:color w:val="0000EE"/>
          </w:rPr>
          <w:t>10.11</w:t>
        </w:r>
      </w:hyperlink>
      <w:r>
        <w:rPr>
          <w:rFonts w:ascii="Arial" w:cs="Arial" w:eastAsia="Arial" w:hAnsi="Arial"/>
          <w:sz w:val="18"/>
          <w:szCs w:val="18"/>
          <w:color w:val="0000EE"/>
        </w:rPr>
        <w:tab/>
        <w:t>First Amendment to TG Therapeutics, Inc. Amended and Restated 2012 Incentive Plan, filed with the Registrant’s Definitive Proxy Statement for the Annual Meeting of Stockholders on June 4, 2015, filed on April 24, 2015, and incorporated herein by reference.</w:t>
      </w:r>
    </w:p>
    <w:p>
      <w:pPr>
        <w:spacing w:after="0" w:line="181" w:lineRule="exact"/>
        <w:rPr>
          <w:sz w:val="20"/>
          <w:szCs w:val="20"/>
          <w:color w:val="auto"/>
        </w:rPr>
      </w:pPr>
    </w:p>
    <w:p>
      <w:pPr>
        <w:jc w:val="both"/>
        <w:ind w:left="960" w:hanging="958"/>
        <w:spacing w:after="0" w:line="308" w:lineRule="auto"/>
        <w:tabs>
          <w:tab w:leader="none" w:pos="940" w:val="left"/>
        </w:tabs>
        <w:rPr>
          <w:rFonts w:ascii="Arial" w:cs="Arial" w:eastAsia="Arial" w:hAnsi="Arial"/>
          <w:sz w:val="18"/>
          <w:szCs w:val="18"/>
          <w:color w:val="0000EE"/>
        </w:rPr>
      </w:pPr>
      <w:hyperlink r:id="rId122">
        <w:r>
          <w:rPr>
            <w:rFonts w:ascii="Arial" w:cs="Arial" w:eastAsia="Arial" w:hAnsi="Arial"/>
            <w:sz w:val="18"/>
            <w:szCs w:val="18"/>
            <w:u w:val="single" w:color="auto"/>
            <w:color w:val="0000EE"/>
          </w:rPr>
          <w:t>10.12</w:t>
        </w:r>
      </w:hyperlink>
      <w:r>
        <w:rPr>
          <w:rFonts w:ascii="Arial" w:cs="Arial" w:eastAsia="Arial" w:hAnsi="Arial"/>
          <w:sz w:val="18"/>
          <w:szCs w:val="18"/>
          <w:color w:val="0000EE"/>
        </w:rPr>
        <w:tab/>
      </w:r>
      <w:r>
        <w:rPr>
          <w:rFonts w:ascii="Arial" w:cs="Arial" w:eastAsia="Arial" w:hAnsi="Arial"/>
          <w:sz w:val="17"/>
          <w:szCs w:val="17"/>
          <w:color w:val="0000EE"/>
        </w:rPr>
        <w:t>Sublicense Agreement between TG Therapeutics, Inc. and Ildong Pharmaceutical Co. Ltd., dated November 13, 2012 (incorporated by reference to Exhibit 10.37 to the Registrant’s Form 10-K for the fiscal year ended December 31, 2012). *</w:t>
      </w:r>
    </w:p>
    <w:p>
      <w:pPr>
        <w:spacing w:after="0" w:line="147" w:lineRule="exact"/>
        <w:rPr>
          <w:sz w:val="20"/>
          <w:szCs w:val="20"/>
          <w:color w:val="auto"/>
        </w:rPr>
      </w:pPr>
    </w:p>
    <w:p>
      <w:pPr>
        <w:jc w:val="both"/>
        <w:ind w:left="960" w:hanging="958"/>
        <w:spacing w:after="0" w:line="277" w:lineRule="auto"/>
        <w:tabs>
          <w:tab w:leader="none" w:pos="940" w:val="left"/>
        </w:tabs>
        <w:rPr>
          <w:rFonts w:ascii="Arial" w:cs="Arial" w:eastAsia="Arial" w:hAnsi="Arial"/>
          <w:sz w:val="18"/>
          <w:szCs w:val="18"/>
          <w:color w:val="0000EE"/>
        </w:rPr>
      </w:pPr>
      <w:hyperlink r:id="rId123">
        <w:r>
          <w:rPr>
            <w:rFonts w:ascii="Arial" w:cs="Arial" w:eastAsia="Arial" w:hAnsi="Arial"/>
            <w:sz w:val="18"/>
            <w:szCs w:val="18"/>
            <w:u w:val="single" w:color="auto"/>
            <w:color w:val="0000EE"/>
          </w:rPr>
          <w:t>10.13</w:t>
        </w:r>
      </w:hyperlink>
      <w:r>
        <w:rPr>
          <w:rFonts w:ascii="Arial" w:cs="Arial" w:eastAsia="Arial" w:hAnsi="Arial"/>
          <w:sz w:val="18"/>
          <w:szCs w:val="18"/>
          <w:color w:val="0000EE"/>
        </w:rPr>
        <w:tab/>
        <w:t>License Agreement between TG Therapeutics, Inc. and Ligand Pharmaceuticals Incorporated, dated June 23, 2014 (incorporated by reference to Exhibit 10.1 to the Registrant’s Form 10-Q for the quarter ended June 30, 2014).*</w:t>
      </w:r>
    </w:p>
    <w:p>
      <w:pPr>
        <w:spacing w:after="0" w:line="170" w:lineRule="exact"/>
        <w:rPr>
          <w:sz w:val="20"/>
          <w:szCs w:val="20"/>
          <w:color w:val="auto"/>
        </w:rPr>
      </w:pPr>
    </w:p>
    <w:p>
      <w:pPr>
        <w:jc w:val="both"/>
        <w:ind w:left="960" w:hanging="958"/>
        <w:spacing w:after="0" w:line="277" w:lineRule="auto"/>
        <w:tabs>
          <w:tab w:leader="none" w:pos="940" w:val="left"/>
        </w:tabs>
        <w:rPr>
          <w:rFonts w:ascii="Arial" w:cs="Arial" w:eastAsia="Arial" w:hAnsi="Arial"/>
          <w:sz w:val="18"/>
          <w:szCs w:val="18"/>
          <w:color w:val="0000EE"/>
        </w:rPr>
      </w:pPr>
      <w:hyperlink r:id="rId124">
        <w:r>
          <w:rPr>
            <w:rFonts w:ascii="Arial" w:cs="Arial" w:eastAsia="Arial" w:hAnsi="Arial"/>
            <w:sz w:val="18"/>
            <w:szCs w:val="18"/>
            <w:u w:val="single" w:color="auto"/>
            <w:color w:val="0000EE"/>
          </w:rPr>
          <w:t>10.14</w:t>
        </w:r>
      </w:hyperlink>
      <w:r>
        <w:rPr>
          <w:rFonts w:ascii="Arial" w:cs="Arial" w:eastAsia="Arial" w:hAnsi="Arial"/>
          <w:sz w:val="18"/>
          <w:szCs w:val="18"/>
          <w:color w:val="0000EE"/>
        </w:rPr>
        <w:tab/>
        <w:t>Licensing Agreement between TG Therapeutics, Inc. and Rhizen Pharmaceuticals SA, dated September 22, 2014 (incorporated by reference to Exhibit 10.1 to the Registrant’s Current Report on Form 8-K filed on January 20, 2015). *</w:t>
      </w:r>
    </w:p>
    <w:p>
      <w:pPr>
        <w:spacing w:after="0" w:line="170" w:lineRule="exact"/>
        <w:rPr>
          <w:sz w:val="20"/>
          <w:szCs w:val="20"/>
          <w:color w:val="auto"/>
        </w:rPr>
      </w:pPr>
    </w:p>
    <w:p>
      <w:pPr>
        <w:jc w:val="both"/>
        <w:ind w:left="960" w:hanging="958"/>
        <w:spacing w:after="0" w:line="277" w:lineRule="auto"/>
        <w:tabs>
          <w:tab w:leader="none" w:pos="940" w:val="left"/>
        </w:tabs>
        <w:rPr>
          <w:rFonts w:ascii="Arial" w:cs="Arial" w:eastAsia="Arial" w:hAnsi="Arial"/>
          <w:sz w:val="18"/>
          <w:szCs w:val="18"/>
          <w:color w:val="0000EE"/>
        </w:rPr>
      </w:pPr>
      <w:hyperlink r:id="rId125">
        <w:r>
          <w:rPr>
            <w:rFonts w:ascii="Arial" w:cs="Arial" w:eastAsia="Arial" w:hAnsi="Arial"/>
            <w:sz w:val="18"/>
            <w:szCs w:val="18"/>
            <w:u w:val="single" w:color="auto"/>
            <w:color w:val="0000EE"/>
          </w:rPr>
          <w:t>10.15</w:t>
        </w:r>
      </w:hyperlink>
      <w:r>
        <w:rPr>
          <w:rFonts w:ascii="Arial" w:cs="Arial" w:eastAsia="Arial" w:hAnsi="Arial"/>
          <w:sz w:val="18"/>
          <w:szCs w:val="18"/>
          <w:color w:val="0000EE"/>
        </w:rPr>
        <w:tab/>
        <w:t>Collaboration Agreement between TG Therapeutics, Inc. and Checkpoint Therapeutics, Inc., dated March 3, 2015 (incorporated by reference to Exhibit 10.1 to the Registrant’s Form 10-Q for the quarter ended March 31, 2015). *</w:t>
      </w:r>
    </w:p>
    <w:p>
      <w:pPr>
        <w:spacing w:after="0" w:line="170" w:lineRule="exact"/>
        <w:rPr>
          <w:sz w:val="20"/>
          <w:szCs w:val="20"/>
          <w:color w:val="auto"/>
        </w:rPr>
      </w:pPr>
    </w:p>
    <w:p>
      <w:pPr>
        <w:jc w:val="both"/>
        <w:ind w:left="960" w:hanging="958"/>
        <w:spacing w:after="0" w:line="277" w:lineRule="auto"/>
        <w:tabs>
          <w:tab w:leader="none" w:pos="940" w:val="left"/>
        </w:tabs>
        <w:rPr>
          <w:rFonts w:ascii="Arial" w:cs="Arial" w:eastAsia="Arial" w:hAnsi="Arial"/>
          <w:sz w:val="18"/>
          <w:szCs w:val="18"/>
          <w:color w:val="0000EE"/>
        </w:rPr>
      </w:pPr>
      <w:hyperlink r:id="rId126">
        <w:r>
          <w:rPr>
            <w:rFonts w:ascii="Arial" w:cs="Arial" w:eastAsia="Arial" w:hAnsi="Arial"/>
            <w:sz w:val="18"/>
            <w:szCs w:val="18"/>
            <w:u w:val="single" w:color="auto"/>
            <w:color w:val="0000EE"/>
          </w:rPr>
          <w:t>10.16</w:t>
        </w:r>
      </w:hyperlink>
      <w:r>
        <w:rPr>
          <w:rFonts w:ascii="Arial" w:cs="Arial" w:eastAsia="Arial" w:hAnsi="Arial"/>
          <w:sz w:val="18"/>
          <w:szCs w:val="18"/>
          <w:color w:val="0000EE"/>
        </w:rPr>
        <w:tab/>
        <w:t>Sublicense Agreement between TG Therapeutics, Inc. and Checkpoint Therapeutics, Inc., dated May 27, 2016, (incorporated by reference to Exhibit 10.1 to the Registrant’s Form 10-Q for the quarter ended June 30, 2016).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91" w:name="page92"/>
    <w:bookmarkEnd w:id="91"/>
    <w:p>
      <w:pPr>
        <w:ind w:left="2"/>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400" w:type="dxa"/>
            <w:vAlign w:val="bottom"/>
            <w:tcBorders>
              <w:bottom w:val="single" w:sz="8" w:color="0000EE"/>
            </w:tcBorders>
            <w:gridSpan w:val="2"/>
          </w:tcPr>
          <w:p>
            <w:pPr>
              <w:spacing w:after="0"/>
              <w:rPr>
                <w:rFonts w:ascii="Arial" w:cs="Arial" w:eastAsia="Arial" w:hAnsi="Arial"/>
                <w:sz w:val="18"/>
                <w:szCs w:val="18"/>
                <w:color w:val="0000EE"/>
                <w:w w:val="84"/>
              </w:rPr>
            </w:pPr>
            <w:hyperlink r:id="rId12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17</w:t>
              </w:r>
            </w:hyperlink>
          </w:p>
        </w:tc>
        <w:tc>
          <w:tcPr>
            <w:tcW w:w="9980" w:type="dxa"/>
            <w:vAlign w:val="bottom"/>
          </w:tcPr>
          <w:p>
            <w:pPr>
              <w:ind w:left="560"/>
              <w:spacing w:after="0"/>
              <w:rPr>
                <w:sz w:val="20"/>
                <w:szCs w:val="20"/>
                <w:color w:val="auto"/>
              </w:rPr>
            </w:pPr>
            <w:r>
              <w:rPr>
                <w:rFonts w:ascii="Arial" w:cs="Arial" w:eastAsia="Arial" w:hAnsi="Arial"/>
                <w:sz w:val="18"/>
                <w:szCs w:val="18"/>
                <w:color w:val="auto"/>
                <w:w w:val="97"/>
              </w:rPr>
              <w:t>Amendment to Employment Agreement, effective January 1, 2017, between TG Therapeutics, Inc. and Michael S. Weiss</w:t>
            </w:r>
          </w:p>
        </w:tc>
      </w:tr>
      <w:tr>
        <w:trPr>
          <w:trHeight w:val="237"/>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ind w:left="560"/>
              <w:spacing w:after="0"/>
              <w:rPr>
                <w:sz w:val="20"/>
                <w:szCs w:val="20"/>
                <w:color w:val="auto"/>
              </w:rPr>
            </w:pPr>
            <w:r>
              <w:rPr>
                <w:rFonts w:ascii="Arial" w:cs="Arial" w:eastAsia="Arial" w:hAnsi="Arial"/>
                <w:sz w:val="18"/>
                <w:szCs w:val="18"/>
                <w:color w:val="auto"/>
              </w:rPr>
              <w:t>(incorporated by reference to Exhibit 10.18 to the Registrant’s Form 10-K/A for the year ended December 31, 2016). †</w:t>
            </w:r>
          </w:p>
        </w:tc>
      </w:tr>
      <w:tr>
        <w:trPr>
          <w:trHeight w:val="392"/>
        </w:trPr>
        <w:tc>
          <w:tcPr>
            <w:tcW w:w="400" w:type="dxa"/>
            <w:vAlign w:val="bottom"/>
            <w:tcBorders>
              <w:bottom w:val="single" w:sz="8" w:color="0000EE"/>
            </w:tcBorders>
            <w:gridSpan w:val="2"/>
          </w:tcPr>
          <w:p>
            <w:pPr>
              <w:spacing w:after="0"/>
              <w:rPr>
                <w:rFonts w:ascii="Arial" w:cs="Arial" w:eastAsia="Arial" w:hAnsi="Arial"/>
                <w:sz w:val="18"/>
                <w:szCs w:val="18"/>
                <w:color w:val="0000EE"/>
                <w:w w:val="84"/>
              </w:rPr>
            </w:pPr>
            <w:hyperlink r:id="rId129">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18</w:t>
              </w:r>
            </w:hyperlink>
          </w:p>
        </w:tc>
        <w:tc>
          <w:tcPr>
            <w:tcW w:w="9980" w:type="dxa"/>
            <w:vAlign w:val="bottom"/>
          </w:tcPr>
          <w:p>
            <w:pPr>
              <w:ind w:left="560"/>
              <w:spacing w:after="0"/>
              <w:rPr>
                <w:sz w:val="20"/>
                <w:szCs w:val="20"/>
                <w:color w:val="auto"/>
              </w:rPr>
            </w:pPr>
            <w:r>
              <w:rPr>
                <w:rFonts w:ascii="Arial" w:cs="Arial" w:eastAsia="Arial" w:hAnsi="Arial"/>
                <w:sz w:val="18"/>
                <w:szCs w:val="18"/>
                <w:color w:val="auto"/>
                <w:w w:val="93"/>
              </w:rPr>
              <w:t>Advisory Agreement, effective January 1, 2017, between TG Therapeutics, Inc. and Caribe BioAdvisors, LLC (incorporated by</w:t>
            </w:r>
          </w:p>
        </w:tc>
      </w:tr>
      <w:tr>
        <w:trPr>
          <w:trHeight w:val="237"/>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ind w:left="560"/>
              <w:spacing w:after="0"/>
              <w:rPr>
                <w:sz w:val="20"/>
                <w:szCs w:val="20"/>
                <w:color w:val="auto"/>
              </w:rPr>
            </w:pPr>
            <w:r>
              <w:rPr>
                <w:rFonts w:ascii="Arial" w:cs="Arial" w:eastAsia="Arial" w:hAnsi="Arial"/>
                <w:sz w:val="18"/>
                <w:szCs w:val="18"/>
                <w:color w:val="auto"/>
              </w:rPr>
              <w:t>reference to Exhibit 10.19 to the Registrant’s Form 10-K/A for the year ended December 31, 2016).</w:t>
            </w:r>
          </w:p>
        </w:tc>
      </w:tr>
      <w:tr>
        <w:trPr>
          <w:trHeight w:val="392"/>
        </w:trPr>
        <w:tc>
          <w:tcPr>
            <w:tcW w:w="400" w:type="dxa"/>
            <w:vAlign w:val="bottom"/>
            <w:tcBorders>
              <w:bottom w:val="single" w:sz="8" w:color="0000EE"/>
            </w:tcBorders>
            <w:gridSpan w:val="2"/>
          </w:tcPr>
          <w:p>
            <w:pPr>
              <w:spacing w:after="0"/>
              <w:rPr>
                <w:rFonts w:ascii="Arial" w:cs="Arial" w:eastAsia="Arial" w:hAnsi="Arial"/>
                <w:sz w:val="18"/>
                <w:szCs w:val="18"/>
                <w:color w:val="0000EE"/>
                <w:w w:val="84"/>
              </w:rPr>
            </w:pPr>
            <w:hyperlink r:id="rId13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19</w:t>
              </w:r>
            </w:hyperlink>
          </w:p>
        </w:tc>
        <w:tc>
          <w:tcPr>
            <w:tcW w:w="9980" w:type="dxa"/>
            <w:vAlign w:val="bottom"/>
          </w:tcPr>
          <w:p>
            <w:pPr>
              <w:ind w:left="560"/>
              <w:spacing w:after="0"/>
              <w:rPr>
                <w:sz w:val="20"/>
                <w:szCs w:val="20"/>
                <w:color w:val="auto"/>
              </w:rPr>
            </w:pPr>
            <w:r>
              <w:rPr>
                <w:rFonts w:ascii="Arial" w:cs="Arial" w:eastAsia="Arial" w:hAnsi="Arial"/>
                <w:sz w:val="18"/>
                <w:szCs w:val="18"/>
                <w:color w:val="auto"/>
                <w:w w:val="93"/>
              </w:rPr>
              <w:t>License Agreement between TG Therapeutics, Inc. and Jiangsu Hengrui Medicine Co., dated January 8, 2018 (incorporated by</w:t>
            </w:r>
          </w:p>
        </w:tc>
      </w:tr>
      <w:tr>
        <w:trPr>
          <w:trHeight w:val="237"/>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ind w:left="560"/>
              <w:spacing w:after="0"/>
              <w:rPr>
                <w:sz w:val="20"/>
                <w:szCs w:val="20"/>
                <w:color w:val="auto"/>
              </w:rPr>
            </w:pPr>
            <w:r>
              <w:rPr>
                <w:rFonts w:ascii="Arial" w:cs="Arial" w:eastAsia="Arial" w:hAnsi="Arial"/>
                <w:sz w:val="18"/>
                <w:szCs w:val="18"/>
                <w:color w:val="auto"/>
              </w:rPr>
              <w:t>reference to Exhibit 10.20 to the Registrant’s Form 10-K for the year ended December 31, 2017). *</w:t>
            </w:r>
          </w:p>
        </w:tc>
      </w:tr>
      <w:tr>
        <w:trPr>
          <w:trHeight w:val="392"/>
        </w:trPr>
        <w:tc>
          <w:tcPr>
            <w:tcW w:w="400" w:type="dxa"/>
            <w:vAlign w:val="bottom"/>
            <w:tcBorders>
              <w:bottom w:val="single" w:sz="8" w:color="0000EE"/>
            </w:tcBorders>
            <w:gridSpan w:val="2"/>
          </w:tcPr>
          <w:p>
            <w:pPr>
              <w:spacing w:after="0"/>
              <w:rPr>
                <w:rFonts w:ascii="Arial" w:cs="Arial" w:eastAsia="Arial" w:hAnsi="Arial"/>
                <w:sz w:val="18"/>
                <w:szCs w:val="18"/>
                <w:color w:val="0000EE"/>
                <w:w w:val="84"/>
              </w:rPr>
            </w:pPr>
            <w:hyperlink r:id="rId13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20</w:t>
              </w:r>
            </w:hyperlink>
          </w:p>
        </w:tc>
        <w:tc>
          <w:tcPr>
            <w:tcW w:w="9980" w:type="dxa"/>
            <w:vAlign w:val="bottom"/>
          </w:tcPr>
          <w:p>
            <w:pPr>
              <w:ind w:left="560"/>
              <w:spacing w:after="0"/>
              <w:rPr>
                <w:sz w:val="20"/>
                <w:szCs w:val="20"/>
                <w:color w:val="auto"/>
              </w:rPr>
            </w:pPr>
            <w:r>
              <w:rPr>
                <w:rFonts w:ascii="Arial" w:cs="Arial" w:eastAsia="Arial" w:hAnsi="Arial"/>
                <w:sz w:val="18"/>
                <w:szCs w:val="18"/>
                <w:color w:val="auto"/>
                <w:w w:val="92"/>
              </w:rPr>
              <w:t>Joint Venture and License Option Agreement by and between TG Therapeutics, Inc. and Novimmune S.A., dated June 18, 2018</w:t>
            </w:r>
          </w:p>
        </w:tc>
      </w:tr>
      <w:tr>
        <w:trPr>
          <w:trHeight w:val="237"/>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ind w:left="560"/>
              <w:spacing w:after="0"/>
              <w:rPr>
                <w:sz w:val="20"/>
                <w:szCs w:val="20"/>
                <w:color w:val="auto"/>
              </w:rPr>
            </w:pPr>
            <w:r>
              <w:rPr>
                <w:rFonts w:ascii="Arial" w:cs="Arial" w:eastAsia="Arial" w:hAnsi="Arial"/>
                <w:sz w:val="18"/>
                <w:szCs w:val="18"/>
                <w:color w:val="auto"/>
              </w:rPr>
              <w:t>(incorporated by reference to Exhibit 10.20 to the Registrant’s Form 10-Q for the quarter ended June 30, 2018). *</w:t>
            </w:r>
          </w:p>
        </w:tc>
      </w:tr>
      <w:tr>
        <w:trPr>
          <w:trHeight w:val="392"/>
        </w:trPr>
        <w:tc>
          <w:tcPr>
            <w:tcW w:w="400" w:type="dxa"/>
            <w:vAlign w:val="bottom"/>
            <w:tcBorders>
              <w:bottom w:val="single" w:sz="8" w:color="0000EE"/>
            </w:tcBorders>
            <w:gridSpan w:val="2"/>
          </w:tcPr>
          <w:p>
            <w:pPr>
              <w:spacing w:after="0"/>
              <w:rPr>
                <w:rFonts w:ascii="Arial" w:cs="Arial" w:eastAsia="Arial" w:hAnsi="Arial"/>
                <w:sz w:val="18"/>
                <w:szCs w:val="18"/>
                <w:color w:val="0000EE"/>
                <w:w w:val="84"/>
              </w:rPr>
            </w:pPr>
            <w:hyperlink r:id="rId13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21</w:t>
              </w:r>
            </w:hyperlink>
          </w:p>
        </w:tc>
        <w:tc>
          <w:tcPr>
            <w:tcW w:w="9980" w:type="dxa"/>
            <w:vAlign w:val="bottom"/>
          </w:tcPr>
          <w:p>
            <w:pPr>
              <w:ind w:left="560"/>
              <w:spacing w:after="0"/>
              <w:rPr>
                <w:sz w:val="20"/>
                <w:szCs w:val="20"/>
                <w:color w:val="auto"/>
              </w:rPr>
            </w:pPr>
            <w:r>
              <w:rPr>
                <w:rFonts w:ascii="Arial" w:cs="Arial" w:eastAsia="Arial" w:hAnsi="Arial"/>
                <w:sz w:val="18"/>
                <w:szCs w:val="18"/>
                <w:color w:val="auto"/>
                <w:w w:val="97"/>
              </w:rPr>
              <w:t>Master Services Agreement between Samsung Biologics Co., Ltd. and TG Therapeutics, Inc., effective February 21, 2018</w:t>
            </w:r>
          </w:p>
        </w:tc>
      </w:tr>
      <w:tr>
        <w:trPr>
          <w:trHeight w:val="237"/>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ind w:left="560"/>
              <w:spacing w:after="0"/>
              <w:rPr>
                <w:sz w:val="20"/>
                <w:szCs w:val="20"/>
                <w:color w:val="auto"/>
              </w:rPr>
            </w:pPr>
            <w:r>
              <w:rPr>
                <w:rFonts w:ascii="Arial" w:cs="Arial" w:eastAsia="Arial" w:hAnsi="Arial"/>
                <w:sz w:val="18"/>
                <w:szCs w:val="18"/>
                <w:color w:val="auto"/>
              </w:rPr>
              <w:t>(incorporated by reference to the Exhibit 10.2 to the Registrant’s Form 10-Q for the quarter ended June 30, 2019). *</w:t>
            </w:r>
          </w:p>
        </w:tc>
      </w:tr>
      <w:tr>
        <w:trPr>
          <w:trHeight w:val="392"/>
        </w:trPr>
        <w:tc>
          <w:tcPr>
            <w:tcW w:w="400" w:type="dxa"/>
            <w:vAlign w:val="bottom"/>
            <w:tcBorders>
              <w:bottom w:val="single" w:sz="8" w:color="0000EE"/>
            </w:tcBorders>
            <w:gridSpan w:val="2"/>
          </w:tcPr>
          <w:p>
            <w:pPr>
              <w:spacing w:after="0"/>
              <w:rPr>
                <w:rFonts w:ascii="Arial" w:cs="Arial" w:eastAsia="Arial" w:hAnsi="Arial"/>
                <w:sz w:val="18"/>
                <w:szCs w:val="18"/>
                <w:color w:val="0000EE"/>
                <w:w w:val="84"/>
              </w:rPr>
            </w:pPr>
            <w:hyperlink r:id="rId13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22</w:t>
              </w:r>
            </w:hyperlink>
          </w:p>
        </w:tc>
        <w:tc>
          <w:tcPr>
            <w:tcW w:w="9980" w:type="dxa"/>
            <w:vAlign w:val="bottom"/>
          </w:tcPr>
          <w:p>
            <w:pPr>
              <w:ind w:left="560"/>
              <w:spacing w:after="0"/>
              <w:rPr>
                <w:sz w:val="20"/>
                <w:szCs w:val="20"/>
                <w:color w:val="auto"/>
              </w:rPr>
            </w:pPr>
            <w:r>
              <w:rPr>
                <w:rFonts w:ascii="Arial" w:cs="Arial" w:eastAsia="Arial" w:hAnsi="Arial"/>
                <w:sz w:val="18"/>
                <w:szCs w:val="18"/>
                <w:color w:val="auto"/>
                <w:w w:val="93"/>
              </w:rPr>
              <w:t>Loan and Security Agreement, dated February 28, 2019, by and among TG Therapeutics, Inc., TG Biologics, Inc. and Hercules</w:t>
            </w:r>
          </w:p>
        </w:tc>
      </w:tr>
      <w:tr>
        <w:trPr>
          <w:trHeight w:val="222"/>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980" w:type="dxa"/>
            <w:vAlign w:val="bottom"/>
          </w:tcPr>
          <w:p>
            <w:pPr>
              <w:ind w:left="560"/>
              <w:spacing w:after="0"/>
              <w:rPr>
                <w:sz w:val="20"/>
                <w:szCs w:val="20"/>
                <w:color w:val="auto"/>
              </w:rPr>
            </w:pPr>
            <w:r>
              <w:rPr>
                <w:rFonts w:ascii="Arial" w:cs="Arial" w:eastAsia="Arial" w:hAnsi="Arial"/>
                <w:sz w:val="18"/>
                <w:szCs w:val="18"/>
                <w:color w:val="auto"/>
                <w:w w:val="96"/>
              </w:rPr>
              <w:t>Capital, Inc. (incorporated by reference to the Exhibit 10.2 to the Registrant’s Current Report on Form 8-K filed on March 5,</w:t>
            </w:r>
          </w:p>
        </w:tc>
      </w:tr>
      <w:tr>
        <w:trPr>
          <w:trHeight w:val="230"/>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ind w:left="560"/>
              <w:spacing w:after="0"/>
              <w:rPr>
                <w:sz w:val="20"/>
                <w:szCs w:val="20"/>
                <w:color w:val="auto"/>
              </w:rPr>
            </w:pPr>
            <w:r>
              <w:rPr>
                <w:rFonts w:ascii="Arial" w:cs="Arial" w:eastAsia="Arial" w:hAnsi="Arial"/>
                <w:sz w:val="18"/>
                <w:szCs w:val="18"/>
                <w:color w:val="auto"/>
              </w:rPr>
              <w:t>2019).</w:t>
            </w:r>
          </w:p>
        </w:tc>
      </w:tr>
      <w:tr>
        <w:trPr>
          <w:trHeight w:val="392"/>
        </w:trPr>
        <w:tc>
          <w:tcPr>
            <w:tcW w:w="400" w:type="dxa"/>
            <w:vAlign w:val="bottom"/>
            <w:tcBorders>
              <w:bottom w:val="single" w:sz="8" w:color="0000EE"/>
            </w:tcBorders>
            <w:gridSpan w:val="2"/>
          </w:tcPr>
          <w:p>
            <w:pPr>
              <w:spacing w:after="0"/>
              <w:rPr>
                <w:rFonts w:ascii="Arial" w:cs="Arial" w:eastAsia="Arial" w:hAnsi="Arial"/>
                <w:sz w:val="18"/>
                <w:szCs w:val="18"/>
                <w:color w:val="0000EE"/>
                <w:w w:val="84"/>
              </w:rPr>
            </w:pPr>
            <w:hyperlink r:id="rId134">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23</w:t>
              </w:r>
            </w:hyperlink>
          </w:p>
        </w:tc>
        <w:tc>
          <w:tcPr>
            <w:tcW w:w="9980" w:type="dxa"/>
            <w:vAlign w:val="bottom"/>
          </w:tcPr>
          <w:p>
            <w:pPr>
              <w:ind w:left="560"/>
              <w:spacing w:after="0"/>
              <w:rPr>
                <w:sz w:val="20"/>
                <w:szCs w:val="20"/>
                <w:color w:val="auto"/>
              </w:rPr>
            </w:pPr>
            <w:r>
              <w:rPr>
                <w:rFonts w:ascii="Arial" w:cs="Arial" w:eastAsia="Arial" w:hAnsi="Arial"/>
                <w:sz w:val="18"/>
                <w:szCs w:val="18"/>
                <w:color w:val="auto"/>
                <w:w w:val="91"/>
              </w:rPr>
              <w:t>Warrant Agreement, dated February 28, 2019, by and between TG Therapeutics, Inc. and Hercules Capital, Inc. (incorporated by</w:t>
            </w:r>
          </w:p>
        </w:tc>
      </w:tr>
      <w:tr>
        <w:trPr>
          <w:trHeight w:val="237"/>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ind w:left="560"/>
              <w:spacing w:after="0"/>
              <w:rPr>
                <w:sz w:val="20"/>
                <w:szCs w:val="20"/>
                <w:color w:val="auto"/>
              </w:rPr>
            </w:pPr>
            <w:r>
              <w:rPr>
                <w:rFonts w:ascii="Arial" w:cs="Arial" w:eastAsia="Arial" w:hAnsi="Arial"/>
                <w:sz w:val="18"/>
                <w:szCs w:val="18"/>
                <w:color w:val="auto"/>
              </w:rPr>
              <w:t>reference to the Exhibit 10.3 to the Registrant’s Current Report on Form 8-K filed on March 5, 2019).</w:t>
            </w:r>
          </w:p>
        </w:tc>
      </w:tr>
      <w:tr>
        <w:trPr>
          <w:trHeight w:val="392"/>
        </w:trPr>
        <w:tc>
          <w:tcPr>
            <w:tcW w:w="400" w:type="dxa"/>
            <w:vAlign w:val="bottom"/>
            <w:tcBorders>
              <w:bottom w:val="single" w:sz="8" w:color="0000EE"/>
            </w:tcBorders>
            <w:gridSpan w:val="2"/>
          </w:tcPr>
          <w:p>
            <w:pPr>
              <w:spacing w:after="0"/>
              <w:rPr>
                <w:rFonts w:ascii="Arial" w:cs="Arial" w:eastAsia="Arial" w:hAnsi="Arial"/>
                <w:sz w:val="18"/>
                <w:szCs w:val="18"/>
                <w:color w:val="0000EE"/>
                <w:w w:val="84"/>
              </w:rPr>
            </w:pPr>
            <w:hyperlink r:id="rId135">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24</w:t>
              </w:r>
            </w:hyperlink>
          </w:p>
        </w:tc>
        <w:tc>
          <w:tcPr>
            <w:tcW w:w="9980" w:type="dxa"/>
            <w:vAlign w:val="bottom"/>
          </w:tcPr>
          <w:p>
            <w:pPr>
              <w:ind w:left="560"/>
              <w:spacing w:after="0"/>
              <w:rPr>
                <w:sz w:val="20"/>
                <w:szCs w:val="20"/>
                <w:color w:val="auto"/>
              </w:rPr>
            </w:pPr>
            <w:r>
              <w:rPr>
                <w:rFonts w:ascii="Arial" w:cs="Arial" w:eastAsia="Arial" w:hAnsi="Arial"/>
                <w:sz w:val="18"/>
                <w:szCs w:val="18"/>
                <w:color w:val="auto"/>
                <w:w w:val="98"/>
              </w:rPr>
              <w:t>Warrant Agreement, dated February 28, 2019, by and between TG Therapeutics, Inc. and Hercules Technology III, L.P.</w:t>
            </w:r>
          </w:p>
        </w:tc>
      </w:tr>
      <w:tr>
        <w:trPr>
          <w:trHeight w:val="237"/>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ind w:left="560"/>
              <w:spacing w:after="0"/>
              <w:rPr>
                <w:sz w:val="20"/>
                <w:szCs w:val="20"/>
                <w:color w:val="auto"/>
              </w:rPr>
            </w:pPr>
            <w:r>
              <w:rPr>
                <w:rFonts w:ascii="Arial" w:cs="Arial" w:eastAsia="Arial" w:hAnsi="Arial"/>
                <w:sz w:val="18"/>
                <w:szCs w:val="18"/>
                <w:color w:val="auto"/>
              </w:rPr>
              <w:t>(incorporated by reference to the Exhibit 10.4 to the Registrant’s Current Report on Form 8-K filed on March 5, 2019).</w:t>
            </w:r>
          </w:p>
        </w:tc>
      </w:tr>
      <w:tr>
        <w:trPr>
          <w:trHeight w:val="392"/>
        </w:trPr>
        <w:tc>
          <w:tcPr>
            <w:tcW w:w="400" w:type="dxa"/>
            <w:vAlign w:val="bottom"/>
            <w:tcBorders>
              <w:bottom w:val="single" w:sz="8" w:color="0000EE"/>
            </w:tcBorders>
            <w:gridSpan w:val="2"/>
          </w:tcPr>
          <w:p>
            <w:pPr>
              <w:spacing w:after="0"/>
              <w:rPr>
                <w:rFonts w:ascii="Arial" w:cs="Arial" w:eastAsia="Arial" w:hAnsi="Arial"/>
                <w:sz w:val="18"/>
                <w:szCs w:val="18"/>
                <w:color w:val="0000EE"/>
                <w:w w:val="84"/>
              </w:rPr>
            </w:pPr>
            <w:hyperlink r:id="rId136">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25</w:t>
              </w:r>
            </w:hyperlink>
          </w:p>
        </w:tc>
        <w:tc>
          <w:tcPr>
            <w:tcW w:w="9980" w:type="dxa"/>
            <w:vAlign w:val="bottom"/>
          </w:tcPr>
          <w:p>
            <w:pPr>
              <w:ind w:left="560"/>
              <w:spacing w:after="0"/>
              <w:rPr>
                <w:sz w:val="20"/>
                <w:szCs w:val="20"/>
                <w:color w:val="auto"/>
              </w:rPr>
            </w:pPr>
            <w:r>
              <w:rPr>
                <w:rFonts w:ascii="Arial" w:cs="Arial" w:eastAsia="Arial" w:hAnsi="Arial"/>
                <w:sz w:val="18"/>
                <w:szCs w:val="18"/>
                <w:color w:val="auto"/>
                <w:w w:val="90"/>
              </w:rPr>
              <w:t>Amended and Restated Collaboration Agreement by and between TG Therapeutics, Inc. and Checkpoint Therapeutics, Inc., dated</w:t>
            </w:r>
          </w:p>
        </w:tc>
      </w:tr>
      <w:tr>
        <w:trPr>
          <w:trHeight w:val="237"/>
        </w:trPr>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80" w:type="dxa"/>
            <w:vAlign w:val="bottom"/>
          </w:tcPr>
          <w:p>
            <w:pPr>
              <w:ind w:left="560"/>
              <w:spacing w:after="0"/>
              <w:rPr>
                <w:sz w:val="20"/>
                <w:szCs w:val="20"/>
                <w:color w:val="auto"/>
              </w:rPr>
            </w:pPr>
            <w:r>
              <w:rPr>
                <w:rFonts w:ascii="Arial" w:cs="Arial" w:eastAsia="Arial" w:hAnsi="Arial"/>
                <w:sz w:val="18"/>
                <w:szCs w:val="18"/>
                <w:color w:val="auto"/>
                <w:w w:val="93"/>
              </w:rPr>
              <w:t>June 19, 2019 (incorporated by reference to Exhibit 10.1 to the Registrant’s Form 10-Q for the quarter ended June 30, 2019). *</w:t>
            </w:r>
          </w:p>
        </w:tc>
      </w:tr>
      <w:tr>
        <w:trPr>
          <w:trHeight w:val="39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29">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9980" w:type="dxa"/>
            <w:vAlign w:val="bottom"/>
          </w:tcPr>
          <w:p>
            <w:pPr>
              <w:ind w:left="560"/>
              <w:spacing w:after="0"/>
              <w:rPr>
                <w:sz w:val="20"/>
                <w:szCs w:val="20"/>
                <w:color w:val="auto"/>
              </w:rPr>
            </w:pPr>
            <w:r>
              <w:rPr>
                <w:rFonts w:ascii="Arial" w:cs="Arial" w:eastAsia="Arial" w:hAnsi="Arial"/>
                <w:sz w:val="18"/>
                <w:szCs w:val="18"/>
                <w:color w:val="auto"/>
              </w:rPr>
              <w:t>Subsidiaries of TG Therapeutics, Inc.</w:t>
            </w: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30">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9980" w:type="dxa"/>
            <w:vAlign w:val="bottom"/>
          </w:tcPr>
          <w:p>
            <w:pPr>
              <w:ind w:left="56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3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9980" w:type="dxa"/>
            <w:vAlign w:val="bottom"/>
          </w:tcPr>
          <w:p>
            <w:pPr>
              <w:ind w:left="560"/>
              <w:spacing w:after="0"/>
              <w:rPr>
                <w:sz w:val="20"/>
                <w:szCs w:val="20"/>
                <w:color w:val="auto"/>
              </w:rPr>
            </w:pPr>
            <w:r>
              <w:rPr>
                <w:rFonts w:ascii="Arial" w:cs="Arial" w:eastAsia="Arial" w:hAnsi="Arial"/>
                <w:sz w:val="18"/>
                <w:szCs w:val="18"/>
                <w:color w:val="auto"/>
              </w:rPr>
              <w:t>Certification of Principal Executive Officer</w:t>
            </w: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32">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80" w:type="dxa"/>
            <w:vAlign w:val="bottom"/>
          </w:tcPr>
          <w:p>
            <w:pPr>
              <w:spacing w:after="0"/>
              <w:rPr>
                <w:sz w:val="24"/>
                <w:szCs w:val="24"/>
                <w:color w:val="auto"/>
              </w:rPr>
            </w:pPr>
          </w:p>
        </w:tc>
        <w:tc>
          <w:tcPr>
            <w:tcW w:w="9980" w:type="dxa"/>
            <w:vAlign w:val="bottom"/>
          </w:tcPr>
          <w:p>
            <w:pPr>
              <w:ind w:left="560"/>
              <w:spacing w:after="0"/>
              <w:rPr>
                <w:sz w:val="20"/>
                <w:szCs w:val="20"/>
                <w:color w:val="auto"/>
              </w:rPr>
            </w:pPr>
            <w:r>
              <w:rPr>
                <w:rFonts w:ascii="Arial" w:cs="Arial" w:eastAsia="Arial" w:hAnsi="Arial"/>
                <w:sz w:val="18"/>
                <w:szCs w:val="18"/>
                <w:color w:val="auto"/>
              </w:rPr>
              <w:t>Certification of Principal Financial Officer</w:t>
            </w: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33">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9980" w:type="dxa"/>
            <w:vAlign w:val="bottom"/>
          </w:tcPr>
          <w:p>
            <w:pPr>
              <w:ind w:left="56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1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134">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80" w:type="dxa"/>
            <w:vAlign w:val="bottom"/>
          </w:tcPr>
          <w:p>
            <w:pPr>
              <w:spacing w:after="0"/>
              <w:rPr>
                <w:sz w:val="24"/>
                <w:szCs w:val="24"/>
                <w:color w:val="auto"/>
              </w:rPr>
            </w:pPr>
          </w:p>
        </w:tc>
        <w:tc>
          <w:tcPr>
            <w:tcW w:w="9980" w:type="dxa"/>
            <w:vAlign w:val="bottom"/>
          </w:tcPr>
          <w:p>
            <w:pPr>
              <w:ind w:left="56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29" w:lineRule="exact"/>
        <w:rPr>
          <w:sz w:val="20"/>
          <w:szCs w:val="20"/>
          <w:color w:val="auto"/>
        </w:rPr>
      </w:pPr>
    </w:p>
    <w:p>
      <w:pPr>
        <w:jc w:val="both"/>
        <w:ind w:left="962" w:hanging="962"/>
        <w:spacing w:after="0" w:line="259" w:lineRule="auto"/>
        <w:tabs>
          <w:tab w:leader="none" w:pos="9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financial information from TG Therapeutics, Inc.’s Annual Report on Form 10-K for the year ended December 31, 2019, formatted in iXBRL (Inline eXtensible Business Reporting Language): (i) Consolidated Balance Sheets, (ii) Consolidated Statements of Operations, (iii) Consolidated Statements of Stockholders’ Equity, (iv) Consolidated Statements of Cash Flows, (v) the Notes to Consolidated Financial Statements.</w:t>
      </w:r>
    </w:p>
    <w:p>
      <w:pPr>
        <w:spacing w:after="0" w:line="187" w:lineRule="exact"/>
        <w:rPr>
          <w:sz w:val="20"/>
          <w:szCs w:val="20"/>
          <w:color w:val="auto"/>
        </w:rPr>
      </w:pPr>
    </w:p>
    <w:p>
      <w:pPr>
        <w:ind w:left="2"/>
        <w:spacing w:after="0"/>
        <w:tabs>
          <w:tab w:leader="none" w:pos="942"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6465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5" w:lineRule="exact"/>
        <w:rPr>
          <w:sz w:val="20"/>
          <w:szCs w:val="20"/>
          <w:color w:val="auto"/>
        </w:rPr>
      </w:pPr>
    </w:p>
    <w:p>
      <w:pPr>
        <w:ind w:left="322" w:hanging="322"/>
        <w:spacing w:after="0"/>
        <w:tabs>
          <w:tab w:leader="none" w:pos="322"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22" w:hanging="322"/>
        <w:spacing w:after="0"/>
        <w:tabs>
          <w:tab w:leader="none" w:pos="32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322" w:hanging="322"/>
        <w:spacing w:after="0"/>
        <w:tabs>
          <w:tab w:leader="none" w:pos="322"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pursuant to Item 601(b)(10)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5102"/>
        <w:spacing w:after="0"/>
        <w:rPr>
          <w:rFonts w:ascii="Arial" w:cs="Arial" w:eastAsia="Arial" w:hAnsi="Arial"/>
          <w:sz w:val="18"/>
          <w:szCs w:val="18"/>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59511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2"/>
          </w:cols>
          <w:pgMar w:left="758" w:top="517" w:right="75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824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9520" w:type="dxa"/>
            <w:vAlign w:val="bottom"/>
            <w:gridSpan w:val="8"/>
          </w:tcPr>
          <w:p>
            <w:pPr>
              <w:spacing w:after="0"/>
              <w:rPr>
                <w:sz w:val="20"/>
                <w:szCs w:val="20"/>
                <w:color w:val="auto"/>
              </w:rPr>
            </w:pPr>
            <w:r>
              <w:rPr>
                <w:rFonts w:ascii="Arial" w:cs="Arial" w:eastAsia="Arial" w:hAnsi="Arial"/>
                <w:sz w:val="18"/>
                <w:szCs w:val="18"/>
                <w:b w:val="1"/>
                <w:bCs w:val="1"/>
                <w:color w:val="auto"/>
              </w:rPr>
              <w:t>TG Therapeutics, Inc.</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520" w:type="dxa"/>
            <w:vAlign w:val="bottom"/>
            <w:gridSpan w:val="8"/>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9520" w:type="dxa"/>
            <w:vAlign w:val="bottom"/>
            <w:gridSpan w:val="8"/>
            <w:vMerge w:val="restart"/>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Report of Independent Registered Public Accounting Firm</w:t>
              </w:r>
            </w:hyperlink>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69"/>
        </w:trPr>
        <w:tc>
          <w:tcPr>
            <w:tcW w:w="9520" w:type="dxa"/>
            <w:vAlign w:val="bottom"/>
            <w:gridSpan w:val="8"/>
            <w:vMerge w:val="continue"/>
          </w:tcPr>
          <w:p>
            <w:pPr>
              <w:spacing w:after="0"/>
              <w:rPr>
                <w:sz w:val="14"/>
                <w:szCs w:val="14"/>
                <w:color w:val="auto"/>
              </w:rPr>
            </w:pPr>
          </w:p>
        </w:tc>
        <w:tc>
          <w:tcPr>
            <w:tcW w:w="860" w:type="dxa"/>
            <w:vAlign w:val="bottom"/>
          </w:tcPr>
          <w:p>
            <w:pPr>
              <w:jc w:val="center"/>
              <w:spacing w:after="0" w:line="170"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Consolidated Balance Sheets as of December 31, 2019 and 2018</w:t>
              </w:r>
            </w:hyperlink>
          </w:p>
        </w:tc>
        <w:tc>
          <w:tcPr>
            <w:tcW w:w="4860" w:type="dxa"/>
            <w:vAlign w:val="bottom"/>
            <w:gridSpan w:val="4"/>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412"/>
        </w:trPr>
        <w:tc>
          <w:tcPr>
            <w:tcW w:w="68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Consolidated Statements of Operations for the years ended December 31, 2019, 2018 and 2017</w:t>
              </w:r>
            </w:hyperlink>
          </w:p>
        </w:tc>
        <w:tc>
          <w:tcPr>
            <w:tcW w:w="2660" w:type="dxa"/>
            <w:vAlign w:val="bottom"/>
            <w:gridSpan w:val="3"/>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412"/>
        </w:trPr>
        <w:tc>
          <w:tcPr>
            <w:tcW w:w="9520" w:type="dxa"/>
            <w:vAlign w:val="bottom"/>
            <w:gridSpan w:val="8"/>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Consolidated Statements of Stockholders’ Equity for the years ended December 31, 2019, 2018 and 2017</w:t>
              </w:r>
            </w:hyperlink>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412"/>
        </w:trPr>
        <w:tc>
          <w:tcPr>
            <w:tcW w:w="7580" w:type="dxa"/>
            <w:vAlign w:val="bottom"/>
            <w:tcBorders>
              <w:top w:val="single" w:sz="8" w:color="0000EE"/>
            </w:tcBorders>
            <w:gridSpan w:val="7"/>
          </w:tcPr>
          <w:p>
            <w:pPr>
              <w:spacing w:after="0"/>
              <w:rPr>
                <w:rFonts w:ascii="Arial" w:cs="Arial" w:eastAsia="Arial" w:hAnsi="Arial"/>
                <w:sz w:val="18"/>
                <w:szCs w:val="18"/>
                <w:color w:val="0000EE"/>
                <w:w w:val="97"/>
              </w:rPr>
            </w:pPr>
            <w:hyperlink w:anchor="page99">
              <w:r>
                <w:rPr>
                  <w:rFonts w:ascii="Arial" w:cs="Arial" w:eastAsia="Arial" w:hAnsi="Arial"/>
                  <w:sz w:val="18"/>
                  <w:szCs w:val="18"/>
                  <w:color w:val="0000EE"/>
                  <w:w w:val="97"/>
                </w:rPr>
                <w:t>Consolidated Statements of Cash Flows for the years ended December 31, 2019, 2018 and 2017</w:t>
              </w:r>
            </w:hyperlink>
          </w:p>
        </w:tc>
        <w:tc>
          <w:tcPr>
            <w:tcW w:w="19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412"/>
        </w:trPr>
        <w:tc>
          <w:tcPr>
            <w:tcW w:w="31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Notes to Consolidated Financial Statements</w:t>
              </w:r>
            </w:hyperlink>
          </w:p>
        </w:tc>
        <w:tc>
          <w:tcPr>
            <w:tcW w:w="3740" w:type="dxa"/>
            <w:vAlign w:val="bottom"/>
            <w:tcBorders>
              <w:top w:val="single" w:sz="8" w:color="0000EE"/>
            </w:tcBorders>
            <w:gridSpan w:val="4"/>
          </w:tcPr>
          <w:p>
            <w:pPr>
              <w:spacing w:after="0"/>
              <w:rPr>
                <w:sz w:val="24"/>
                <w:szCs w:val="24"/>
                <w:color w:val="auto"/>
              </w:rPr>
            </w:pPr>
          </w:p>
        </w:tc>
        <w:tc>
          <w:tcPr>
            <w:tcW w:w="2620" w:type="dxa"/>
            <w:vAlign w:val="bottom"/>
            <w:gridSpan w:val="2"/>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898"/>
        </w:trPr>
        <w:tc>
          <w:tcPr>
            <w:tcW w:w="6860" w:type="dxa"/>
            <w:vAlign w:val="bottom"/>
            <w:gridSpan w:val="5"/>
          </w:tcPr>
          <w:p>
            <w:pPr>
              <w:ind w:left="510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760" w:top="500" w:right="7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audited the accompanying consolidated balance sheets of TG Therapeutics, Inc. (the “Company”) as of December 31, 2019 and 2018, and the related consolidated statements of operations, stockholders’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7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(2013) issued by the Committee of Sponsoring Organizations of the Treadway Commission (COSO), and our report dated March 2, 2020,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As discussed in Notes 1 and 8 to the consolidated financial statements, the Company has changed its method of accounting for leases as of January 1, 2019 due to the adoption of </w:t>
      </w:r>
      <w:r>
        <w:rPr>
          <w:rFonts w:ascii="Arial" w:cs="Arial" w:eastAsia="Arial" w:hAnsi="Arial"/>
          <w:sz w:val="18"/>
          <w:szCs w:val="18"/>
          <w:i w:val="1"/>
          <w:iCs w:val="1"/>
          <w:color w:val="auto"/>
        </w:rPr>
        <w:t>Accounting Standard Codification Topic 842, Leases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As discussed in Note 1 to the consolidated financial statements, the Company has incurred losses since inception, and expects to continue to incur losses for the foreseeable future. At December 31, 2019, the Company believes its cash and cash equivalents and short-term investment securities will be sufficient to fund the Company’s planned operations for at least a year beyond the date of the issuance of the consolidated financial statements.</w:t>
      </w:r>
    </w:p>
    <w:p>
      <w:pPr>
        <w:sectPr>
          <w:pgSz w:w="11900" w:h="16838" w:orient="portrait"/>
          <w:cols w:equalWidth="0" w:num="1">
            <w:col w:w="10400"/>
          </w:cols>
          <w:pgMar w:left="760" w:top="517" w:right="7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365125</wp:posOffset>
            </wp:positionV>
            <wp:extent cx="659511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identified Liquidity and Capital Resources as a critical audit matter due to the subjective judgments required of management to conclude the Company would have sufficient liquidity to sustain itself for at least a year beyond the date of the issuance of the consolidated financial statements. This in turn led to a high degree of auditor subjectivity and judgment to evaluate the audit evidence supporting the liquidity conclusions. Additionally, the relevance of management’s liquidity conclusions to the users of the consolidated financial statements also impacted our assessment of these circumstances as a critical audit matter.</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our overall opinion on the consolidated financial statements. The procedures we performed to address this critical audit matter included:</w:t>
      </w:r>
    </w:p>
    <w:p>
      <w:pPr>
        <w:spacing w:after="0" w:line="170" w:lineRule="exact"/>
        <w:rPr>
          <w:sz w:val="20"/>
          <w:szCs w:val="20"/>
          <w:color w:val="auto"/>
        </w:rPr>
      </w:pPr>
    </w:p>
    <w:p>
      <w:pPr>
        <w:ind w:left="1000" w:hanging="32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Testing the reasonableness of the total liquid assets at December 31, 2019.</w:t>
      </w:r>
    </w:p>
    <w:p>
      <w:pPr>
        <w:spacing w:after="0" w:line="23" w:lineRule="exact"/>
        <w:rPr>
          <w:rFonts w:ascii="Arial" w:cs="Arial" w:eastAsia="Arial" w:hAnsi="Arial"/>
          <w:sz w:val="18"/>
          <w:szCs w:val="18"/>
          <w:color w:val="auto"/>
        </w:rPr>
      </w:pPr>
    </w:p>
    <w:p>
      <w:pPr>
        <w:ind w:left="1000" w:right="20" w:hanging="327"/>
        <w:spacing w:after="0" w:line="250"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Evaluating the amount and timing of forecasted clinical trial expenses and related payments, including negotiated vendor payment terms (see Note 6 to the consolidated financial statements).</w:t>
      </w:r>
    </w:p>
    <w:p>
      <w:pPr>
        <w:ind w:left="1000" w:right="20" w:hanging="327"/>
        <w:spacing w:after="0" w:line="250"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Evaluating the fluctuations in forecasted clinical trial expenses and payments thereof as compared to historic amounts and the underlying management assumptions.</w:t>
      </w:r>
    </w:p>
    <w:p>
      <w:pPr>
        <w:ind w:left="1000" w:right="20" w:hanging="327"/>
        <w:spacing w:after="0" w:line="250"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Evaluating the reasonableness of the amounts and timing of payments of forecasted general and administrative expenses and other income, net.</w:t>
      </w:r>
    </w:p>
    <w:p>
      <w:pPr>
        <w:ind w:left="1000" w:right="20" w:hanging="327"/>
        <w:spacing w:after="0" w:line="265" w:lineRule="auto"/>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Reconsidering certain prior management forecasted amounts to evaluate whether those forecasted amounts approximated the ultimate actual results. This was performed in consideration of management’s ability to put forth reasonable estimates.</w:t>
      </w:r>
    </w:p>
    <w:p>
      <w:pPr>
        <w:ind w:left="1000" w:hanging="327"/>
        <w:spacing w:after="0"/>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Evaluating the adequacy of the Company’s disclosure of these circumstances in the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of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00"/>
              <w:spacing w:after="0"/>
              <w:rPr>
                <w:sz w:val="20"/>
                <w:szCs w:val="20"/>
                <w:color w:val="auto"/>
              </w:rPr>
            </w:pPr>
            <w:r>
              <w:rPr>
                <w:rFonts w:ascii="Arial" w:cs="Arial" w:eastAsia="Arial" w:hAnsi="Arial"/>
                <w:sz w:val="18"/>
                <w:szCs w:val="18"/>
                <w:color w:val="auto"/>
              </w:rPr>
              <w:t>Short-term investment securities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research and development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Equipment,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163,014</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0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48,994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Lease liability – current portion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Accrued compensation</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 non current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124,399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ind w:left="420"/>
              <w:spacing w:after="0" w:line="201" w:lineRule="exact"/>
              <w:rPr>
                <w:sz w:val="20"/>
                <w:szCs w:val="20"/>
                <w:color w:val="auto"/>
              </w:rPr>
            </w:pPr>
            <w:r>
              <w:rPr>
                <w:rFonts w:ascii="Arial" w:cs="Arial" w:eastAsia="Arial" w:hAnsi="Arial"/>
                <w:sz w:val="18"/>
                <w:szCs w:val="18"/>
                <w:color w:val="auto"/>
              </w:rPr>
              <w:t>Preferred stock, $0.001 par value per share (10,000,000 shares authorized, none issued and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outstanding as of December 31, 2019 and 2018)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9"/>
              </w:rPr>
              <w:t>Common stock, $0.001 par value per share (150,000,000 shares authorized, 109,425,243 and</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83,911,855 shares issued, 109,383,934 and 83,870,546 shares outstanding at December 31, 2019 and</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2018, respectively)</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739,956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41,309 shares at December 31, 2019 and 2018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(701,216)</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(528,345)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163,014</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TG Therapeutics, Inc. and Subsidiaries Consolidated Statements of Operations for the Years Ended December 31 (in thousands, except share and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stock expense associated with in-licensing agreements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0"/>
              <w:spacing w:after="0"/>
              <w:rPr>
                <w:sz w:val="20"/>
                <w:szCs w:val="20"/>
                <w:color w:val="auto"/>
              </w:rPr>
            </w:pPr>
            <w:r>
              <w:rPr>
                <w:rFonts w:ascii="Arial" w:cs="Arial" w:eastAsia="Arial" w:hAnsi="Arial"/>
                <w:sz w:val="18"/>
                <w:szCs w:val="18"/>
                <w:color w:val="auto"/>
              </w:rPr>
              <w:t>Noncash compensation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research and development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149,793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research and development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154,180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159,391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compensation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(169,055)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(174,400)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(172,871)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(173,482)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(118,476)</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(1.91)</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w w:val="96"/>
              </w:rPr>
              <w:t>Weighted average shares used in computing basic and diluted net loss per common share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88,368,844</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75,466,813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62,069,570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for the 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gridSpan w:val="3"/>
            <w:vMerge w:val="restart"/>
          </w:tcPr>
          <w:p>
            <w:pPr>
              <w:jc w:val="right"/>
              <w:ind w:right="2"/>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152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5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Capital</w:t>
            </w:r>
          </w:p>
        </w:tc>
        <w:tc>
          <w:tcPr>
            <w:tcW w:w="7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6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Balance at January 1, 2017</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56,820,422</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w:t>
            </w: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272,432</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41,309</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(236,387)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35,868</w:t>
            </w:r>
          </w:p>
        </w:tc>
        <w:tc>
          <w:tcPr>
            <w:tcW w:w="0" w:type="dxa"/>
            <w:vAlign w:val="bottom"/>
          </w:tcPr>
          <w:p>
            <w:pPr>
              <w:spacing w:after="0"/>
              <w:rPr>
                <w:sz w:val="1"/>
                <w:szCs w:val="1"/>
                <w:color w:val="auto"/>
              </w:rPr>
            </w:pPr>
          </w:p>
        </w:tc>
      </w:tr>
      <w:tr>
        <w:trPr>
          <w:trHeight w:val="130"/>
        </w:trPr>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Issuance of common stock in connection with exercise of</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gridSpan w:val="2"/>
          </w:tcPr>
          <w:p>
            <w:pPr>
              <w:spacing w:after="0"/>
              <w:rPr>
                <w:sz w:val="20"/>
                <w:szCs w:val="20"/>
                <w:color w:val="auto"/>
              </w:rPr>
            </w:pPr>
            <w:r>
              <w:rPr>
                <w:rFonts w:ascii="Arial" w:cs="Arial" w:eastAsia="Arial" w:hAnsi="Arial"/>
                <w:sz w:val="14"/>
                <w:szCs w:val="14"/>
                <w:color w:val="auto"/>
              </w:rPr>
              <w:t>warrants</w:t>
            </w:r>
          </w:p>
        </w:tc>
        <w:tc>
          <w:tcPr>
            <w:tcW w:w="960" w:type="dxa"/>
            <w:vAlign w:val="bottom"/>
          </w:tcPr>
          <w:p>
            <w:pPr>
              <w:jc w:val="right"/>
              <w:spacing w:after="0"/>
              <w:rPr>
                <w:sz w:val="20"/>
                <w:szCs w:val="20"/>
                <w:color w:val="auto"/>
              </w:rPr>
            </w:pPr>
            <w:r>
              <w:rPr>
                <w:rFonts w:ascii="Arial" w:cs="Arial" w:eastAsia="Arial" w:hAnsi="Arial"/>
                <w:sz w:val="14"/>
                <w:szCs w:val="14"/>
                <w:color w:val="auto"/>
              </w:rPr>
              <w:t>887,585</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2,142</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2,142</w:t>
            </w: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1,836,511</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Forfeiture of restricted stock</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(53,875)</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in public offering (net of</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offering costs of $3.6 million)</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5,897,436</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53,634</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53,640</w:t>
            </w:r>
          </w:p>
        </w:tc>
        <w:tc>
          <w:tcPr>
            <w:tcW w:w="0" w:type="dxa"/>
            <w:vAlign w:val="bottom"/>
          </w:tcPr>
          <w:p>
            <w:pPr>
              <w:spacing w:after="0"/>
              <w:rPr>
                <w:sz w:val="1"/>
                <w:szCs w:val="1"/>
                <w:color w:val="auto"/>
              </w:rPr>
            </w:pPr>
          </w:p>
        </w:tc>
      </w:tr>
      <w:tr>
        <w:trPr>
          <w:trHeight w:val="130"/>
        </w:trPr>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Issuance of common stock in At-the-Market offering (net</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gridSpan w:val="2"/>
          </w:tcPr>
          <w:p>
            <w:pPr>
              <w:spacing w:after="0"/>
              <w:rPr>
                <w:sz w:val="20"/>
                <w:szCs w:val="20"/>
                <w:color w:val="auto"/>
              </w:rPr>
            </w:pPr>
            <w:r>
              <w:rPr>
                <w:rFonts w:ascii="Arial" w:cs="Arial" w:eastAsia="Arial" w:hAnsi="Arial"/>
                <w:sz w:val="14"/>
                <w:szCs w:val="14"/>
                <w:color w:val="auto"/>
              </w:rPr>
              <w:t>of offering costs of $1.1 million)</w:t>
            </w:r>
          </w:p>
        </w:tc>
        <w:tc>
          <w:tcPr>
            <w:tcW w:w="960" w:type="dxa"/>
            <w:vAlign w:val="bottom"/>
          </w:tcPr>
          <w:p>
            <w:pPr>
              <w:jc w:val="right"/>
              <w:spacing w:after="0"/>
              <w:rPr>
                <w:sz w:val="20"/>
                <w:szCs w:val="20"/>
                <w:color w:val="auto"/>
              </w:rPr>
            </w:pPr>
            <w:r>
              <w:rPr>
                <w:rFonts w:ascii="Arial" w:cs="Arial" w:eastAsia="Arial" w:hAnsi="Arial"/>
                <w:sz w:val="14"/>
                <w:szCs w:val="14"/>
                <w:color w:val="auto"/>
              </w:rPr>
              <w:t>7,793,671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77,865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77,873</w:t>
            </w:r>
          </w:p>
        </w:tc>
        <w:tc>
          <w:tcPr>
            <w:tcW w:w="0" w:type="dxa"/>
            <w:vAlign w:val="bottom"/>
          </w:tcPr>
          <w:p>
            <w:pPr>
              <w:spacing w:after="0"/>
              <w:rPr>
                <w:sz w:val="1"/>
                <w:szCs w:val="1"/>
                <w:color w:val="auto"/>
              </w:rPr>
            </w:pPr>
          </w:p>
        </w:tc>
      </w:tr>
      <w:tr>
        <w:trPr>
          <w:trHeight w:val="130"/>
        </w:trPr>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Compensation in respect of restricted stock granted to</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employees, directors and consultants</w:t>
            </w: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15,945</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15,945</w:t>
            </w:r>
          </w:p>
        </w:tc>
        <w:tc>
          <w:tcPr>
            <w:tcW w:w="0" w:type="dxa"/>
            <w:vAlign w:val="bottom"/>
          </w:tcPr>
          <w:p>
            <w:pPr>
              <w:spacing w:after="0"/>
              <w:rPr>
                <w:sz w:val="1"/>
                <w:szCs w:val="1"/>
                <w:color w:val="auto"/>
              </w:rPr>
            </w:pPr>
          </w:p>
        </w:tc>
      </w:tr>
      <w:tr>
        <w:trPr>
          <w:trHeight w:val="149"/>
        </w:trPr>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Net loss</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(118,476)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(118,476)</w:t>
            </w:r>
          </w:p>
        </w:tc>
        <w:tc>
          <w:tcPr>
            <w:tcW w:w="0" w:type="dxa"/>
            <w:vAlign w:val="bottom"/>
          </w:tcPr>
          <w:p>
            <w:pPr>
              <w:spacing w:after="0"/>
              <w:rPr>
                <w:sz w:val="1"/>
                <w:szCs w:val="1"/>
                <w:color w:val="auto"/>
              </w:rPr>
            </w:pPr>
          </w:p>
        </w:tc>
      </w:tr>
      <w:tr>
        <w:trPr>
          <w:trHeight w:val="142"/>
        </w:trPr>
        <w:tc>
          <w:tcPr>
            <w:tcW w:w="36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2017</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73,181,750</w:t>
            </w: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w:t>
            </w: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422,017</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41,309</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(354,863)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66,993</w:t>
            </w:r>
          </w:p>
        </w:tc>
        <w:tc>
          <w:tcPr>
            <w:tcW w:w="0" w:type="dxa"/>
            <w:vAlign w:val="bottom"/>
          </w:tcPr>
          <w:p>
            <w:pPr>
              <w:spacing w:after="0"/>
              <w:rPr>
                <w:sz w:val="1"/>
                <w:szCs w:val="1"/>
                <w:color w:val="auto"/>
              </w:rPr>
            </w:pPr>
          </w:p>
        </w:tc>
      </w:tr>
      <w:tr>
        <w:trPr>
          <w:trHeight w:val="149"/>
        </w:trPr>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1,562,211</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Forfeiture of restricted stock</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(191,196)</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Issuance of common stock in At-the-Market offerings (net</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gridSpan w:val="2"/>
          </w:tcPr>
          <w:p>
            <w:pPr>
              <w:spacing w:after="0"/>
              <w:rPr>
                <w:sz w:val="20"/>
                <w:szCs w:val="20"/>
                <w:color w:val="auto"/>
              </w:rPr>
            </w:pPr>
            <w:r>
              <w:rPr>
                <w:rFonts w:ascii="Arial" w:cs="Arial" w:eastAsia="Arial" w:hAnsi="Arial"/>
                <w:sz w:val="14"/>
                <w:szCs w:val="14"/>
                <w:color w:val="auto"/>
              </w:rPr>
              <w:t>of offering costs of $2.0 million)</w:t>
            </w:r>
          </w:p>
        </w:tc>
        <w:tc>
          <w:tcPr>
            <w:tcW w:w="960" w:type="dxa"/>
            <w:vAlign w:val="bottom"/>
          </w:tcPr>
          <w:p>
            <w:pPr>
              <w:jc w:val="right"/>
              <w:spacing w:after="0"/>
              <w:rPr>
                <w:sz w:val="20"/>
                <w:szCs w:val="20"/>
                <w:color w:val="auto"/>
              </w:rPr>
            </w:pPr>
            <w:r>
              <w:rPr>
                <w:rFonts w:ascii="Arial" w:cs="Arial" w:eastAsia="Arial" w:hAnsi="Arial"/>
                <w:sz w:val="14"/>
                <w:szCs w:val="14"/>
                <w:color w:val="auto"/>
              </w:rPr>
              <w:t>9,025,222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113,630</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113,639</w:t>
            </w:r>
          </w:p>
        </w:tc>
        <w:tc>
          <w:tcPr>
            <w:tcW w:w="0" w:type="dxa"/>
            <w:vAlign w:val="bottom"/>
          </w:tcPr>
          <w:p>
            <w:pPr>
              <w:spacing w:after="0"/>
              <w:rPr>
                <w:sz w:val="1"/>
                <w:szCs w:val="1"/>
                <w:color w:val="auto"/>
              </w:rPr>
            </w:pPr>
          </w:p>
        </w:tc>
      </w:tr>
      <w:tr>
        <w:trPr>
          <w:trHeight w:val="130"/>
        </w:trPr>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Compensation in respect of restricted stock granted to</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employees, directors and consultants</w:t>
            </w: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12,886</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12,886</w:t>
            </w:r>
          </w:p>
        </w:tc>
        <w:tc>
          <w:tcPr>
            <w:tcW w:w="0" w:type="dxa"/>
            <w:vAlign w:val="bottom"/>
          </w:tcPr>
          <w:p>
            <w:pPr>
              <w:spacing w:after="0"/>
              <w:rPr>
                <w:sz w:val="1"/>
                <w:szCs w:val="1"/>
                <w:color w:val="auto"/>
              </w:rPr>
            </w:pPr>
          </w:p>
        </w:tc>
      </w:tr>
      <w:tr>
        <w:trPr>
          <w:trHeight w:val="149"/>
        </w:trPr>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Shares issued in connection with in-licensing agreements</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333,868</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(173,482)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(173,482)</w:t>
            </w: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line="142" w:lineRule="exact"/>
              <w:rPr>
                <w:sz w:val="20"/>
                <w:szCs w:val="20"/>
                <w:color w:val="auto"/>
              </w:rPr>
            </w:pPr>
            <w:r>
              <w:rPr>
                <w:rFonts w:ascii="Arial" w:cs="Arial" w:eastAsia="Arial" w:hAnsi="Arial"/>
                <w:sz w:val="14"/>
                <w:szCs w:val="14"/>
                <w:color w:val="auto"/>
              </w:rPr>
              <w:t>Balance at December 31, 2018</w:t>
            </w: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83,911,855</w:t>
            </w: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84</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552,531</w:t>
            </w:r>
          </w:p>
        </w:tc>
        <w:tc>
          <w:tcPr>
            <w:tcW w:w="16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41,309</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(234)</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(528,345)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24,036</w:t>
            </w: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1,851,520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Warrants issued with debt financing</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993</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Forfeiture of restricted stock</w:t>
            </w:r>
          </w:p>
        </w:tc>
        <w:tc>
          <w:tcPr>
            <w:tcW w:w="11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(116,463)</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Issuance of common stock in offerings (net of offering</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gridSpan w:val="2"/>
          </w:tcPr>
          <w:p>
            <w:pPr>
              <w:spacing w:after="0"/>
              <w:rPr>
                <w:sz w:val="20"/>
                <w:szCs w:val="20"/>
                <w:color w:val="auto"/>
              </w:rPr>
            </w:pPr>
            <w:r>
              <w:rPr>
                <w:rFonts w:ascii="Arial" w:cs="Arial" w:eastAsia="Arial" w:hAnsi="Arial"/>
                <w:sz w:val="14"/>
                <w:szCs w:val="14"/>
                <w:color w:val="auto"/>
              </w:rPr>
              <w:t>costs of $0.2 million)</w:t>
            </w:r>
          </w:p>
        </w:tc>
        <w:tc>
          <w:tcPr>
            <w:tcW w:w="960" w:type="dxa"/>
            <w:vAlign w:val="bottom"/>
          </w:tcPr>
          <w:p>
            <w:pPr>
              <w:jc w:val="right"/>
              <w:spacing w:after="0"/>
              <w:rPr>
                <w:sz w:val="20"/>
                <w:szCs w:val="20"/>
                <w:color w:val="auto"/>
              </w:rPr>
            </w:pPr>
            <w:r>
              <w:rPr>
                <w:rFonts w:ascii="Arial" w:cs="Arial" w:eastAsia="Arial" w:hAnsi="Arial"/>
                <w:sz w:val="14"/>
                <w:szCs w:val="14"/>
                <w:color w:val="auto"/>
              </w:rPr>
              <w:t>10,149,783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77,465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77,475</w:t>
            </w:r>
          </w:p>
        </w:tc>
        <w:tc>
          <w:tcPr>
            <w:tcW w:w="0" w:type="dxa"/>
            <w:vAlign w:val="bottom"/>
          </w:tcPr>
          <w:p>
            <w:pPr>
              <w:spacing w:after="0"/>
              <w:rPr>
                <w:sz w:val="1"/>
                <w:szCs w:val="1"/>
                <w:color w:val="auto"/>
              </w:rPr>
            </w:pPr>
          </w:p>
        </w:tc>
      </w:tr>
      <w:tr>
        <w:trPr>
          <w:trHeight w:val="130"/>
        </w:trPr>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in At-the-Market offerings (net</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of offering costs of $2.0 million)</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13,620,165</w:t>
            </w: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97,533</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97,547</w:t>
            </w:r>
          </w:p>
        </w:tc>
        <w:tc>
          <w:tcPr>
            <w:tcW w:w="0" w:type="dxa"/>
            <w:vAlign w:val="bottom"/>
          </w:tcPr>
          <w:p>
            <w:pPr>
              <w:spacing w:after="0"/>
              <w:rPr>
                <w:sz w:val="1"/>
                <w:szCs w:val="1"/>
                <w:color w:val="auto"/>
              </w:rPr>
            </w:pPr>
          </w:p>
        </w:tc>
      </w:tr>
      <w:tr>
        <w:trPr>
          <w:trHeight w:val="130"/>
        </w:trPr>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Compensation in respect of restricted stock granted to</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gridSpan w:val="2"/>
          </w:tcPr>
          <w:p>
            <w:pPr>
              <w:spacing w:after="0"/>
              <w:rPr>
                <w:sz w:val="20"/>
                <w:szCs w:val="20"/>
                <w:color w:val="auto"/>
              </w:rPr>
            </w:pPr>
            <w:r>
              <w:rPr>
                <w:rFonts w:ascii="Arial" w:cs="Arial" w:eastAsia="Arial" w:hAnsi="Arial"/>
                <w:sz w:val="14"/>
                <w:szCs w:val="14"/>
                <w:color w:val="auto"/>
              </w:rPr>
              <w:t>employees, directors and consultants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11,335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11,335</w:t>
            </w: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Shares issued in connection with in-licensing agreements</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8,383</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Net loss</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(172,871)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(172,871)</w:t>
            </w:r>
          </w:p>
        </w:tc>
        <w:tc>
          <w:tcPr>
            <w:tcW w:w="0" w:type="dxa"/>
            <w:vAlign w:val="bottom"/>
          </w:tcPr>
          <w:p>
            <w:pPr>
              <w:spacing w:after="0"/>
              <w:rPr>
                <w:sz w:val="1"/>
                <w:szCs w:val="1"/>
                <w:color w:val="auto"/>
              </w:rPr>
            </w:pPr>
          </w:p>
        </w:tc>
      </w:tr>
      <w:tr>
        <w:trPr>
          <w:trHeight w:val="142"/>
        </w:trPr>
        <w:tc>
          <w:tcPr>
            <w:tcW w:w="360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2019</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109,425,243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w:t>
            </w:r>
          </w:p>
        </w:tc>
        <w:tc>
          <w:tcPr>
            <w:tcW w:w="3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739,956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41,309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(701,216)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38,615</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600" w:type="dxa"/>
            <w:vAlign w:val="bottom"/>
            <w:tcBorders>
              <w:bottom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Amount less than one thousand dollars.</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TG Therapeutics, Inc. and Subsidiaries Consolidated Statements of Cash Flows for the Years Ended December 31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loss</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(172,871)</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(173,482)</w:t>
            </w:r>
          </w:p>
        </w:tc>
        <w:tc>
          <w:tcPr>
            <w:tcW w:w="3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(118,476)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Adjustments to reconcile consolidated net loss to net cash used in operating activities: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stock compensation expense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11,335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Shares issued in connection with in-licensing agreement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Amortization of premium on investment securities</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(257)</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debt issuance costs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Amortization of leasehold interest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change in lease liability and right-of-use asset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Change in fair value of notes payable and accrued interest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00"/>
              <w:spacing w:after="0" w:line="149" w:lineRule="exact"/>
              <w:rPr>
                <w:sz w:val="20"/>
                <w:szCs w:val="20"/>
                <w:color w:val="auto"/>
              </w:rPr>
            </w:pPr>
            <w:r>
              <w:rPr>
                <w:rFonts w:ascii="Arial" w:cs="Arial" w:eastAsia="Arial" w:hAnsi="Arial"/>
                <w:sz w:val="14"/>
                <w:szCs w:val="14"/>
                <w:color w:val="auto"/>
              </w:rPr>
              <w:t>Decrease (increase) in other current assets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1,395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(1,638)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decrease in accrued interest receivable</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00"/>
              <w:spacing w:after="0" w:line="149" w:lineRule="exact"/>
              <w:rPr>
                <w:sz w:val="20"/>
                <w:szCs w:val="20"/>
                <w:color w:val="auto"/>
              </w:rPr>
            </w:pPr>
            <w:r>
              <w:rPr>
                <w:rFonts w:ascii="Arial" w:cs="Arial" w:eastAsia="Arial" w:hAnsi="Arial"/>
                <w:sz w:val="14"/>
                <w:szCs w:val="14"/>
                <w:color w:val="auto"/>
              </w:rPr>
              <w:t>Decrease in other assets</w:t>
            </w:r>
          </w:p>
        </w:tc>
        <w:tc>
          <w:tcPr>
            <w:tcW w:w="2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(Decrease) increase in accounts payable and accrued expenses</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(4,795)</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00"/>
              <w:spacing w:after="0" w:line="149" w:lineRule="exact"/>
              <w:rPr>
                <w:sz w:val="20"/>
                <w:szCs w:val="20"/>
                <w:color w:val="auto"/>
              </w:rPr>
            </w:pPr>
            <w:r>
              <w:rPr>
                <w:rFonts w:ascii="Arial" w:cs="Arial" w:eastAsia="Arial" w:hAnsi="Arial"/>
                <w:sz w:val="14"/>
                <w:szCs w:val="14"/>
                <w:color w:val="auto"/>
              </w:rPr>
              <w:t>Decrease in lease liabilities</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(1,548)</w:t>
            </w: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in interest payable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00"/>
              <w:spacing w:after="0" w:line="149" w:lineRule="exact"/>
              <w:rPr>
                <w:sz w:val="20"/>
                <w:szCs w:val="20"/>
                <w:color w:val="auto"/>
              </w:rPr>
            </w:pPr>
            <w:r>
              <w:rPr>
                <w:rFonts w:ascii="Arial" w:cs="Arial" w:eastAsia="Arial" w:hAnsi="Arial"/>
                <w:sz w:val="14"/>
                <w:szCs w:val="14"/>
                <w:color w:val="auto"/>
              </w:rPr>
              <w:t>Increase in other liabilities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28,810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18,350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Increase in deferred rent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ind w:left="200"/>
              <w:spacing w:after="0" w:line="149" w:lineRule="exact"/>
              <w:rPr>
                <w:sz w:val="20"/>
                <w:szCs w:val="20"/>
                <w:color w:val="auto"/>
              </w:rPr>
            </w:pPr>
            <w:r>
              <w:rPr>
                <w:rFonts w:ascii="Arial" w:cs="Arial" w:eastAsia="Arial" w:hAnsi="Arial"/>
                <w:sz w:val="14"/>
                <w:szCs w:val="14"/>
                <w:color w:val="auto"/>
              </w:rPr>
              <w:t>Decrease in deferred revenue</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(152)</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operating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(132,806)</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(128,925)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(93,760)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Proceeds from maturity of short-term securities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29,250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32,500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19,800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held-to-maturity securities</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(29,837)</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(31,230)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Purchases of equipment</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(131)</w:t>
            </w: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provided by investing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(718)</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(8,208)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common stock, net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175,021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113,639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131,516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Proceeds from debt financings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29,987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exercise of warrants</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Financing costs paid</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(795)</w:t>
            </w: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financing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204,213</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113,639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133,659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CASH EQUIVALENTS AND RESTRICTED CASH</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70,689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(14,106)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YEAR</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43,199</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57,305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25,614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AT END OF YEAR</w:t>
            </w:r>
          </w:p>
        </w:tc>
        <w:tc>
          <w:tcPr>
            <w:tcW w:w="2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113,888</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43,199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57,305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Reconciliation to amounts on consolidated balance sheets: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112,637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41,958</w:t>
            </w: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113,888</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43,199</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57,305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TRANSACTIONS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988</w:t>
            </w:r>
          </w:p>
        </w:tc>
        <w:tc>
          <w:tcPr>
            <w:tcW w:w="22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issued with debt financing</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line="149" w:lineRule="exact"/>
              <w:rPr>
                <w:sz w:val="20"/>
                <w:szCs w:val="20"/>
                <w:color w:val="auto"/>
              </w:rPr>
            </w:pPr>
            <w:r>
              <w:rPr>
                <w:rFonts w:ascii="Arial" w:cs="Arial" w:eastAsia="Arial" w:hAnsi="Arial"/>
                <w:sz w:val="14"/>
                <w:szCs w:val="14"/>
                <w:color w:val="auto"/>
              </w:rPr>
              <w:t>Shares issued in connection with in-licensing</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22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100" w:type="dxa"/>
            <w:vAlign w:val="bottom"/>
          </w:tcPr>
          <w:p>
            <w:pPr>
              <w:spacing w:after="0"/>
              <w:rPr>
                <w:sz w:val="12"/>
                <w:szCs w:val="12"/>
                <w:color w:val="auto"/>
              </w:rPr>
            </w:pPr>
          </w:p>
        </w:tc>
        <w:tc>
          <w:tcPr>
            <w:tcW w:w="3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of deferred financing costs to additional paid-in capital</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the context requires otherwise, references in this report to “TG,” “Company,” “we,” “us” and “our” refer to TG Therapeutics,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our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 biopharmaceutical company dedicated to developing and delivering medicines for patients with B-cell mediated diseases, including Chronic Lymphocytic Leukemia (CLL), non-Hodgkin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lead two therapies, ublituximab (TG-1101) and umbralisib (TGR-1202), in pivotal trials for CLL, NHL and MS. Ublituximab is a novel anti-CD20 monoclonal antibody (mAb) that has been glycoengineered for enhanced potency over first generation antibodies. Umbralisib is an oral, once daily, dual inhibitor of PI3K-delta and CK1-epsilon, which may lead to a differentiated safety profile. When used together in combination therapy, ublituximab and umbralisib are referred to as "U2". Additionally, in early clinical development we have an anti-PD-L1 monoclonal antibody referred to as cosibelimab (TG-1501), an oral Bruton’s Tyrosine Kinase (“BTK”) inhibitor referred to as TG-1701, and an anti-CD47/CD19 bispecific antibody referred to as TG-1801.</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December 31, 2019, we have an accumulated deficit of $701.2 million.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major sources of cash have been proceeds from the private placement and public offering of equity securities, and in 2019 from our loan and security agreement executed with Hercules Capital, Inc. (“Hercules”) (See Note 7 for more information).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December 31, 2019, we had $140.4 million in cash and cash equivalents, and investment securities. We anticipate that our cash and cash equivalents, and investment securities as of December 31, 2019 will provide sufficient liquidity for more than a twelve-month period from the date of filing this Annual Report on Form 10-K.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quoted on the Nasdaq Capital Market and trades under the symbol “TGTX.”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ASC 840, Leases (“ASC 840”).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165"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ASU 2018-11 is effective for public business entities for fiscal years beginning after December 15, 2018, and interim periods within those fiscal years, with earlier adoption permitted. The Company adopted ASU 2018-11 on January 1, 2019 using a modified retrospective method and will not restate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right of use assets and lease liabilities to our consolidated balance sheets at January 1, 2019, primarily relating to our lease of office space (see Note 8). The impact to our consolidated statements of operations was not material as a result of this standard.</w:t>
      </w:r>
    </w:p>
    <w:p>
      <w:pPr>
        <w:spacing w:after="0" w:line="18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ASU 2018-07 is effective for public business entities for fiscal years beginning after December 15, 2018, including interim periods within that fiscal year. Early adoption is permitted, but no earlier than an entity’s adoption date of Topic 606.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On an ongoing basis, we evaluate our estimates and judgments, including those related to accrued expenses and stock-based compensation. Actual results could differ from those estimates. Such differences could be material to the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treat liquid investments with original maturities of less than three months when purchased as cash and cash equivalents.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record cash pledged or held in trust as restricted cash. As of December 31, 2019 and 2018, we have approximately $1.3 million of restricted cash pledged to secure a line of credit as a security deposit for an Office Agreement (see Note 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22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Investment securities at both December 31, 2019 and 2018 consist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88"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Dividend and interest income are recognized when earned.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Effective January 1, 2018, the Company began recognizing revenue under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using the modified retrospective transition method. The impact of adopting the new revenue standard was not material to our consolidated financial statements and there was no adjustment to beginning retained earnings on January 1, 2018. The core principle of this new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93" w:lineRule="exact"/>
        <w:rPr>
          <w:sz w:val="20"/>
          <w:szCs w:val="20"/>
          <w:color w:val="auto"/>
        </w:rPr>
      </w:pPr>
    </w:p>
    <w:p>
      <w:pPr>
        <w:ind w:left="1000" w:hanging="327"/>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225" w:lineRule="exact"/>
        <w:rPr>
          <w:rFonts w:ascii="Arial" w:cs="Arial" w:eastAsia="Arial" w:hAnsi="Arial"/>
          <w:sz w:val="18"/>
          <w:szCs w:val="18"/>
          <w:color w:val="auto"/>
        </w:rPr>
      </w:pPr>
    </w:p>
    <w:p>
      <w:pPr>
        <w:ind w:left="1000" w:hanging="327"/>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225" w:lineRule="exact"/>
        <w:rPr>
          <w:rFonts w:ascii="Arial" w:cs="Arial" w:eastAsia="Arial" w:hAnsi="Arial"/>
          <w:sz w:val="18"/>
          <w:szCs w:val="18"/>
          <w:color w:val="auto"/>
        </w:rPr>
      </w:pPr>
    </w:p>
    <w:p>
      <w:pPr>
        <w:ind w:left="1000" w:hanging="327"/>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225" w:lineRule="exact"/>
        <w:rPr>
          <w:rFonts w:ascii="Arial" w:cs="Arial" w:eastAsia="Arial" w:hAnsi="Arial"/>
          <w:sz w:val="18"/>
          <w:szCs w:val="18"/>
          <w:color w:val="auto"/>
        </w:rPr>
      </w:pPr>
    </w:p>
    <w:p>
      <w:pPr>
        <w:ind w:left="1000" w:hanging="327"/>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225" w:lineRule="exact"/>
        <w:rPr>
          <w:rFonts w:ascii="Arial" w:cs="Arial" w:eastAsia="Arial" w:hAnsi="Arial"/>
          <w:sz w:val="18"/>
          <w:szCs w:val="18"/>
          <w:color w:val="auto"/>
        </w:rPr>
      </w:pPr>
    </w:p>
    <w:p>
      <w:pPr>
        <w:ind w:left="1000" w:hanging="327"/>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81" w:lineRule="exact"/>
        <w:rPr>
          <w:sz w:val="20"/>
          <w:szCs w:val="20"/>
          <w:color w:val="auto"/>
        </w:rPr>
      </w:pPr>
    </w:p>
    <w:p>
      <w:pPr>
        <w:ind w:left="1000" w:hanging="327"/>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customer can benefit from the good or service either on its own or together with other resources that are readily available to the customer (i.e., the good or service is capable of being distinct).</w:t>
      </w:r>
    </w:p>
    <w:p>
      <w:pPr>
        <w:spacing w:after="0" w:line="170" w:lineRule="exact"/>
        <w:rPr>
          <w:rFonts w:ascii="Arial" w:cs="Arial" w:eastAsia="Arial" w:hAnsi="Arial"/>
          <w:sz w:val="18"/>
          <w:szCs w:val="18"/>
          <w:color w:val="auto"/>
        </w:rPr>
      </w:pPr>
    </w:p>
    <w:p>
      <w:pPr>
        <w:ind w:left="1000" w:hanging="327"/>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Prepaid research and development in our consolidated balance sheets includes, among other things, costs related to agreements with CRO’s, certain costs to third party service providers related to development and manufacturing services as well as clinical development. These agreements often require payments in advance of services performed or goods received. Accordingly, as of December 31, 2019 and December 31, 2018, we recorded approximately $8.1 million and $9.7 million, respectively, in prepaid research and development related to such advance agreements.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 Refer to Note 9 for further information on impact of tax reform.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all stock-based payments to employees and non-employee directors (as compensation for service) as noncash compensation expense in the consolidated financial statements based on the fair values of such payments. Stock-based compensation expense recognized each period is based on the value of the portion of stock-based payment awards that is ultimately expected to vest during the period. Forfeitures are recognized as they occur.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 parties vest upon achievement of certain milestones, the total expense is uncertain. Compensation expense for such awards that vest upon the achievement of milestones is recognized when the achievement of such milestones becomes probable.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amounts of potentially dilutive securities excluded from the calculation were 8,361,739, 6,528,932 and 4,835,706 at December 31, 2019, 2018 and 2017, respectively. During the years ended December 31, 2019, 2018 and 2017, the Company incurred a net loss, therefore, all of the securities are antidilutive and excluded from the computation of diluted loss per share.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restricted stock</w:t>
            </w:r>
          </w:p>
        </w:tc>
        <w:tc>
          <w:tcPr>
            <w:tcW w:w="3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5,591,786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4,595,689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4,820,143</w:t>
            </w:r>
          </w:p>
        </w:tc>
      </w:tr>
      <w:tr>
        <w:trPr>
          <w:trHeight w:val="216"/>
        </w:trPr>
        <w:tc>
          <w:tcPr>
            <w:tcW w:w="3880" w:type="dxa"/>
            <w:vAlign w:val="bottom"/>
          </w:tcPr>
          <w:p>
            <w:pPr>
              <w:ind w:left="40"/>
              <w:spacing w:after="0"/>
              <w:rPr>
                <w:sz w:val="20"/>
                <w:szCs w:val="20"/>
                <w:color w:val="auto"/>
              </w:rPr>
            </w:pPr>
            <w:r>
              <w:rPr>
                <w:rFonts w:ascii="Arial" w:cs="Arial" w:eastAsia="Arial" w:hAnsi="Arial"/>
                <w:sz w:val="18"/>
                <w:szCs w:val="18"/>
                <w:color w:val="auto"/>
              </w:rPr>
              <w:t>Options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2,605,730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1,916,900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issuable upon note conversion</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17,165</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16,343</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15,563</w:t>
            </w:r>
          </w:p>
        </w:tc>
      </w:tr>
      <w:tr>
        <w:trPr>
          <w:trHeight w:val="216"/>
        </w:trPr>
        <w:tc>
          <w:tcPr>
            <w:tcW w:w="3880" w:type="dxa"/>
            <w:vAlign w:val="bottom"/>
          </w:tcPr>
          <w:p>
            <w:pPr>
              <w:ind w:left="40"/>
              <w:spacing w:after="0"/>
              <w:rPr>
                <w:sz w:val="20"/>
                <w:szCs w:val="20"/>
                <w:color w:val="auto"/>
              </w:rPr>
            </w:pPr>
            <w:r>
              <w:rPr>
                <w:rFonts w:ascii="Arial" w:cs="Arial" w:eastAsia="Arial" w:hAnsi="Arial"/>
                <w:sz w:val="18"/>
                <w:szCs w:val="18"/>
                <w:color w:val="auto"/>
              </w:rPr>
              <w:t>Warrants</w:t>
            </w:r>
          </w:p>
        </w:tc>
        <w:tc>
          <w:tcPr>
            <w:tcW w:w="4320" w:type="dxa"/>
            <w:vAlign w:val="bottom"/>
            <w:gridSpan w:val="2"/>
          </w:tcPr>
          <w:p>
            <w:pPr>
              <w:jc w:val="right"/>
              <w:spacing w:after="0"/>
              <w:rPr>
                <w:sz w:val="20"/>
                <w:szCs w:val="20"/>
                <w:color w:val="auto"/>
              </w:rPr>
            </w:pPr>
            <w:r>
              <w:rPr>
                <w:rFonts w:ascii="Arial" w:cs="Arial" w:eastAsia="Arial" w:hAnsi="Arial"/>
                <w:sz w:val="18"/>
                <w:szCs w:val="18"/>
                <w:color w:val="auto"/>
              </w:rPr>
              <w:t>147,058</w:t>
            </w: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8,361,739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6,528,932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4,835,706</w:t>
            </w:r>
          </w:p>
        </w:tc>
      </w:tr>
      <w:tr>
        <w:trPr>
          <w:trHeight w:val="20"/>
        </w:trPr>
        <w:tc>
          <w:tcPr>
            <w:tcW w:w="38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45"/>
        </w:trPr>
        <w:tc>
          <w:tcPr>
            <w:tcW w:w="3880" w:type="dxa"/>
            <w:vAlign w:val="bottom"/>
          </w:tcPr>
          <w:p>
            <w:pPr>
              <w:spacing w:after="0"/>
              <w:rPr>
                <w:sz w:val="24"/>
                <w:szCs w:val="24"/>
                <w:color w:val="auto"/>
              </w:rPr>
            </w:pPr>
          </w:p>
        </w:tc>
        <w:tc>
          <w:tcPr>
            <w:tcW w:w="4540" w:type="dxa"/>
            <w:vAlign w:val="bottom"/>
            <w:gridSpan w:val="3"/>
          </w:tcPr>
          <w:p>
            <w:pPr>
              <w:ind w:left="1140"/>
              <w:spacing w:after="0"/>
              <w:rPr>
                <w:sz w:val="20"/>
                <w:szCs w:val="20"/>
                <w:color w:val="auto"/>
              </w:rPr>
            </w:pPr>
            <w:r>
              <w:rPr>
                <w:rFonts w:ascii="Arial" w:cs="Arial" w:eastAsia="Arial" w:hAnsi="Arial"/>
                <w:sz w:val="18"/>
                <w:szCs w:val="18"/>
                <w:color w:val="auto"/>
              </w:rPr>
              <w:t>F-11</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47"/>
        </w:trPr>
        <w:tc>
          <w:tcPr>
            <w:tcW w:w="38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0380"/>
          </w:cols>
          <w:pgMar w:left="760" w:top="517" w:right="7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GOODWILL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88"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7"/>
          <w:szCs w:val="17"/>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 There was no impairment to goodwill as of December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summarize our cash and cash equivalents at December 31, 2019 and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9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Checking and bank deposits</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Money market funds</w:t>
            </w:r>
          </w:p>
        </w:tc>
        <w:tc>
          <w:tcPr>
            <w:tcW w:w="2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112,637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as of December 31, 2019 and 2018 are classified as held-to-maturity. Held-to-maturity investments are recorded at amortized cost.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summarize our investment securities at December 31, 2019 and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9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760" w:type="dxa"/>
            <w:vAlign w:val="bottom"/>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Gross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20" w:type="dxa"/>
            <w:vAlign w:val="bottom"/>
          </w:tcPr>
          <w:p>
            <w:pPr>
              <w:spacing w:after="0"/>
              <w:rPr>
                <w:sz w:val="12"/>
                <w:szCs w:val="12"/>
                <w:color w:val="auto"/>
              </w:rPr>
            </w:pPr>
          </w:p>
        </w:tc>
        <w:tc>
          <w:tcPr>
            <w:tcW w:w="7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60" w:type="dxa"/>
            <w:vAlign w:val="bottom"/>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adjusted</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holding gains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holding 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60" w:type="dxa"/>
            <w:vAlign w:val="bottom"/>
          </w:tcPr>
          <w:p>
            <w:pPr>
              <w:spacing w:after="0" w:line="201" w:lineRule="exact"/>
              <w:rPr>
                <w:sz w:val="20"/>
                <w:szCs w:val="20"/>
                <w:color w:val="auto"/>
              </w:rPr>
            </w:pPr>
            <w:r>
              <w:rPr>
                <w:rFonts w:ascii="Arial" w:cs="Arial" w:eastAsia="Arial" w:hAnsi="Arial"/>
                <w:sz w:val="18"/>
                <w:szCs w:val="18"/>
                <w:color w:val="auto"/>
                <w:w w:val="93"/>
              </w:rPr>
              <w:t>Obligations of domestic governmental agencies (maturing between January 2020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and September 2020) (held-to-maturity)</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27,798</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27,826</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 securities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9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760" w:type="dxa"/>
            <w:vAlign w:val="bottom"/>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Gross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20" w:type="dxa"/>
            <w:vAlign w:val="bottom"/>
          </w:tcPr>
          <w:p>
            <w:pPr>
              <w:spacing w:after="0"/>
              <w:rPr>
                <w:sz w:val="12"/>
                <w:szCs w:val="12"/>
                <w:color w:val="auto"/>
              </w:rPr>
            </w:pPr>
          </w:p>
        </w:tc>
        <w:tc>
          <w:tcPr>
            <w:tcW w:w="7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adjusted</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holding gains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holding 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60" w:type="dxa"/>
            <w:vAlign w:val="bottom"/>
          </w:tcPr>
          <w:p>
            <w:pPr>
              <w:spacing w:after="0" w:line="201" w:lineRule="exact"/>
              <w:rPr>
                <w:sz w:val="20"/>
                <w:szCs w:val="20"/>
                <w:color w:val="auto"/>
              </w:rPr>
            </w:pPr>
            <w:r>
              <w:rPr>
                <w:rFonts w:ascii="Arial" w:cs="Arial" w:eastAsia="Arial" w:hAnsi="Arial"/>
                <w:sz w:val="18"/>
                <w:szCs w:val="18"/>
                <w:color w:val="auto"/>
                <w:w w:val="93"/>
              </w:rPr>
              <w:t>Obligations of domestic governmental agencies (maturing between January 2019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and November 2019) (held-to-maturity)</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26,943</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40"/>
              <w:spacing w:after="0"/>
              <w:rPr>
                <w:sz w:val="20"/>
                <w:szCs w:val="20"/>
                <w:color w:val="auto"/>
              </w:rPr>
            </w:pPr>
            <w:r>
              <w:rPr>
                <w:rFonts w:ascii="Arial" w:cs="Arial" w:eastAsia="Arial" w:hAnsi="Arial"/>
                <w:sz w:val="18"/>
                <w:szCs w:val="18"/>
                <w:color w:val="auto"/>
                <w:w w:val="99"/>
              </w:rPr>
              <w:t>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26,935</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 securities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9"/>
              </w:rPr>
              <w:t>10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26,935</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5020"/>
              <w:spacing w:after="0"/>
              <w:rPr>
                <w:sz w:val="20"/>
                <w:szCs w:val="20"/>
                <w:color w:val="auto"/>
              </w:rPr>
            </w:pPr>
            <w:r>
              <w:rPr>
                <w:rFonts w:ascii="Arial" w:cs="Arial" w:eastAsia="Arial" w:hAnsi="Arial"/>
                <w:sz w:val="18"/>
                <w:szCs w:val="18"/>
                <w:color w:val="auto"/>
              </w:rPr>
              <w:t>F-12</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00"/>
          </w:cols>
          <w:pgMar w:left="760" w:top="517" w:right="7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measure certain financial assets and liabilities at fair value on a recurring basis in the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81" w:lineRule="exact"/>
        <w:rPr>
          <w:sz w:val="20"/>
          <w:szCs w:val="20"/>
          <w:color w:val="auto"/>
        </w:rPr>
      </w:pPr>
    </w:p>
    <w:p>
      <w:pPr>
        <w:ind w:left="1000" w:hanging="32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117" w:lineRule="exact"/>
        <w:rPr>
          <w:rFonts w:ascii="Arial" w:cs="Arial" w:eastAsia="Arial" w:hAnsi="Arial"/>
          <w:sz w:val="18"/>
          <w:szCs w:val="18"/>
          <w:color w:val="auto"/>
        </w:rPr>
      </w:pPr>
    </w:p>
    <w:p>
      <w:pPr>
        <w:ind w:left="1000" w:hanging="32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117" w:lineRule="exact"/>
        <w:rPr>
          <w:rFonts w:ascii="Arial" w:cs="Arial" w:eastAsia="Arial" w:hAnsi="Arial"/>
          <w:sz w:val="18"/>
          <w:szCs w:val="18"/>
          <w:color w:val="auto"/>
        </w:rPr>
      </w:pPr>
    </w:p>
    <w:p>
      <w:pPr>
        <w:ind w:left="1000" w:hanging="32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2019 and 2018, the fair values of cash and cash equivalents, restricted cash, and notes and interest payable approximate their carrying value.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8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cumulative liability including accrued and unpaid interest of the 5% Notes was approximately $19.3 million at December 31, 2019 and $18.4 million at December 31, 2018. No payments have been made on the 5% Notes through December 31, 2019.</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December 31, 2019 and 2018.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consolidated financial statements.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tables provide the fair value measurements of applicable financial liabilities as of December 31, 2019 and 2018:</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412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Financial liabilities at fair value as of December 31, 2019</w:t>
            </w:r>
          </w:p>
        </w:tc>
        <w:tc>
          <w:tcPr>
            <w:tcW w:w="0" w:type="dxa"/>
            <w:vAlign w:val="bottom"/>
          </w:tcPr>
          <w:p>
            <w:pPr>
              <w:spacing w:after="0"/>
              <w:rPr>
                <w:sz w:val="1"/>
                <w:szCs w:val="1"/>
                <w:color w:val="auto"/>
              </w:rPr>
            </w:pPr>
          </w:p>
        </w:tc>
      </w:tr>
      <w:tr>
        <w:trPr>
          <w:trHeight w:val="142"/>
        </w:trPr>
        <w:tc>
          <w:tcPr>
            <w:tcW w:w="6260" w:type="dxa"/>
            <w:vAlign w:val="bottom"/>
            <w:vMerge w:val="continue"/>
          </w:tcPr>
          <w:p>
            <w:pPr>
              <w:spacing w:after="0"/>
              <w:rPr>
                <w:sz w:val="12"/>
                <w:szCs w:val="12"/>
                <w:color w:val="auto"/>
              </w:rPr>
            </w:pPr>
          </w:p>
        </w:tc>
        <w:tc>
          <w:tcPr>
            <w:tcW w:w="88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88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90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0"/>
        </w:trPr>
        <w:tc>
          <w:tcPr>
            <w:tcW w:w="6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11"/>
          </w:tcPr>
          <w:p>
            <w:pPr>
              <w:jc w:val="right"/>
              <w:ind w:right="234"/>
              <w:spacing w:after="0"/>
              <w:rPr>
                <w:sz w:val="20"/>
                <w:szCs w:val="20"/>
                <w:color w:val="auto"/>
              </w:rPr>
            </w:pPr>
            <w:r>
              <w:rPr>
                <w:rFonts w:ascii="Arial" w:cs="Arial" w:eastAsia="Arial" w:hAnsi="Arial"/>
                <w:sz w:val="14"/>
                <w:szCs w:val="14"/>
                <w:b w:val="1"/>
                <w:bCs w:val="1"/>
                <w:color w:val="auto"/>
                <w:w w:val="97"/>
              </w:rPr>
              <w:t>Financial liabilities at fair value as of December 31,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9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5% Notes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6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6240" w:type="dxa"/>
            <w:vAlign w:val="bottom"/>
            <w:gridSpan w:val="2"/>
          </w:tcPr>
          <w:p>
            <w:pPr>
              <w:jc w:val="right"/>
              <w:ind w:right="2825"/>
              <w:spacing w:after="0"/>
              <w:rPr>
                <w:sz w:val="20"/>
                <w:szCs w:val="20"/>
                <w:color w:val="auto"/>
              </w:rPr>
            </w:pPr>
            <w:r>
              <w:rPr>
                <w:rFonts w:ascii="Arial" w:cs="Arial" w:eastAsia="Arial" w:hAnsi="Arial"/>
                <w:sz w:val="18"/>
                <w:szCs w:val="18"/>
                <w:b w:val="1"/>
                <w:bCs w:val="1"/>
                <w:color w:val="auto"/>
                <w:w w:val="99"/>
              </w:rPr>
              <w:t>TG Therapeutics, Inc. and Subsidiaries</w:t>
            </w:r>
          </w:p>
        </w:tc>
        <w:tc>
          <w:tcPr>
            <w:tcW w:w="78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6240" w:type="dxa"/>
            <w:vAlign w:val="bottom"/>
            <w:gridSpan w:val="2"/>
          </w:tcPr>
          <w:p>
            <w:pPr>
              <w:jc w:val="right"/>
              <w:ind w:right="2665"/>
              <w:spacing w:after="0"/>
              <w:rPr>
                <w:sz w:val="20"/>
                <w:szCs w:val="20"/>
                <w:color w:val="auto"/>
              </w:rPr>
            </w:pPr>
            <w:r>
              <w:rPr>
                <w:rFonts w:ascii="Arial" w:cs="Arial" w:eastAsia="Arial" w:hAnsi="Arial"/>
                <w:sz w:val="18"/>
                <w:szCs w:val="18"/>
                <w:b w:val="1"/>
                <w:bCs w:val="1"/>
                <w:color w:val="auto"/>
                <w:w w:val="92"/>
              </w:rPr>
              <w:t>Notes to Consolidated Financial Statements</w:t>
            </w:r>
          </w:p>
        </w:tc>
        <w:tc>
          <w:tcPr>
            <w:tcW w:w="780" w:type="dxa"/>
            <w:vAlign w:val="bottom"/>
          </w:tcPr>
          <w:p>
            <w:pPr>
              <w:spacing w:after="0"/>
              <w:rPr>
                <w:sz w:val="20"/>
                <w:szCs w:val="20"/>
                <w:color w:val="auto"/>
              </w:rPr>
            </w:pPr>
          </w:p>
        </w:tc>
      </w:tr>
      <w:tr>
        <w:trPr>
          <w:trHeight w:val="432"/>
        </w:trPr>
        <w:tc>
          <w:tcPr>
            <w:tcW w:w="9600" w:type="dxa"/>
            <w:vAlign w:val="bottom"/>
            <w:gridSpan w:val="3"/>
          </w:tcPr>
          <w:p>
            <w:pPr>
              <w:ind w:left="640"/>
              <w:spacing w:after="0"/>
              <w:rPr>
                <w:sz w:val="20"/>
                <w:szCs w:val="20"/>
                <w:color w:val="auto"/>
              </w:rPr>
            </w:pPr>
            <w:r>
              <w:rPr>
                <w:rFonts w:ascii="Arial" w:cs="Arial" w:eastAsia="Arial" w:hAnsi="Arial"/>
                <w:sz w:val="18"/>
                <w:szCs w:val="18"/>
                <w:color w:val="auto"/>
                <w:w w:val="94"/>
              </w:rPr>
              <w:t>The following table summarizes the changes in Level 3 instruments for the years ended December 31, 2018 and 2019:</w:t>
            </w:r>
          </w:p>
        </w:tc>
        <w:tc>
          <w:tcPr>
            <w:tcW w:w="780" w:type="dxa"/>
            <w:vAlign w:val="bottom"/>
          </w:tcPr>
          <w:p>
            <w:pPr>
              <w:spacing w:after="0"/>
              <w:rPr>
                <w:sz w:val="24"/>
                <w:szCs w:val="24"/>
                <w:color w:val="auto"/>
              </w:rPr>
            </w:pPr>
          </w:p>
        </w:tc>
      </w:tr>
      <w:tr>
        <w:trPr>
          <w:trHeight w:val="446"/>
        </w:trPr>
        <w:tc>
          <w:tcPr>
            <w:tcW w:w="3360" w:type="dxa"/>
            <w:vAlign w:val="bottom"/>
          </w:tcPr>
          <w:p>
            <w:pPr>
              <w:spacing w:after="0"/>
              <w:rPr>
                <w:sz w:val="20"/>
                <w:szCs w:val="20"/>
                <w:color w:val="auto"/>
              </w:rPr>
            </w:pPr>
            <w:r>
              <w:rPr>
                <w:rFonts w:ascii="Arial" w:cs="Arial" w:eastAsia="Arial" w:hAnsi="Arial"/>
                <w:sz w:val="14"/>
                <w:szCs w:val="14"/>
                <w:color w:val="auto"/>
              </w:rPr>
              <w:t>(in thousands)</w:t>
            </w:r>
          </w:p>
        </w:tc>
        <w:tc>
          <w:tcPr>
            <w:tcW w:w="5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62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3360" w:type="dxa"/>
            <w:vAlign w:val="bottom"/>
          </w:tcPr>
          <w:p>
            <w:pPr>
              <w:ind w:left="100"/>
              <w:spacing w:after="0"/>
              <w:rPr>
                <w:sz w:val="20"/>
                <w:szCs w:val="20"/>
                <w:color w:val="auto"/>
              </w:rPr>
            </w:pPr>
            <w:r>
              <w:rPr>
                <w:rFonts w:ascii="Arial" w:cs="Arial" w:eastAsia="Arial" w:hAnsi="Arial"/>
                <w:sz w:val="18"/>
                <w:szCs w:val="18"/>
                <w:color w:val="auto"/>
                <w:w w:val="94"/>
              </w:rPr>
              <w:t>Interest accrued on face value of 5% Notes</w:t>
            </w:r>
          </w:p>
        </w:tc>
        <w:tc>
          <w:tcPr>
            <w:tcW w:w="5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878</w:t>
            </w:r>
          </w:p>
        </w:tc>
      </w:tr>
      <w:tr>
        <w:trPr>
          <w:trHeight w:val="216"/>
        </w:trPr>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Conversion of 5% Notes</w:t>
            </w:r>
          </w:p>
        </w:tc>
        <w:tc>
          <w:tcPr>
            <w:tcW w:w="5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Change in fair value of Level 3 liabilities</w:t>
            </w:r>
          </w:p>
        </w:tc>
        <w:tc>
          <w:tcPr>
            <w:tcW w:w="57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r>
      <w:tr>
        <w:trPr>
          <w:trHeight w:val="21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5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360" w:type="dxa"/>
            <w:vAlign w:val="bottom"/>
          </w:tcPr>
          <w:p>
            <w:pPr>
              <w:ind w:left="100"/>
              <w:spacing w:after="0"/>
              <w:rPr>
                <w:sz w:val="20"/>
                <w:szCs w:val="20"/>
                <w:color w:val="auto"/>
              </w:rPr>
            </w:pPr>
            <w:r>
              <w:rPr>
                <w:rFonts w:ascii="Arial" w:cs="Arial" w:eastAsia="Arial" w:hAnsi="Arial"/>
                <w:sz w:val="18"/>
                <w:szCs w:val="18"/>
                <w:color w:val="auto"/>
                <w:w w:val="94"/>
              </w:rPr>
              <w:t>Interest accrued on face value of 5% Notes</w:t>
            </w:r>
          </w:p>
        </w:tc>
        <w:tc>
          <w:tcPr>
            <w:tcW w:w="5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16"/>
        </w:trPr>
        <w:tc>
          <w:tcPr>
            <w:tcW w:w="3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Conversion of 5% Notes</w:t>
            </w:r>
          </w:p>
        </w:tc>
        <w:tc>
          <w:tcPr>
            <w:tcW w:w="5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Change in fair value of Level 3 liabilities</w:t>
            </w:r>
          </w:p>
        </w:tc>
        <w:tc>
          <w:tcPr>
            <w:tcW w:w="57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r>
      <w:tr>
        <w:trPr>
          <w:trHeight w:val="210"/>
        </w:trPr>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57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33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amended and restated certificate of incorporation authorizes the issuance of up to 10,000,000 shares of preferred stock, $0.001 par value, with rights senior to those of our common stock, issuable in one or more series. Upon issuance, the Company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Rights Plan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18, 2014, we adopted a stockholder rights plan. The stockholder rights plan is embodied in the Stockholder Protection Rights Agreement dated as of July 18, 2014 (the "Rights Agreement"), between us and American Stock Transfer &amp; Trust Company, LLC, as rights agent (the "Rights Agent").</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Accordingly, the Board of Directors declared a distribution of one right (a “Right”) for each outstanding share of common stock, to stockholders of record at the close of business on July 28, 2014, for each share of common stock issued (including shares distributed from treasury) by us thereafter and prior to the Separation Time (as defined in the Rights Agreement), and for certain shares of common stock issued after the Separation Time. Following the Separation Time, each Right entitles the registered holder to purchase from us one one-thousandth (1/1,000) of a share of Series A Junior Participating Preferred Stock, par value $0.001 per share (the "Preferred Stock"), at a purchase price of $100.00 (the "Exercise Price"), subject to adjustment. The description and terms of the Rights are set forth in the Rights Agreement. Each one one-thousandth of a share of Preferred Stock has substantially the same rights as one share of common stock. Subject to the terms and conditions of the Rights Agreement, Rights become exercisable ten days after the public announcement that a “Person” has become an “Acquiring Person” (as each such term is defined in the Rights Agreement). Any Rights held by an Acquiring Person are void and may not be exercised.</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Rights Agreement was approved by our Board of Directors on July 18, 2014. The Rights will expire at the close of business on its ten year anniversary, unless earlier exchanged or terminated by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amended and restated certificate of incorporation authorizes the issuance of up to 150,000,000 shares of $0.001 par value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with MLV &amp; Co, LLC (“MLV”) (the "2015 ATM") such that we may issue and sell additional shares of our common stock, having an aggregate offering price of up to $175.0 million, from time to time through MLV and FBR Capital Markets &amp; Co. ("FBR", each of MLV and FBR individually an "Agent" and collectively the "Agents"), acting as the sales agents. Under the 2015 ATM we pay the Agents a commission rate of up to 3.0% of the gross proceeds from the sale of any shares of common stock sold through the Agents.</w:t>
      </w:r>
    </w:p>
    <w:p>
      <w:pPr>
        <w:spacing w:after="0" w:line="18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During the year ended December 31, 2017, we sold a total of 3,104,253 shares of common stock under the 2015 ATM for aggregate total gross proceeds of approximately $31.6 million at an average selling price of $10.18 per share, resulting in net proceeds of approximately $31.0 million after deducting commissions and other transaction costs.</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March 2017, we completed an underwritten public offering of 5,128,206 shares of our common stock (plus a 30-day underwriter overallotment option to purchase up to an additional 769,230 shares of common stock, which was exercised) at a price of $9.75 per share. Net proceeds from this offering, including the overallotment option, were approximately $54 million, net of underwriting discounts and offering expenses of approximately $3.6 million.</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In May 2017, we filed a shelf registration statement on Form S-3 (the "2017 S-3"), which was declared effective in June 2017, replacing the 2015 S-3. Under the 2017 S-3, we may sell up to a total of $300 million of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an "Agent" and collectively, the "Agents"), relating to the sale of shares of our common stock. Under the 2017 ATM we pay the 2017 Agents a commission rate of up to 3.0% of the gross proceeds from the sale of any shares of common stock.</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During the year ended December 31, 2018, we sold a total of 9,025,222 shares of common stock under the 2017 ATM for aggregate total gross proceeds of approximately $115.8 million at an average selling price of $12.83 per share, resulting in net proceeds of approximately $113.7 million after deducting commissions and other transactions costs.</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During the year ended December 31, 2019, we sold a total of 13,620,165 shares of common stock under the 2017 ATM for aggregate total gross proceeds of approximately $99.3 million at an average selling price of $7.29 per share, resulting in net proceeds of approximately $97.5 million after deducting commissions and other transactions costs.</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March 1, 2019, we completed a public offering of 4,100,000 shares of our common stock (plus a 30-day underwriter overallotment option to purchase up to an additional 615,000 shares of common stock, which was exercised) at a price of $5.87. Net proceeds from this offering, including the overallotment, were approximately $27.5 million after underwriting discounts and offering expenses of approximately $0.2 million.</w:t>
      </w:r>
    </w:p>
    <w:p>
      <w:pPr>
        <w:spacing w:after="0" w:line="187"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On September 5, 2019, we filed an automatic "shelf registration" statement on Form S-3 (the "2019 WKSI") as a "well-known seasoned issuer" as defined in Rule 405 under the Securities Act of 1933, as amended. The 2019 WKSI was declared effective in September 2019. Under this shelf process, we may sell any combination of the securities described in the related prospectus in one or more offerings.</w:t>
      </w:r>
    </w:p>
    <w:p>
      <w:pPr>
        <w:spacing w:after="0" w:line="14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December 22, 2019, we completed a securities purchase agreement with an institutional investor in which we agreed to sell 5,434,783 shares of our common stock at a price of $9.20. Net proceeds from this offering were approximately $50.0 million.</w:t>
      </w:r>
    </w:p>
    <w:p>
      <w:pPr>
        <w:spacing w:after="0" w:line="14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The 2017 S-3 and the 2019 WKSI are currently our only active shelf registration statements. After deducting shares already sold, there is approximately $9.5 million of common stock that remains available for sale under the 2017 S-3, and unlimited capacity under the 2019 WKSI, at December 31, 2019. We may offer the securities under the 2017 S-3 and 2019 WKSI from time to time in response to market conditions or other circumstances if we believe such a plan of financing is in the best interests of our stockholders. We believe that the 2019 WKSI provides us with the flexibility to raise additional capital to finance our operations as needed.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December 31, 2019 and 2018, 41,309 shares of common stock are being held in Treasury, at a cost of approximately $234,000, representing the fair market value on the date the shares were surrendered to the Company to satisfy employee tax obligations.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TG Therapeutics, Inc. Amended and Restated 2012 Incentive Plan (“2012 Incentive Plan”) was approved by stockholders in June 2018. Pursuant to this amendment, 6,000,000 shares were added to the 2012 Incentive Plan. As of December 31, 2019 and 2018, 2,605,730 and 1,916,900 options, respectively, were outstanding and up to an additional 779,346 shares may be issued under the 2012 Incentive Plan.</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Effective as of January 1, 2017, we entered into an amendment (the “Amendment”) to the employment agreement entered into as of December 15, 2011 (together with the Amendment, the “Employment Agreement”) with Michael S. Weiss, our Executive Chairman and Chief Executive Officer and President. Under the Amendment, Mr. Weiss will remain as Chief Executive Officer and President, removing the interim status. Simultaneously, we entered into a Strategic Advisory Agreement (the “Advisory Agreement”) with Caribe BioAdvisors, LLC (the “Advisor”) owned by Mr. Weiss to provide the services of Mr. Weiss as Chairman of the Board and as Executive Chairman. As part of the Amendment, Mr. Weiss also agreed to forfeit 3,381,866 restricted shares previously granted under the Employment Agreement that were predominantly subject to time-based vesting over the next three years. Simultaneously, (i) Mr. Weiss was issued 418,371 restricted shares under the Employment Agreement that vest in 2018 and 2019 and (ii) the Advisor was issued 2,960,000 restricted shares under the Advisory Agreement that vested on market capitalization thresholds ranging from $375 million to $750 million. In accordance with GAAP, there was no incremental stock compensation expense recognition as a result of the modification.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estimated fair value of the options granted in the year ended December 31, 2019 was determined utilizing the Black-Scholes option-pricing model at the date of grant. The following table summarizes stock option activity for the years ended December 31, 2019 and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exercise 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10"/>
        </w:trPr>
        <w:tc>
          <w:tcPr>
            <w:tcW w:w="4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Granted</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1,916,900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Forfeited</w:t>
            </w:r>
          </w:p>
        </w:tc>
        <w:tc>
          <w:tcPr>
            <w:tcW w:w="18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Outstanding at December 31, 2018</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1,916,900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Granted</w:t>
            </w:r>
          </w:p>
        </w:tc>
        <w:tc>
          <w:tcPr>
            <w:tcW w:w="18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Exercised</w:t>
            </w:r>
          </w:p>
        </w:tc>
        <w:tc>
          <w:tcPr>
            <w:tcW w:w="18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w:t>
            </w:r>
          </w:p>
        </w:tc>
        <w:tc>
          <w:tcPr>
            <w:tcW w:w="18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2,605,730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11,706,110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2019</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2,605,730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11,706,110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40" w:type="dxa"/>
            <w:vAlign w:val="bottom"/>
            <w:gridSpan w:val="2"/>
          </w:tcPr>
          <w:p>
            <w:pPr>
              <w:jc w:val="right"/>
              <w:ind w:right="1534"/>
              <w:spacing w:after="0"/>
              <w:rPr>
                <w:sz w:val="20"/>
                <w:szCs w:val="20"/>
                <w:color w:val="auto"/>
              </w:rPr>
            </w:pPr>
            <w:r>
              <w:rPr>
                <w:rFonts w:ascii="Arial" w:cs="Arial" w:eastAsia="Arial" w:hAnsi="Arial"/>
                <w:sz w:val="18"/>
                <w:szCs w:val="18"/>
                <w:color w:val="auto"/>
              </w:rPr>
              <w:t>F-16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760" w:top="517" w:right="7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Total expense associated with the stock options was approximately $3.5 million, zero and zero during the years ended December 31, 2019, 2018 and 2017, respectively. As of December 31, 2019, there was approximately $2.6 million of total unrecognized compensation cost related to unvested time-based stock options, which is expected to be recognized over a weighted-average period of 1.5 years. As of December 31, 2019, the stock options outstanding include options granted to both employees and non-employees which are both time-based and milestone-based. Stock-based compensation for milestone-based options will be recorded if and when a milestone occurs. We recognized stock compensation expense of $0.3 million during the year ended December 31, 2019 for these stock options.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 of the Company’s option awards were estimated using the assumptions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260" w:type="dxa"/>
            <w:vAlign w:val="bottom"/>
            <w:tcBorders>
              <w:bottom w:val="single" w:sz="8" w:color="auto"/>
            </w:tcBorders>
            <w:gridSpan w:val="3"/>
          </w:tcPr>
          <w:p>
            <w:pPr>
              <w:ind w:left="1460"/>
              <w:spacing w:after="0"/>
              <w:rPr>
                <w:sz w:val="20"/>
                <w:szCs w:val="20"/>
                <w:color w:val="auto"/>
              </w:rPr>
            </w:pPr>
            <w:r>
              <w:rPr>
                <w:rFonts w:ascii="Arial" w:cs="Arial" w:eastAsia="Arial" w:hAnsi="Arial"/>
                <w:sz w:val="14"/>
                <w:szCs w:val="14"/>
                <w:b w:val="1"/>
                <w:bCs w:val="1"/>
                <w:color w:val="auto"/>
              </w:rPr>
              <w:t>Year ended</w:t>
            </w:r>
          </w:p>
        </w:tc>
        <w:tc>
          <w:tcPr>
            <w:tcW w:w="1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19"/>
        </w:trPr>
        <w:tc>
          <w:tcPr>
            <w:tcW w:w="6500" w:type="dxa"/>
            <w:vAlign w:val="bottom"/>
          </w:tcPr>
          <w:p>
            <w:pPr>
              <w:spacing w:after="0"/>
              <w:rPr>
                <w:sz w:val="10"/>
                <w:szCs w:val="10"/>
                <w:color w:val="auto"/>
              </w:rPr>
            </w:pPr>
          </w:p>
        </w:tc>
        <w:tc>
          <w:tcPr>
            <w:tcW w:w="2260" w:type="dxa"/>
            <w:vAlign w:val="bottom"/>
            <w:gridSpan w:val="3"/>
          </w:tcPr>
          <w:p>
            <w:pPr>
              <w:ind w:left="400"/>
              <w:spacing w:after="0" w:line="119" w:lineRule="exact"/>
              <w:rPr>
                <w:sz w:val="20"/>
                <w:szCs w:val="20"/>
                <w:color w:val="auto"/>
              </w:rPr>
            </w:pPr>
            <w:r>
              <w:rPr>
                <w:rFonts w:ascii="Arial" w:cs="Arial" w:eastAsia="Arial" w:hAnsi="Arial"/>
                <w:sz w:val="13"/>
                <w:szCs w:val="13"/>
                <w:b w:val="1"/>
                <w:bCs w:val="1"/>
                <w:color w:val="auto"/>
              </w:rPr>
              <w:t>December 31,</w:t>
            </w:r>
          </w:p>
        </w:tc>
        <w:tc>
          <w:tcPr>
            <w:tcW w:w="1380" w:type="dxa"/>
            <w:vAlign w:val="bottom"/>
          </w:tcPr>
          <w:p>
            <w:pPr>
              <w:jc w:val="right"/>
              <w:ind w:right="377"/>
              <w:spacing w:after="0" w:line="119"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r>
      <w:tr>
        <w:trPr>
          <w:trHeight w:val="171"/>
        </w:trPr>
        <w:tc>
          <w:tcPr>
            <w:tcW w:w="650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172.99-291.61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192.76-296.71</w:t>
            </w:r>
          </w:p>
        </w:tc>
        <w:tc>
          <w:tcPr>
            <w:tcW w:w="24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680" w:type="dxa"/>
            <w:vAlign w:val="bottom"/>
          </w:tcPr>
          <w:p>
            <w:pPr>
              <w:jc w:val="right"/>
              <w:spacing w:after="0"/>
              <w:rPr>
                <w:sz w:val="20"/>
                <w:szCs w:val="20"/>
                <w:color w:val="auto"/>
              </w:rPr>
            </w:pPr>
            <w:r>
              <w:rPr>
                <w:rFonts w:ascii="Arial" w:cs="Arial" w:eastAsia="Arial" w:hAnsi="Arial"/>
                <w:sz w:val="18"/>
                <w:szCs w:val="18"/>
                <w:color w:val="auto"/>
              </w:rPr>
              <w:t>5.0-6.25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5.0-6.25</w:t>
            </w:r>
          </w:p>
        </w:tc>
        <w:tc>
          <w:tcPr>
            <w:tcW w:w="24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1.82-2.49 %</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2.49-2.56 %</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Certain employees, directors and consultants have been awarded restricted stock. The restricted stock vesting consists of milestone and time-based vesting. The following table summarizes restricted share activity for the years ended December 31, 2019, 2018 and 2017:</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ind w:right="53"/>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7500" w:type="dxa"/>
            <w:vAlign w:val="bottom"/>
          </w:tcPr>
          <w:p>
            <w:pPr>
              <w:spacing w:after="0"/>
              <w:rPr>
                <w:sz w:val="12"/>
                <w:szCs w:val="12"/>
                <w:color w:val="auto"/>
              </w:rPr>
            </w:pPr>
          </w:p>
        </w:tc>
        <w:tc>
          <w:tcPr>
            <w:tcW w:w="15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Number of Shares</w:t>
            </w:r>
          </w:p>
        </w:tc>
        <w:tc>
          <w:tcPr>
            <w:tcW w:w="100" w:type="dxa"/>
            <w:vAlign w:val="bottom"/>
          </w:tcPr>
          <w:p>
            <w:pPr>
              <w:spacing w:after="0"/>
              <w:rPr>
                <w:sz w:val="12"/>
                <w:szCs w:val="12"/>
                <w:color w:val="auto"/>
              </w:rPr>
            </w:pPr>
          </w:p>
        </w:tc>
        <w:tc>
          <w:tcPr>
            <w:tcW w:w="128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75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1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8,642,055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1,836,511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(4,103,048)</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(53,875)</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6,321,643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1,562,211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(1,596,966)</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(191,196)</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6,095,692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1,851,520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(738,960)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(116,463)</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0"/>
        </w:trPr>
        <w:tc>
          <w:tcPr>
            <w:tcW w:w="7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7,091,789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Total compensation expense associated with restricted stock grants was $7.8 million, $12.9 million and $15.9 million during the years ended December 31, 2019, 2018 and 2017, respectively. As of December 31, 2019, there was approximately $15.3 million of total unrecognized compensation expense related to unvested time-based restricted stock, which is expected to be recognized over a weighted-average period of 1 year. This amount does not include, as of December 31, 2019, 1,103,011 shares of restricted stock outstanding which are milestone-based and vest upon certain corporate milestones; and 2,021,250 shares of restricted stock outstanding issued to non-employees. Milestone-based non-cash compensation expense will be measured and recorded if and when a milestone becomes probable.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warrant activity for the years ended December 31, 2019, 2018 and 2017: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2"/>
                <w:szCs w:val="12"/>
                <w:color w:val="auto"/>
              </w:rPr>
            </w:pPr>
          </w:p>
        </w:tc>
        <w:tc>
          <w:tcPr>
            <w:tcW w:w="13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price</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913,379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1,961,403</w:t>
            </w:r>
          </w:p>
        </w:tc>
        <w:tc>
          <w:tcPr>
            <w:tcW w:w="0" w:type="dxa"/>
            <w:vAlign w:val="bottom"/>
          </w:tcPr>
          <w:p>
            <w:pPr>
              <w:spacing w:after="0"/>
              <w:rPr>
                <w:sz w:val="1"/>
                <w:szCs w:val="1"/>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Issued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(887,585)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Expired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(25,794)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Issued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Expired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Issued</w:t>
            </w:r>
          </w:p>
        </w:tc>
        <w:tc>
          <w:tcPr>
            <w:tcW w:w="840" w:type="dxa"/>
            <w:vAlign w:val="bottom"/>
          </w:tcPr>
          <w:p>
            <w:pPr>
              <w:jc w:val="right"/>
              <w:spacing w:after="0"/>
              <w:rPr>
                <w:sz w:val="20"/>
                <w:szCs w:val="20"/>
                <w:color w:val="auto"/>
              </w:rPr>
            </w:pPr>
            <w:r>
              <w:rPr>
                <w:rFonts w:ascii="Arial" w:cs="Arial" w:eastAsia="Arial" w:hAnsi="Arial"/>
                <w:sz w:val="18"/>
                <w:szCs w:val="18"/>
                <w:color w:val="auto"/>
              </w:rPr>
              <w:t>147,058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Expired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1,032,347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was no expense related to warrants during the years ended December 31, 2019, 2018 and 2017.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LIABILITIES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summary of notes payable included in other current liabilities on the Company's consolidated balance sheet: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w w:val="91"/>
              </w:rPr>
              <w:t>December 31, 2019</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4"/>
                <w:szCs w:val="14"/>
                <w:b w:val="1"/>
                <w:bCs w:val="1"/>
                <w:color w:val="auto"/>
                <w:w w:val="91"/>
              </w:rPr>
              <w:t>December 31, 2018</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8"/>
              </w:rPr>
              <w:t>Current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43"/>
              <w:spacing w:after="0" w:line="119" w:lineRule="exact"/>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8"/>
              </w:rPr>
              <w:t>Current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Non-</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5"/>
              </w:rPr>
              <w:t>current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current</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portion,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5"/>
              </w:rPr>
              <w:t>portion,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portion,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portion,</w:t>
            </w:r>
          </w:p>
        </w:tc>
        <w:tc>
          <w:tcPr>
            <w:tcW w:w="160" w:type="dxa"/>
            <w:vAlign w:val="bottom"/>
          </w:tcPr>
          <w:p>
            <w:pPr>
              <w:spacing w:after="0"/>
              <w:rPr>
                <w:sz w:val="12"/>
                <w:szCs w:val="12"/>
                <w:color w:val="auto"/>
              </w:rPr>
            </w:pPr>
          </w:p>
        </w:tc>
        <w:tc>
          <w:tcPr>
            <w:tcW w:w="6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net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43"/>
              <w:spacing w:after="0"/>
              <w:rPr>
                <w:sz w:val="20"/>
                <w:szCs w:val="20"/>
                <w:color w:val="auto"/>
              </w:rPr>
            </w:pPr>
            <w:r>
              <w:rPr>
                <w:rFonts w:ascii="Arial" w:cs="Arial" w:eastAsia="Arial" w:hAnsi="Arial"/>
                <w:sz w:val="14"/>
                <w:szCs w:val="14"/>
                <w:b w:val="1"/>
                <w:bCs w:val="1"/>
                <w:color w:val="auto"/>
                <w:w w:val="85"/>
              </w:rPr>
              <w:t>net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
              <w:spacing w:after="0"/>
              <w:rPr>
                <w:sz w:val="20"/>
                <w:szCs w:val="20"/>
                <w:color w:val="auto"/>
              </w:rPr>
            </w:pPr>
            <w:r>
              <w:rPr>
                <w:rFonts w:ascii="Arial" w:cs="Arial" w:eastAsia="Arial" w:hAnsi="Arial"/>
                <w:sz w:val="14"/>
                <w:szCs w:val="14"/>
                <w:b w:val="1"/>
                <w:bCs w:val="1"/>
                <w:color w:val="auto"/>
                <w:w w:val="95"/>
              </w:rPr>
              <w:t>net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net</w:t>
            </w: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4900" w:type="dxa"/>
            <w:vAlign w:val="bottom"/>
          </w:tcPr>
          <w:p>
            <w:pPr>
              <w:ind w:left="80"/>
              <w:spacing w:after="0"/>
              <w:rPr>
                <w:sz w:val="20"/>
                <w:szCs w:val="20"/>
                <w:color w:val="auto"/>
              </w:rPr>
            </w:pPr>
            <w:r>
              <w:rPr>
                <w:rFonts w:ascii="Arial" w:cs="Arial" w:eastAsia="Arial" w:hAnsi="Arial"/>
                <w:sz w:val="18"/>
                <w:szCs w:val="18"/>
                <w:color w:val="auto"/>
              </w:rPr>
              <w:t>Totals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cumulative liability including accrued and unpaid interest of these notes was approximately $19.3 million at December 31, 2019 and $18.4 million at December 31, 2018. No payments have been made on the 5% Notes through December 31, 2019.</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Liabilities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2018, we entered into an agreement with a contract manufacturer for the clinical and potential commercial supply of one of our product candidates. As part of this agreement, the contract manufacturer has agreed to defer payment of certain costs and expenses under the agreement in exchange for the payment of an administrative fee. To date we have incurred expenses related to this agreement of approximately $47.2 million as of December 31, 2019, which include service fees, raw material costs and administrative fees. No payments have been made to the contract manufacturer as of December 31, 2019. Accordingly, as of December 31, 2019, $47.2 million is included in current liabilities in the Company’s consolidated balance sheet, of which $19.6 million is due in the first quarter of 2020. As of December 31, 2018, $18.4 million is included in long-term liabilities in the Company’s condensed consolidated balance sheet. We will incur an administrative fee of six percent (6%) per year starting from the date of invoice issuance. For the year ended December 31, 2019, we have accrued $1.2 million in administrative fees in connection with these costs, which has been included in interest expense in the Company’s consolidated statements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28, 2019 (the “Closing Date”), we entered into a term loan facility of up to $60.0 million (“Term Loan”) with Hercules, the proceeds of which were used for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Two additional advances of $10.0 million may be drawn at our option but subject to certain clinical trial milestones, and the fourth advance of $10.0 million, available in minimum increments of $5.0 million, is available through December 15, 2020 subject to the approval of Hercules’ investment committee.</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Term Loan will mature on March 1, 2022 (the “Loan Maturity Date”). Each advance accrues interest at a per annum rate of interest equal to the greater of either (i) the “prime rate” as reported in The Wall Street Journal plus 4.75%, and (ii) 10.25%. The Term Loan provides for interest-only payments until October 1, 2020. The interest-only period may be extended to April 1, 2021 if, on or before September 30, 2020, we achieve either the third milestone or we have raised at least $150.0 million in unrestricted net cash proceeds from one or more equity financings, subordinated indebtedness and/or upfront proceeds from business development transactions permitted under the Loan Agreement, in each case after February 7, 2019, and prior to September 30, 2020 (“Milestone IV”). Thereafter, amortization payments will be payable monthly in eighteen installments (or, if the period requiring interest-only payments has been extended to April 1, 2021, in twelve installments) of principal and interest (subject to recalculation upon a change in prime rates). As a result of the Company having raised in excess of $150 million before the required timeline in the Loan Agreement, the interest-only period has been extended to April 1, 2021. At our option upon seven business days’ prior written notice to Hercules, we may prepay all or any portion greater than or equal to $5.0 million of the outstanding advances by paying the entire principal balance (or portion thereof), all accrued and unpaid interest, subject to a prepayment charge of 3.0%, if such advance is prepaid in any of the first twelve months following the Closing Date; 1.5%, if such advance is prepaid after twelve months following the Closing Date but on or prior to twenty-four months following the Closing Date; and 0% thereafter. In addition, a final payment equal to 3.5% of the aggregate principal amount of the loan extended by Hercules is due on the maturity date. Amounts outstanding during an event of default shall be payable on demand and accrue interest at an additional rate of 4.0% per annum of the past due amount outstanding.</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 Loan is secured by a lien on substantially all of our assets, other than intellectual property and contains customary covenants and representations, including a liquidity covenant, financial reporting covenant and limitations on dividends, indebtedness, collateral, investments, distributions, transfers, mergers or acquisitions, taxes, corporate changes, deposit accounts, and subsidiaries. As of and through December 31, 2019, the Company has been in compliance with all covenants.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events of default under the Loan Agreement include, without limitation, and subject to customary grace periods, (1) our failure to make any payments of principal or interest under the Loan Agreement, promissory notes or other loan documents, (2) our breach or default in the performance of any covenant under the Loan Agreement, (3) the occurrence of a material adverse effect, (4) a false or misleading representation or warranty in any material respect, (5) our insolvency or bankruptcy, (6) certain attachments or judgments on the Borrower’s assets, or (7) the occurrence of any material default under certain agreements or obligations involving indebtedness in excess of $750,000. If an event of default occurs, Hercules is entitled to take enforcement action, including acceleration of amounts due under the Loan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7"/>
          <w:szCs w:val="17"/>
          <w:color w:val="auto"/>
        </w:rPr>
        <w:t>The Loan Agreement also contains warrant coverage of 2% of the total amount funded. A warrant (the “Hercules Warrant”) was issued to Hercules to purchase 147,058 shares of common stock with an exercise price of $4.08. The Hercules Warrant is exercisable for seven years from the date of issuance. Hercules may exercise the Hercules Warrant either by (a) cash or check or (b) through a net issuance conversion. The shares will be registered and freely tradeable within six months of issuance. We accounted for the Hercules Warrant as an equity instrument since it was indexed to our common shares and met the criteria for classification in shareholders equity. The relative fair value of the Hercules Warrant on the date of issuance was approximately $1.0 million and was treated as debt issuance costs and as an offset to the Term Loan. This amount will be amortized to interest expense using the straight-line method, which approximates the effective interest method, over the life of the Term Loan.</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estimated the fair value of the Hercules Warrant using the Black-Scholes model based on the following key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Common share price on date of issuance</w:t>
            </w:r>
          </w:p>
        </w:tc>
        <w:tc>
          <w:tcPr>
            <w:tcW w:w="3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6.80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195.9 %</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2.63 %</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330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7.00 years</w:t>
            </w:r>
          </w:p>
        </w:tc>
      </w:tr>
    </w:tbl>
    <w:p>
      <w:pPr>
        <w:spacing w:after="0" w:line="200" w:lineRule="exact"/>
        <w:rPr>
          <w:sz w:val="20"/>
          <w:szCs w:val="20"/>
          <w:color w:val="auto"/>
        </w:rPr>
      </w:pP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incurred financing expenses of $2.8 million (including the fair value of the Hercules Warrant) related to the Hercules Loan Agreement which are recorded as debt issuance costs and as an offset to long-term debt on the Company’s consolidated balance sheet. The debt issuance costs are being amortized over the term of the debt using the straight-line method, which approximates the effective interest method, and are included in interest expense in the Company’s consolidated statements of operations. Amortization of debt issuance costs was $0.8 million for the year ended December 31, 2019. At December 31, 2019, the remaining unamortized balance of debt issuance costs was $2.0 million.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debt as of December 31, 2019, is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9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10"/>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9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 of term fee</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r>
      <w:tr>
        <w:trPr>
          <w:trHeight w:val="210"/>
        </w:trPr>
        <w:tc>
          <w:tcPr>
            <w:tcW w:w="9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30,975</w:t>
            </w:r>
          </w:p>
        </w:tc>
      </w:tr>
      <w:tr>
        <w:trPr>
          <w:trHeight w:val="216"/>
        </w:trPr>
        <w:tc>
          <w:tcPr>
            <w:tcW w:w="9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debt issuance costs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r>
      <w:tr>
        <w:trPr>
          <w:trHeight w:val="210"/>
        </w:trPr>
        <w:tc>
          <w:tcPr>
            <w:tcW w:w="9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28,970</w:t>
            </w:r>
          </w:p>
        </w:tc>
      </w:tr>
      <w:tr>
        <w:trPr>
          <w:trHeight w:val="216"/>
        </w:trPr>
        <w:tc>
          <w:tcPr>
            <w:tcW w:w="9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9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non-current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28,970</w:t>
            </w:r>
          </w:p>
        </w:tc>
      </w:tr>
      <w:tr>
        <w:trPr>
          <w:trHeight w:val="20"/>
        </w:trPr>
        <w:tc>
          <w:tcPr>
            <w:tcW w:w="9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29"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$1.4 million under the Office Agreement. We began to occupy this new space in April 2016, with rental payments beginning in the third quarter of 2016. At January 1, 2019, we recognized a lease liability and corresponding Right of Use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$11.8 million and $9.4 million, respectively, as of December 31, 2019. Our leases have remaining lease terms of 4 months to 12 years. One lease has a renewal option to extend the lease for an additional term of 2 years.</w:t>
      </w:r>
    </w:p>
    <w:p>
      <w:pPr>
        <w:sectPr>
          <w:pgSz w:w="11900" w:h="16838" w:orient="portrait"/>
          <w:cols w:equalWidth="0" w:num="1">
            <w:col w:w="10400"/>
          </w:cols>
          <w:pgMar w:left="760" w:top="517" w:right="739" w:bottom="1440" w:gutter="0" w:footer="0" w:header="0"/>
        </w:sect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372745</wp:posOffset>
            </wp:positionV>
            <wp:extent cx="659511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December 31, 2019, the allocation rate is 61% and will be evaluated again in August 2020 for the following rent year.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components of lease expense are included in the Company’s consolidated statements of operations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9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Net lease cost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r>
      <w:tr>
        <w:trPr>
          <w:trHeight w:val="20"/>
        </w:trPr>
        <w:tc>
          <w:tcPr>
            <w:tcW w:w="7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2019, the weighted-average remaining operating lease term was 8.4 years and the weighted-average discount rate for operating leases was 10.25%. Cash paid for amounts included in the measurement of operating lease liabilities during the year ended December 31, 2019 was $1.5 million.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balance sheet classification of lease liabilities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9140" w:type="dxa"/>
            <w:vAlign w:val="bottom"/>
          </w:tcPr>
          <w:p>
            <w:pPr>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0"/>
        </w:trPr>
        <w:tc>
          <w:tcPr>
            <w:tcW w:w="91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current portion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9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 liability non-current</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10,218</w:t>
            </w:r>
          </w:p>
        </w:tc>
        <w:tc>
          <w:tcPr>
            <w:tcW w:w="0" w:type="dxa"/>
            <w:vAlign w:val="bottom"/>
          </w:tcPr>
          <w:p>
            <w:pPr>
              <w:spacing w:after="0"/>
              <w:rPr>
                <w:sz w:val="1"/>
                <w:szCs w:val="1"/>
                <w:color w:val="auto"/>
              </w:rPr>
            </w:pPr>
          </w:p>
        </w:tc>
      </w:tr>
      <w:tr>
        <w:trPr>
          <w:trHeight w:val="210"/>
        </w:trPr>
        <w:tc>
          <w:tcPr>
            <w:tcW w:w="9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11,834</w:t>
            </w:r>
          </w:p>
        </w:tc>
        <w:tc>
          <w:tcPr>
            <w:tcW w:w="0" w:type="dxa"/>
            <w:vAlign w:val="bottom"/>
          </w:tcPr>
          <w:p>
            <w:pPr>
              <w:spacing w:after="0"/>
              <w:rPr>
                <w:sz w:val="1"/>
                <w:szCs w:val="1"/>
                <w:color w:val="auto"/>
              </w:rPr>
            </w:pPr>
          </w:p>
        </w:tc>
      </w:tr>
      <w:tr>
        <w:trPr>
          <w:trHeight w:val="20"/>
        </w:trPr>
        <w:tc>
          <w:tcPr>
            <w:tcW w:w="9140" w:type="dxa"/>
            <w:vAlign w:val="bottom"/>
            <w:vMerge w:val="restart"/>
          </w:tcPr>
          <w:p>
            <w:pPr>
              <w:ind w:left="640"/>
              <w:spacing w:after="0"/>
              <w:rPr>
                <w:sz w:val="20"/>
                <w:szCs w:val="20"/>
                <w:color w:val="auto"/>
              </w:rPr>
            </w:pPr>
            <w:r>
              <w:rPr>
                <w:rFonts w:ascii="Arial" w:cs="Arial" w:eastAsia="Arial" w:hAnsi="Arial"/>
                <w:sz w:val="18"/>
                <w:szCs w:val="18"/>
                <w:color w:val="auto"/>
              </w:rPr>
              <w:t>As of December 31, 2019, the maturities of lease liabilities were as follows:</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9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54"/>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71"/>
        </w:trPr>
        <w:tc>
          <w:tcPr>
            <w:tcW w:w="9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16"/>
        </w:trPr>
        <w:tc>
          <w:tcPr>
            <w:tcW w:w="9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2024</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10"/>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19,913</w:t>
            </w:r>
          </w:p>
        </w:tc>
        <w:tc>
          <w:tcPr>
            <w:tcW w:w="0" w:type="dxa"/>
            <w:vAlign w:val="bottom"/>
          </w:tcPr>
          <w:p>
            <w:pPr>
              <w:spacing w:after="0"/>
              <w:rPr>
                <w:sz w:val="1"/>
                <w:szCs w:val="1"/>
                <w:color w:val="auto"/>
              </w:rPr>
            </w:pPr>
          </w:p>
        </w:tc>
      </w:tr>
      <w:tr>
        <w:trPr>
          <w:trHeight w:val="216"/>
        </w:trPr>
        <w:tc>
          <w:tcPr>
            <w:tcW w:w="9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w:t>
            </w:r>
          </w:p>
        </w:tc>
        <w:tc>
          <w:tcPr>
            <w:tcW w:w="0" w:type="dxa"/>
            <w:vAlign w:val="bottom"/>
          </w:tcPr>
          <w:p>
            <w:pPr>
              <w:spacing w:after="0"/>
              <w:rPr>
                <w:sz w:val="1"/>
                <w:szCs w:val="1"/>
                <w:color w:val="auto"/>
              </w:rPr>
            </w:pPr>
          </w:p>
        </w:tc>
      </w:tr>
      <w:tr>
        <w:trPr>
          <w:trHeight w:val="210"/>
        </w:trPr>
        <w:tc>
          <w:tcPr>
            <w:tcW w:w="9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11,834</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6"/>
        <w:spacing w:after="0" w:line="264" w:lineRule="auto"/>
        <w:tabs>
          <w:tab w:leader="none" w:pos="937"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account for income taxes under the asset and liability method.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our business. Based upon management’s assessment of all available evidence, we believe that it is more-likely-than-not that the deferred tax assets will not be realizable, and therefore, a valuation allowance has been established. The valuation allowance for deferred tax assets was approximately $186,711,000 and $142,947,000 as of December 31, 2019 and 2018, respectively.</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22, 2017, H.R.1, commonly known as the Tax Cuts and Jobs Act (the “Act”) was signed into law. Among other things, the Act reduced our corporate federal tax rate from 34% to 21% effective January 1, 2018. As a result, we were required to re-measure, through income tax expense, our deferred tax assets and liabilities using the enacted rate at which we expect them to be recovered or settled. The re-measurement of our net deferred tax asset would have resulted in additional income tax expense of $51,767,584 as of December 31, 2017; however, with full valuation allowance in place, the expense was reversed through a corresponding adjustment to the valuation allowance, resulting in no impact on income tax expense.</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December 31, 2019, we have U.S. net operating loss carryforwards (“NOLs”) of approximately $709,949,000, research and development credit carryforwards (“R&amp;D credits”) of approximately $22,483,000 and business interest expense carryforward of $3,189,000. For income tax purposes, these NOLs and R&amp;D credits will expire in various amounts through 2037. NOLs generated after 2017 and the business interest expense carryforwards do not expire. The Tax Reform Act of 1986 contains provisions which limit the ability to utilize net operating loss carryforwards and R&amp;D credit carryforwards in the case of certain events including significant changes in ownership interests. The Exchange Transaction with TG Bio may have resulted in a “change in ownership” as defined by IRC Section 382 of the Internal Revenue Code of 1986, as amended. Additionally, stock issuance activities may have resulted in a “change in ownership” as defined by IRC Section 382 of the Internal Revenue Code of 1986, as amended. Accordingly, a substantial portion of the Company’s NOLs above may be subject to annual limitations in reducing any future year’s taxable income, and a substantial portion of the R&amp;D Credit carryforwards may be subject to annual limitations in reducing any future year’s tax.</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2019 and 2018 are presented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38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158,177</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3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Noncash compensation</w:t>
            </w: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Disallowed interest</w:t>
            </w:r>
          </w:p>
        </w:tc>
        <w:tc>
          <w:tcPr>
            <w:tcW w:w="3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5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excluding valuation allowance</w:t>
            </w:r>
          </w:p>
        </w:tc>
        <w:tc>
          <w:tcPr>
            <w:tcW w:w="3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186,711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3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(186,711)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35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800" w:type="dxa"/>
            <w:vAlign w:val="bottom"/>
            <w:gridSpan w:val="2"/>
          </w:tcPr>
          <w:p>
            <w:pPr>
              <w:jc w:val="right"/>
              <w:ind w:right="2650"/>
              <w:spacing w:after="0"/>
              <w:rPr>
                <w:sz w:val="20"/>
                <w:szCs w:val="20"/>
                <w:color w:val="auto"/>
              </w:rPr>
            </w:pPr>
            <w:r>
              <w:rPr>
                <w:rFonts w:ascii="Arial" w:cs="Arial" w:eastAsia="Arial" w:hAnsi="Arial"/>
                <w:sz w:val="18"/>
                <w:szCs w:val="18"/>
                <w:color w:val="auto"/>
              </w:rPr>
              <w:t>F-22</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760" w:top="517" w:right="7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There was no current or deferred income tax expense for the year ended December 31, 2019. Income tax expense differed from amounts computed by applying the US Federal income tax rate of 21% for the years ended December 31, 2019 and 2018, and 34% for the year ended December 31, 2017 to pretax loss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 as reported in the consolidated statements of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(172,871)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(173,482)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(118,476)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(36,303)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(36,431)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income taxes resulting from:</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Expected benefit from state and local taxes</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(2,128)</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(2,243)</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 credits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(7,266)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(4,726)</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Enactment of federal tax reform</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the balance of the valuation allowance for deferred tax assets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43,764</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43,234</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file income tax returns in the U.S Federal and various state and local jurisdictions. With certain exceptions, the Company is no longer subject to U.S. Federal and state income tax examinations by tax authorities for years prior to 2016. However, NOLs and tax credits generated from those prior years could still be adjusted upon audit.</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 would recognize interest and penalties, if any, to uncertain tax position in income tax expense in the statement of operations. There was no accrual for interest and penalties related to uncertain tax positions for 2019. We do not believe that there will be a material change in our unrecognized tax positions over the next twelve months. All of the unrecognized tax benefits, if recognized, would be offset by the valuation allowance.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$152,000 for each of the years ended December 31, 2019 and 2018, and, at December 31, 2019 and 2018, have deferred revenue of approximately $0.9 million and $1.1 million, respectively, associated with this $2 million payment (approximately $152,000 of which has been classified in current liabilities at December 31, 2019 and 2018).</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 (Umbralisib)</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September 22, 2014, we exercised our option to license the global rights to umbralisib, thereby entering into an exclusive licensing agreement (the “TGR-1202 License”) with Rhizen Pharmaceuticals, SA (“Rhizen”) for the development and commercialization of umbralisib. Prior to this, we had been jointly developing umbralisib in a 50:50 joint venture with Rhizen.</w:t>
      </w:r>
    </w:p>
    <w:p>
      <w:pPr>
        <w:spacing w:after="0" w:line="181"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Under the terms of the TGR-1202 License, Rhizen received a $4.0 million cash payment and 371,530 shares of our common stock as an upfront license fee. With respect to umbralisib, Rhizen will be eligible to receive regulatory filing, approval and sales-based milestone payments in the aggregate of approximately $175 million, a small portion of which will be payable on the first New Drug Application (NDA) filing and the remainder on approval in multiple jurisdictions for up to two oncology indications and one non-oncology indication and attaining certain sales milestones. In addition, if umbralisib is co-formulated with another drug to create a new product (a "New Product"), Rhizen will be eligible to receive similar regulatory approval and sales-based milestone payments for such New Product. Additionally, Rhizen will be entitled to tiered royalties on our future net sales of umbralisib and any New Product. In lieu of sales milestones and royalties on net sales, Rhizen shall also be eligible to participate in sublicensing revenue, if any, based on a percentage that decreases as a function of the number of patients treated in clinical trials following the exercise of the license option. Rhizen will retain global manufacturing rights to umbralisib, provided that they are price competitive with alternative manufacturers.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TG-1501: PDL1 (Cosibelimab)</w:t>
      </w:r>
    </w:p>
    <w:p>
      <w:pPr>
        <w:spacing w:after="0" w:line="225"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In March 2015, we entered into a Global Collaboration Agreement (“Collaboration Agreement”) with Checkpoint for the development and commercialization of anti-PD-L1 and anti-GITR antibody research programs in the field of hematological malignancies. The Collaboration Agreement was amended in June 2019 and upon execution of the amendment we incurred an upfront fee of $1.0 million. We incurred expenses of approximately $4.1 million and $0.6 million for the years ended December 31, 2019 and 2018, the majority of which relates to manufacturing expenses of PD-L1. The relevant expenses are recorded in other research and development in the accompanying consolidated statement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TG-1601: BET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May 2016, as part of a broader agreement with Jubilant Biosys (“Jubilant”), we entered into a sub-license agreement (“JBET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Checkpoint Therapeutics, Inc. (“Checkpoint”) (see Note 11), for the development and commercialization of Jubilant’s novel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BET inhibitor program in the field of hematological malignancies.</w:t>
      </w:r>
    </w:p>
    <w:p>
      <w:pPr>
        <w:spacing w:after="0" w:line="2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TG-1701: BTK</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January 2018, we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Pursuant to the agreement, in April 2018, we paid Jiangsu an upfront fee of $1.0 million in our common stock recorded to noncash stock expense associated with in-licensing agreements in our condensed consolidated statement of operations. In addition, in July 2019, we paid Jiangsu the first milestone of $0.1 million in our common stock recorded to noncash stock expense associated with in-licensing agreements in our consolidated statement of operations. Jiangsu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TG-1801: anti-CD47/anti-CD19</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recorded to noncash stock expense associated with in-licensing agreements in our consolidated statement of operations.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Parties</w:t>
      </w:r>
    </w:p>
    <w:p>
      <w:pPr>
        <w:spacing w:after="0" w:line="225"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In October 2014, we entered into the Office Agreement with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At January 1, 2019, we recognized a lease liability of $9.3 million, with a corresponding Right of Use (ROU) asset of $7.7 million based on the present value of the remaining lease payments for all of our leased office spaces, the majority of which is comprised of our New York City office space. Mr. Weiss, our Executive Chairman and CEO, is also Executive Vice Chairman of FBIO.</w:t>
      </w:r>
    </w:p>
    <w:p>
      <w:pPr>
        <w:spacing w:after="0" w:line="18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Under the Office Agreement, we agreed to pay FBIO our portion of the build out costs, which have been allocated to us at the 45% rate mentioned above. The allocated build-out costs have been recorded in Leasehold Interest, net on the Company's condensed consolidated balance sheets and will be amortized over the 15-year term of the Office Agreement. 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December 31, 2019, the allocation rate is 61% and will be evaluated again in August 2020 for the following rent year.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97"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$0.9 million, $1.6 million and $1.2 million for shared services for the years ended December 31, 2019, 2018 and 2017, primarily related to shared personnel.</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2016, as part of a broader agreement with Jubilant, we entered into a sublicense agreement with Checkpoint, a subsidiary of FBIO, for the development and commercialization of Jubilant’s novel BET inhibitor program in the field of hematological malignancies. We paid Checkpoint an up-front licensing fee of $1.0 million in July 2016 and incurred expenses of $0.2 million in March 2017 for the first milestone achievement as part of the JBET Agreement which is recorded in other research and development in the accompanying consolidated statement of operations.</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March 2015, we entered into a Global Collaboration Agreement (“Collaboration Agreement”) with Checkpoint for the development and commercialization of anti-PD-L1 and anti-GITR antibody research programs in the field of hematological malignancies.</w:t>
      </w:r>
    </w:p>
    <w:p>
      <w:pPr>
        <w:sectPr>
          <w:pgSz w:w="11900" w:h="16838" w:orient="portrait"/>
          <w:cols w:equalWidth="0" w:num="1">
            <w:col w:w="10400"/>
          </w:cols>
          <w:pgMar w:left="760" w:top="517" w:right="739" w:bottom="1440" w:gutter="0" w:footer="0" w:header="0"/>
        </w:sect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372745</wp:posOffset>
            </wp:positionV>
            <wp:extent cx="659511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Collaboration Agreement was amended in June 2019 and upon execution of the amendment we incurred an upfront fee of $1.0 million. We incurred expenses of approximately $4.1 million and $0.6 million for the years ended December 31, 2019 and 2018 , the majority of which relates to manufacturing expenses of PD-L1. The relevant expenses are recorded in other research and development in the accompanying consolidated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2019, we have known contractual obligations; commitments and contingencies of $97.6 million related to our long term liabilities and operating lease obligations.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Payment due by period (in thousands)</w:t>
            </w:r>
          </w:p>
        </w:tc>
        <w:tc>
          <w:tcPr>
            <w:tcW w:w="160" w:type="dxa"/>
            <w:vAlign w:val="bottom"/>
          </w:tcPr>
          <w:p>
            <w:pPr>
              <w:spacing w:after="0"/>
              <w:rPr>
                <w:sz w:val="14"/>
                <w:szCs w:val="14"/>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Less than 1</w:t>
            </w:r>
          </w:p>
        </w:tc>
        <w:tc>
          <w:tcPr>
            <w:tcW w:w="120" w:type="dxa"/>
            <w:vAlign w:val="bottom"/>
          </w:tcPr>
          <w:p>
            <w:pPr>
              <w:spacing w:after="0"/>
              <w:rPr>
                <w:sz w:val="14"/>
                <w:szCs w:val="14"/>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1-3 years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8"/>
              </w:rPr>
              <w:t>3-5 years</w:t>
            </w:r>
          </w:p>
        </w:tc>
        <w:tc>
          <w:tcPr>
            <w:tcW w:w="180" w:type="dxa"/>
            <w:vAlign w:val="bottom"/>
          </w:tcPr>
          <w:p>
            <w:pPr>
              <w:spacing w:after="0"/>
              <w:rPr>
                <w:sz w:val="14"/>
                <w:szCs w:val="14"/>
                <w:color w:val="auto"/>
              </w:rPr>
            </w:pPr>
          </w:p>
        </w:tc>
        <w:tc>
          <w:tcPr>
            <w:tcW w:w="84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5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year</w:t>
            </w: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5 years</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Operating leases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Pr>
          <w:p>
            <w:pPr>
              <w:ind w:left="100"/>
              <w:spacing w:after="0"/>
              <w:rPr>
                <w:sz w:val="20"/>
                <w:szCs w:val="20"/>
                <w:color w:val="auto"/>
              </w:rPr>
            </w:pPr>
            <w:r>
              <w:rPr>
                <w:rFonts w:ascii="Arial" w:cs="Arial" w:eastAsia="Arial" w:hAnsi="Arial"/>
                <w:sz w:val="18"/>
                <w:szCs w:val="18"/>
                <w:color w:val="auto"/>
                <w:w w:val="98"/>
              </w:rPr>
              <w:t>20,440</w:t>
            </w:r>
          </w:p>
        </w:tc>
        <w:tc>
          <w:tcPr>
            <w:tcW w:w="38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2,331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3,785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3,709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30,000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Contract manufacturer</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8"/>
              </w:rPr>
              <w:t>47,168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8"/>
              </w:rPr>
              <w:t>97,608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Manufacturer</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Note 6 for a detailed description of our current liabilities. Future minimum contractual commitments as of December 31, 2019 total approximately $47.2 million and are due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Note 8 for a detailed description of our lease arrangements in New York and New Jersey. Total rental expense was approximately $2.7 million, $1.4 million and $1.4 million for the years ended December 31, 2019, 2018, and 2017, respectively.</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Future minimum lease commitments as of December 31, 2019, in the aggregate total approximately $20.4 million through December 31, 2031. The preceding table shows future minimum lease commitments, which include our office leases in New York, New Jersey, North Carolina and Tennessee by year as of December 31, 2019.</w:t>
      </w:r>
    </w:p>
    <w:p>
      <w:pPr>
        <w:sectPr>
          <w:pgSz w:w="11900" w:h="16838" w:orient="portrait"/>
          <w:cols w:equalWidth="0" w:num="1">
            <w:col w:w="10400"/>
          </w:cols>
          <w:pgMar w:left="760" w:top="517"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372745</wp:posOffset>
            </wp:positionV>
            <wp:extent cx="659511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400"/>
          </w:cols>
          <w:pgMar w:left="760" w:top="517" w:right="73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QUARTERLY FINANCIAL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3 Months Ended</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Pr>
          <w:p>
            <w:pPr>
              <w:spacing w:after="0"/>
              <w:rPr>
                <w:sz w:val="10"/>
                <w:szCs w:val="10"/>
                <w:color w:val="auto"/>
              </w:rPr>
            </w:pPr>
          </w:p>
        </w:tc>
        <w:tc>
          <w:tcPr>
            <w:tcW w:w="10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0"/>
                <w:szCs w:val="10"/>
                <w:color w:val="auto"/>
              </w:rPr>
            </w:pPr>
          </w:p>
        </w:tc>
        <w:tc>
          <w:tcPr>
            <w:tcW w:w="9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(35,156)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(36,213)</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(61,930)</w:t>
            </w:r>
          </w:p>
        </w:tc>
        <w:tc>
          <w:tcPr>
            <w:tcW w:w="28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(0.42)</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(0.69)</w:t>
            </w:r>
          </w:p>
        </w:tc>
        <w:tc>
          <w:tcPr>
            <w:tcW w:w="28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3 Months Ended</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June 30,</w:t>
            </w:r>
          </w:p>
        </w:tc>
        <w:tc>
          <w:tcPr>
            <w:tcW w:w="80" w:type="dxa"/>
            <w:vAlign w:val="bottom"/>
          </w:tcPr>
          <w:p>
            <w:pPr>
              <w:spacing w:after="0"/>
              <w:rPr>
                <w:sz w:val="10"/>
                <w:szCs w:val="10"/>
                <w:color w:val="auto"/>
              </w:rPr>
            </w:pPr>
          </w:p>
        </w:tc>
        <w:tc>
          <w:tcPr>
            <w:tcW w:w="10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0"/>
                <w:szCs w:val="10"/>
                <w:color w:val="auto"/>
              </w:rPr>
            </w:pPr>
          </w:p>
        </w:tc>
        <w:tc>
          <w:tcPr>
            <w:tcW w:w="9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License revenue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(41,529)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(44,142)</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(33,951)</w:t>
            </w:r>
          </w:p>
        </w:tc>
        <w:tc>
          <w:tcPr>
            <w:tcW w:w="28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(0.59)</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(0.43)</w:t>
            </w:r>
          </w:p>
        </w:tc>
        <w:tc>
          <w:tcPr>
            <w:tcW w:w="28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6595110" cy="1714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7040" w:type="dxa"/>
            <w:vAlign w:val="bottom"/>
            <w:gridSpan w:val="2"/>
          </w:tcPr>
          <w:p>
            <w:pPr>
              <w:ind w:left="1720"/>
              <w:spacing w:after="0"/>
              <w:rPr>
                <w:sz w:val="20"/>
                <w:szCs w:val="20"/>
                <w:color w:val="auto"/>
              </w:rPr>
            </w:pPr>
            <w:r>
              <w:rPr>
                <w:rFonts w:ascii="Arial" w:cs="Arial" w:eastAsia="Arial" w:hAnsi="Arial"/>
                <w:sz w:val="18"/>
                <w:szCs w:val="18"/>
                <w:b w:val="1"/>
                <w:bCs w:val="1"/>
                <w:color w:val="auto"/>
              </w:rPr>
              <w:t>TG THERAPEUTICS, INC.</w:t>
            </w:r>
          </w:p>
        </w:tc>
      </w:tr>
      <w:tr>
        <w:trPr>
          <w:trHeight w:val="365"/>
        </w:trPr>
        <w:tc>
          <w:tcPr>
            <w:tcW w:w="3200" w:type="dxa"/>
            <w:vAlign w:val="bottom"/>
          </w:tcPr>
          <w:p>
            <w:pPr>
              <w:spacing w:after="0"/>
              <w:rPr>
                <w:sz w:val="20"/>
                <w:szCs w:val="20"/>
                <w:color w:val="auto"/>
              </w:rPr>
            </w:pPr>
            <w:r>
              <w:rPr>
                <w:rFonts w:ascii="Arial" w:cs="Arial" w:eastAsia="Arial" w:hAnsi="Arial"/>
                <w:sz w:val="18"/>
                <w:szCs w:val="18"/>
                <w:color w:val="auto"/>
              </w:rPr>
              <w:t>Date: March 2, 2020</w:t>
            </w:r>
          </w:p>
        </w:tc>
        <w:tc>
          <w:tcPr>
            <w:tcW w:w="7040" w:type="dxa"/>
            <w:vAlign w:val="bottom"/>
            <w:gridSpan w:val="2"/>
          </w:tcPr>
          <w:p>
            <w:pPr>
              <w:ind w:left="1720"/>
              <w:spacing w:after="0"/>
              <w:rPr>
                <w:sz w:val="20"/>
                <w:szCs w:val="20"/>
                <w:color w:val="auto"/>
              </w:rPr>
            </w:pPr>
            <w:r>
              <w:rPr>
                <w:rFonts w:ascii="Arial" w:cs="Arial" w:eastAsia="Arial" w:hAnsi="Arial"/>
                <w:sz w:val="18"/>
                <w:szCs w:val="18"/>
                <w:color w:val="auto"/>
              </w:rPr>
              <w:t>By:  /s/ Michael S. Weiss</w:t>
            </w:r>
          </w:p>
        </w:tc>
      </w:tr>
      <w:tr>
        <w:trPr>
          <w:trHeight w:val="195"/>
        </w:trPr>
        <w:tc>
          <w:tcPr>
            <w:tcW w:w="3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3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230"/>
        </w:trPr>
        <w:tc>
          <w:tcPr>
            <w:tcW w:w="3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each of Michael S. Weiss and Sean A. Power, his true and lawful attorney-in-fact and agent, with full power of substitution and resubstitution, for him and his name, place and stead, in any and all capacities, to sign any or all amendments to this annual report on Form 10-K, and to file the same, with all exhibits thereto and other documents in connection therewith, with the SEC,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any of his substitutes, may lawfully do or cause to be done by virtue hereof.</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Form 10-K has been signed by the following persons on behalf of the Registrant on March 2, 2020, and in the capacities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Signatures</w:t>
            </w:r>
          </w:p>
        </w:tc>
        <w:tc>
          <w:tcPr>
            <w:tcW w:w="280" w:type="dxa"/>
            <w:vAlign w:val="bottom"/>
          </w:tcPr>
          <w:p>
            <w:pPr>
              <w:spacing w:after="0"/>
              <w:rPr>
                <w:sz w:val="20"/>
                <w:szCs w:val="20"/>
                <w:color w:val="auto"/>
              </w:rPr>
            </w:pPr>
          </w:p>
        </w:tc>
        <w:tc>
          <w:tcPr>
            <w:tcW w:w="4880" w:type="dxa"/>
            <w:vAlign w:val="bottom"/>
            <w:tcBorders>
              <w:bottom w:val="single" w:sz="8" w:color="auto"/>
            </w:tcBorders>
          </w:tcPr>
          <w:p>
            <w:pPr>
              <w:ind w:left="2260"/>
              <w:spacing w:after="0"/>
              <w:rPr>
                <w:sz w:val="20"/>
                <w:szCs w:val="20"/>
                <w:color w:val="auto"/>
              </w:rPr>
            </w:pPr>
            <w:r>
              <w:rPr>
                <w:rFonts w:ascii="Arial" w:cs="Arial" w:eastAsia="Arial" w:hAnsi="Arial"/>
                <w:sz w:val="18"/>
                <w:szCs w:val="18"/>
                <w:b w:val="1"/>
                <w:bCs w:val="1"/>
                <w:color w:val="auto"/>
              </w:rPr>
              <w:t>Title</w:t>
            </w:r>
          </w:p>
        </w:tc>
      </w:tr>
      <w:tr>
        <w:trPr>
          <w:trHeight w:val="195"/>
        </w:trPr>
        <w:tc>
          <w:tcPr>
            <w:tcW w:w="5220" w:type="dxa"/>
            <w:vAlign w:val="bottom"/>
          </w:tcPr>
          <w:p>
            <w:pPr>
              <w:jc w:val="center"/>
              <w:spacing w:after="0" w:line="195" w:lineRule="exact"/>
              <w:rPr>
                <w:sz w:val="20"/>
                <w:szCs w:val="20"/>
                <w:color w:val="auto"/>
              </w:rPr>
            </w:pPr>
            <w:r>
              <w:rPr>
                <w:rFonts w:ascii="Arial" w:cs="Arial" w:eastAsia="Arial" w:hAnsi="Arial"/>
                <w:sz w:val="18"/>
                <w:szCs w:val="18"/>
                <w:color w:val="auto"/>
                <w:w w:val="90"/>
              </w:rPr>
              <w:t>/s/ Michael S. Weiss</w:t>
            </w:r>
          </w:p>
        </w:tc>
        <w:tc>
          <w:tcPr>
            <w:tcW w:w="280" w:type="dxa"/>
            <w:vAlign w:val="bottom"/>
          </w:tcPr>
          <w:p>
            <w:pPr>
              <w:spacing w:after="0"/>
              <w:rPr>
                <w:sz w:val="16"/>
                <w:szCs w:val="16"/>
                <w:color w:val="auto"/>
              </w:rPr>
            </w:pP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Executive Chairman, Chief Executive Officer and President</w:t>
            </w:r>
          </w:p>
        </w:tc>
      </w:tr>
      <w:tr>
        <w:trPr>
          <w:trHeight w:val="230"/>
        </w:trPr>
        <w:tc>
          <w:tcPr>
            <w:tcW w:w="5220" w:type="dxa"/>
            <w:vAlign w:val="bottom"/>
          </w:tcPr>
          <w:p>
            <w:pPr>
              <w:jc w:val="center"/>
              <w:spacing w:after="0"/>
              <w:rPr>
                <w:sz w:val="20"/>
                <w:szCs w:val="20"/>
                <w:color w:val="auto"/>
              </w:rPr>
            </w:pPr>
            <w:r>
              <w:rPr>
                <w:rFonts w:ascii="Arial" w:cs="Arial" w:eastAsia="Arial" w:hAnsi="Arial"/>
                <w:sz w:val="18"/>
                <w:szCs w:val="18"/>
                <w:color w:val="auto"/>
                <w:w w:val="91"/>
              </w:rPr>
              <w:t>Michael S. Weiss</w:t>
            </w: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rPr>
              <w:t>(principal executive officer)</w:t>
            </w:r>
          </w:p>
        </w:tc>
      </w:tr>
      <w:tr>
        <w:trPr>
          <w:trHeight w:val="418"/>
        </w:trPr>
        <w:tc>
          <w:tcPr>
            <w:tcW w:w="5220" w:type="dxa"/>
            <w:vAlign w:val="bottom"/>
          </w:tcPr>
          <w:p>
            <w:pPr>
              <w:jc w:val="center"/>
              <w:spacing w:after="0"/>
              <w:rPr>
                <w:sz w:val="20"/>
                <w:szCs w:val="20"/>
                <w:color w:val="auto"/>
              </w:rPr>
            </w:pPr>
            <w:r>
              <w:rPr>
                <w:rFonts w:ascii="Arial" w:cs="Arial" w:eastAsia="Arial" w:hAnsi="Arial"/>
                <w:sz w:val="18"/>
                <w:szCs w:val="18"/>
                <w:color w:val="auto"/>
                <w:w w:val="90"/>
              </w:rPr>
              <w:t>/s/ Sean A. Power</w:t>
            </w:r>
          </w:p>
        </w:tc>
        <w:tc>
          <w:tcPr>
            <w:tcW w:w="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30"/>
        </w:trPr>
        <w:tc>
          <w:tcPr>
            <w:tcW w:w="5220" w:type="dxa"/>
            <w:vAlign w:val="bottom"/>
          </w:tcPr>
          <w:p>
            <w:pPr>
              <w:jc w:val="center"/>
              <w:spacing w:after="0"/>
              <w:rPr>
                <w:sz w:val="20"/>
                <w:szCs w:val="20"/>
                <w:color w:val="auto"/>
              </w:rPr>
            </w:pPr>
            <w:r>
              <w:rPr>
                <w:rFonts w:ascii="Arial" w:cs="Arial" w:eastAsia="Arial" w:hAnsi="Arial"/>
                <w:sz w:val="18"/>
                <w:szCs w:val="18"/>
                <w:color w:val="auto"/>
                <w:w w:val="88"/>
              </w:rPr>
              <w:t>Sean A. Power</w:t>
            </w: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w w:val="94"/>
              </w:rPr>
              <w:t>Chief Financial Officer (principal financial and accounting officer)</w:t>
            </w:r>
          </w:p>
        </w:tc>
      </w:tr>
      <w:tr>
        <w:trPr>
          <w:trHeight w:val="418"/>
        </w:trPr>
        <w:tc>
          <w:tcPr>
            <w:tcW w:w="5220" w:type="dxa"/>
            <w:vAlign w:val="bottom"/>
          </w:tcPr>
          <w:p>
            <w:pPr>
              <w:jc w:val="center"/>
              <w:spacing w:after="0"/>
              <w:rPr>
                <w:sz w:val="20"/>
                <w:szCs w:val="20"/>
                <w:color w:val="auto"/>
              </w:rPr>
            </w:pPr>
            <w:r>
              <w:rPr>
                <w:rFonts w:ascii="Arial" w:cs="Arial" w:eastAsia="Arial" w:hAnsi="Arial"/>
                <w:sz w:val="18"/>
                <w:szCs w:val="18"/>
                <w:color w:val="auto"/>
                <w:w w:val="90"/>
              </w:rPr>
              <w:t>/s/ Laurence N. Charney</w:t>
            </w:r>
          </w:p>
        </w:tc>
        <w:tc>
          <w:tcPr>
            <w:tcW w:w="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30"/>
        </w:trPr>
        <w:tc>
          <w:tcPr>
            <w:tcW w:w="5220" w:type="dxa"/>
            <w:vAlign w:val="bottom"/>
          </w:tcPr>
          <w:p>
            <w:pPr>
              <w:jc w:val="center"/>
              <w:spacing w:after="0"/>
              <w:rPr>
                <w:sz w:val="20"/>
                <w:szCs w:val="20"/>
                <w:color w:val="auto"/>
              </w:rPr>
            </w:pPr>
            <w:r>
              <w:rPr>
                <w:rFonts w:ascii="Arial" w:cs="Arial" w:eastAsia="Arial" w:hAnsi="Arial"/>
                <w:sz w:val="18"/>
                <w:szCs w:val="18"/>
                <w:color w:val="auto"/>
                <w:w w:val="89"/>
              </w:rPr>
              <w:t>Laurence N. Charney</w:t>
            </w: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r>
        <w:trPr>
          <w:trHeight w:val="418"/>
        </w:trPr>
        <w:tc>
          <w:tcPr>
            <w:tcW w:w="5220" w:type="dxa"/>
            <w:vAlign w:val="bottom"/>
          </w:tcPr>
          <w:p>
            <w:pPr>
              <w:jc w:val="center"/>
              <w:spacing w:after="0"/>
              <w:rPr>
                <w:sz w:val="20"/>
                <w:szCs w:val="20"/>
                <w:color w:val="auto"/>
              </w:rPr>
            </w:pPr>
            <w:r>
              <w:rPr>
                <w:rFonts w:ascii="Arial" w:cs="Arial" w:eastAsia="Arial" w:hAnsi="Arial"/>
                <w:sz w:val="18"/>
                <w:szCs w:val="18"/>
                <w:color w:val="auto"/>
                <w:w w:val="88"/>
              </w:rPr>
              <w:t>/s/ Yann Echelard</w:t>
            </w:r>
          </w:p>
        </w:tc>
        <w:tc>
          <w:tcPr>
            <w:tcW w:w="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30"/>
        </w:trPr>
        <w:tc>
          <w:tcPr>
            <w:tcW w:w="5220" w:type="dxa"/>
            <w:vAlign w:val="bottom"/>
          </w:tcPr>
          <w:p>
            <w:pPr>
              <w:jc w:val="center"/>
              <w:spacing w:after="0"/>
              <w:rPr>
                <w:sz w:val="20"/>
                <w:szCs w:val="20"/>
                <w:color w:val="auto"/>
              </w:rPr>
            </w:pPr>
            <w:r>
              <w:rPr>
                <w:rFonts w:ascii="Arial" w:cs="Arial" w:eastAsia="Arial" w:hAnsi="Arial"/>
                <w:sz w:val="18"/>
                <w:szCs w:val="18"/>
                <w:color w:val="auto"/>
                <w:w w:val="89"/>
              </w:rPr>
              <w:t>Yann Echelard</w:t>
            </w: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r>
        <w:trPr>
          <w:trHeight w:val="418"/>
        </w:trPr>
        <w:tc>
          <w:tcPr>
            <w:tcW w:w="5220" w:type="dxa"/>
            <w:vAlign w:val="bottom"/>
          </w:tcPr>
          <w:p>
            <w:pPr>
              <w:jc w:val="center"/>
              <w:spacing w:after="0"/>
              <w:rPr>
                <w:sz w:val="20"/>
                <w:szCs w:val="20"/>
                <w:color w:val="auto"/>
              </w:rPr>
            </w:pPr>
            <w:r>
              <w:rPr>
                <w:rFonts w:ascii="Arial" w:cs="Arial" w:eastAsia="Arial" w:hAnsi="Arial"/>
                <w:sz w:val="18"/>
                <w:szCs w:val="18"/>
                <w:color w:val="auto"/>
                <w:w w:val="89"/>
              </w:rPr>
              <w:t>/s/ Kenneth Hoberman</w:t>
            </w:r>
          </w:p>
        </w:tc>
        <w:tc>
          <w:tcPr>
            <w:tcW w:w="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30"/>
        </w:trPr>
        <w:tc>
          <w:tcPr>
            <w:tcW w:w="5220" w:type="dxa"/>
            <w:vAlign w:val="bottom"/>
          </w:tcPr>
          <w:p>
            <w:pPr>
              <w:jc w:val="center"/>
              <w:spacing w:after="0"/>
              <w:rPr>
                <w:sz w:val="20"/>
                <w:szCs w:val="20"/>
                <w:color w:val="auto"/>
              </w:rPr>
            </w:pPr>
            <w:r>
              <w:rPr>
                <w:rFonts w:ascii="Arial" w:cs="Arial" w:eastAsia="Arial" w:hAnsi="Arial"/>
                <w:sz w:val="18"/>
                <w:szCs w:val="18"/>
                <w:color w:val="auto"/>
                <w:w w:val="90"/>
              </w:rPr>
              <w:t>Kenneth Hoberman</w:t>
            </w: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r>
        <w:trPr>
          <w:trHeight w:val="418"/>
        </w:trPr>
        <w:tc>
          <w:tcPr>
            <w:tcW w:w="5220" w:type="dxa"/>
            <w:vAlign w:val="bottom"/>
          </w:tcPr>
          <w:p>
            <w:pPr>
              <w:jc w:val="center"/>
              <w:spacing w:after="0"/>
              <w:rPr>
                <w:sz w:val="20"/>
                <w:szCs w:val="20"/>
                <w:color w:val="auto"/>
              </w:rPr>
            </w:pPr>
            <w:r>
              <w:rPr>
                <w:rFonts w:ascii="Arial" w:cs="Arial" w:eastAsia="Arial" w:hAnsi="Arial"/>
                <w:sz w:val="18"/>
                <w:szCs w:val="18"/>
                <w:color w:val="auto"/>
                <w:w w:val="92"/>
              </w:rPr>
              <w:t>/s/ Daniel Hume</w:t>
            </w:r>
          </w:p>
        </w:tc>
        <w:tc>
          <w:tcPr>
            <w:tcW w:w="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30"/>
        </w:trPr>
        <w:tc>
          <w:tcPr>
            <w:tcW w:w="5220" w:type="dxa"/>
            <w:vAlign w:val="bottom"/>
          </w:tcPr>
          <w:p>
            <w:pPr>
              <w:jc w:val="center"/>
              <w:spacing w:after="0"/>
              <w:rPr>
                <w:sz w:val="20"/>
                <w:szCs w:val="20"/>
                <w:color w:val="auto"/>
              </w:rPr>
            </w:pPr>
            <w:r>
              <w:rPr>
                <w:rFonts w:ascii="Arial" w:cs="Arial" w:eastAsia="Arial" w:hAnsi="Arial"/>
                <w:sz w:val="18"/>
                <w:szCs w:val="18"/>
                <w:color w:val="auto"/>
                <w:w w:val="94"/>
              </w:rPr>
              <w:t>Daniel Hume</w:t>
            </w: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r>
        <w:trPr>
          <w:trHeight w:val="418"/>
        </w:trPr>
        <w:tc>
          <w:tcPr>
            <w:tcW w:w="5220" w:type="dxa"/>
            <w:vAlign w:val="bottom"/>
          </w:tcPr>
          <w:p>
            <w:pPr>
              <w:jc w:val="center"/>
              <w:spacing w:after="0"/>
              <w:rPr>
                <w:sz w:val="20"/>
                <w:szCs w:val="20"/>
                <w:color w:val="auto"/>
              </w:rPr>
            </w:pPr>
            <w:r>
              <w:rPr>
                <w:rFonts w:ascii="Arial" w:cs="Arial" w:eastAsia="Arial" w:hAnsi="Arial"/>
                <w:sz w:val="18"/>
                <w:szCs w:val="18"/>
                <w:color w:val="auto"/>
                <w:w w:val="93"/>
              </w:rPr>
              <w:t>/s/ William J. Kennedy</w:t>
            </w:r>
          </w:p>
        </w:tc>
        <w:tc>
          <w:tcPr>
            <w:tcW w:w="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30"/>
        </w:trPr>
        <w:tc>
          <w:tcPr>
            <w:tcW w:w="5220" w:type="dxa"/>
            <w:vAlign w:val="bottom"/>
          </w:tcPr>
          <w:p>
            <w:pPr>
              <w:jc w:val="center"/>
              <w:spacing w:after="0"/>
              <w:rPr>
                <w:sz w:val="20"/>
                <w:szCs w:val="20"/>
                <w:color w:val="auto"/>
              </w:rPr>
            </w:pPr>
            <w:r>
              <w:rPr>
                <w:rFonts w:ascii="Arial" w:cs="Arial" w:eastAsia="Arial" w:hAnsi="Arial"/>
                <w:sz w:val="18"/>
                <w:szCs w:val="18"/>
                <w:color w:val="auto"/>
                <w:w w:val="94"/>
              </w:rPr>
              <w:t>William J. Kennedy</w:t>
            </w: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6595110" cy="26035"/>
                    </a:xfrm>
                    <a:prstGeom prst="rect">
                      <a:avLst/>
                    </a:prstGeom>
                    <a:noFill/>
                  </pic:spPr>
                </pic:pic>
              </a:graphicData>
            </a:graphic>
          </wp:anchor>
        </w:drawing>
      </w:r>
    </w:p>
    <w:p>
      <w:pPr>
        <w:sectPr>
          <w:pgSz w:w="11900" w:h="16838" w:orient="portrait"/>
          <w:cols w:equalWidth="0" w:num="1">
            <w:col w:w="10380"/>
          </w:cols>
          <w:pgMar w:left="760" w:top="517" w:right="75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SECURITIES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When used herein, the terms “we,” “our,” and “us” refer to TG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summary of the terms of our common stock may not be complete and is subject to, and qualified in its entirety by reference to, the terms and provisions of our amended and restated certificate of incorporation and our restated bylaws. You should refer to, and read this summary together with, our amended and restated certificate of incorporation and restated bylaws to review all of the terms of our common stock that may be important to you.</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Common Stock</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Under our certificate of incorporation, we are authorized to issue a total of 150,000,000 shares of common stock, par value $0.001 per share. All outstanding shares of our common stock are fully paid and nonassessable. Our common stock is listed on the Nasdaq Capital Market under the symbol “TGTX.”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Subject to the dividend rights of the holders of any outstanding series of preferred stock, holders of our common stock are entitled to receive ratably such dividends and other distributions of cash or any other right or property as may be declared by our board of directors out of our assets or funds legally available for such dividends or distributions.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holders of our common stock are entitled to one vote for each share of common stock owned by that stockholder on every matter properly submitted to the stockholders for their vote. Stockholders are not entitled to vote cumulatively for the election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Dissolution</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holders of common stock would be entitled to share ratably in our assets that are legally available for distribution to stockholders after payment of liabilities. If we have any preferred stock outstanding at such time, holders of the preferred stock may be entitled to distributions and/or liquidation preferences. In either such case, we must pay the applicable distribution to the holders of our preferred stock (if any) before we may pay distributions to the holders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Holders of our common stock have no conversion, redemption, preemptive, subscription or similar rights.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American Stock Transfer and Trust Company serves as the transfer agent and registrar for all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Preferred Stock</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Under the terms of our restated certificate of incorporation, our board of directors is authorized to issue up to 10,000,000 shares of preferred stock, par value $0.001 per share. Our board of directors may issues shares of preferred stock in one or more series without stockholder approval, and has the discretion to determine the rights, preferences, privileges and restrictions, including voting rights, dividend rights, conversion rights, redemption privileges and liquidation preferences, of each series of preferred stock. We may amend from time to time our restated certificate of incorporation to increase the number of authorized shares of preferred stock. Any such amendment would require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612140</wp:posOffset>
            </wp:positionV>
            <wp:extent cx="63887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7" w:right="919" w:bottom="1440" w:gutter="0" w:footer="0" w:header="0"/>
        </w:sectPr>
      </w:pPr>
    </w:p>
    <w:bookmarkStart w:id="123" w:name="page124"/>
    <w:bookmarkEnd w:id="123"/>
    <w:p>
      <w:pPr>
        <w:jc w:val="both"/>
        <w:spacing w:after="0" w:line="277" w:lineRule="auto"/>
        <w:rPr>
          <w:sz w:val="20"/>
          <w:szCs w:val="20"/>
          <w:color w:val="auto"/>
        </w:rPr>
      </w:pPr>
      <w:r>
        <w:rPr>
          <w:rFonts w:ascii="Arial" w:cs="Arial" w:eastAsia="Arial" w:hAnsi="Arial"/>
          <w:sz w:val="18"/>
          <w:szCs w:val="18"/>
          <w:color w:val="auto"/>
        </w:rPr>
        <w:t>approval of the holders of a majority of the voting power of the shares entitled to vote thereon. As of the current date, we have 10,000,000 shares of preferred shares authorized, but no shares of preferred stock outstanding.</w:t>
      </w:r>
    </w:p>
    <w:p>
      <w:pPr>
        <w:spacing w:after="0" w:line="170" w:lineRule="exact"/>
        <w:rPr>
          <w:sz w:val="20"/>
          <w:szCs w:val="20"/>
          <w:color w:val="auto"/>
        </w:rPr>
      </w:pPr>
    </w:p>
    <w:p>
      <w:pPr>
        <w:jc w:val="both"/>
        <w:ind w:firstLine="536"/>
        <w:spacing w:after="0" w:line="297" w:lineRule="auto"/>
        <w:rPr>
          <w:sz w:val="20"/>
          <w:szCs w:val="20"/>
          <w:color w:val="auto"/>
        </w:rPr>
      </w:pPr>
      <w:r>
        <w:rPr>
          <w:rFonts w:ascii="Arial" w:cs="Arial" w:eastAsia="Arial" w:hAnsi="Arial"/>
          <w:sz w:val="16"/>
          <w:szCs w:val="16"/>
          <w:color w:val="auto"/>
        </w:rPr>
        <w:t>It is not possible to state the actual effect of the issuance of any shares of preferred stock upon the rights of the holders of common stock until the board of directors determines the specific rights of the holders of preferred stock. However, effects of the issuance of preferred stock include restricting dividends on common stock, diluting the voting power of common stock, impairing the liquidation rights of common stock, and making it more difficult for a third party to acquire us, which could have the effect of discouraging a third party from acquiring, or deterring a third party from paying a premium to acquire, a majority of our outstanding voting stock.</w:t>
      </w:r>
    </w:p>
    <w:p>
      <w:pPr>
        <w:spacing w:after="0" w:line="15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particular terms of any series of preferred stock being offered by us will be described in the applicable prospectus supplement relating to that series of preferred stock. Those terms may include: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title and liquidation preference per share of the preferred stock and the number of shares offered;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purchase price of the preferred stock;</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dividend rate (or method of calculation);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dates on which dividends will be paid and the date from which dividends will begin to accumulate;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redemption or sinking fund provisions of the preferred stock;</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listing of the preferred stock on any securities exchange or market;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conversion provisions of the preferred stock;</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voting rights, if any, of the preferred stock; and</w:t>
      </w:r>
    </w:p>
    <w:p>
      <w:pPr>
        <w:spacing w:after="0" w:line="225" w:lineRule="exact"/>
        <w:rPr>
          <w:sz w:val="20"/>
          <w:szCs w:val="20"/>
          <w:color w:val="auto"/>
        </w:rPr>
      </w:pPr>
    </w:p>
    <w:p>
      <w:pPr>
        <w:ind w:left="640" w:firstLine="314"/>
        <w:spacing w:after="0" w:line="277" w:lineRule="auto"/>
        <w:rPr>
          <w:sz w:val="20"/>
          <w:szCs w:val="20"/>
          <w:color w:val="auto"/>
        </w:rPr>
      </w:pPr>
      <w:r>
        <w:rPr>
          <w:rFonts w:ascii="Arial" w:cs="Arial" w:eastAsia="Arial" w:hAnsi="Arial"/>
          <w:sz w:val="18"/>
          <w:szCs w:val="18"/>
          <w:color w:val="auto"/>
        </w:rPr>
        <w:t>any additional dividend, liquidation, redemption, sinking fund and other rights, preferences, privileges, limitations and restrictions of the preferred stock.</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preferred stock will, when issued, be fully paid and non-assessable.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WARRANTS</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may issue warrants to purchase shares of our common stock and/or preferred stock in one or more series together with other securities or separately, as described in each applicable prospectus supplement.</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prospectus supplement relating to any warrants we offer will include specific terms relating to the offering. These terms will include some or all of the following:</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title of the warrants;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aggregate number of warrants offered;</w:t>
      </w:r>
    </w:p>
    <w:p>
      <w:pPr>
        <w:spacing w:after="0" w:line="225" w:lineRule="exact"/>
        <w:rPr>
          <w:sz w:val="20"/>
          <w:szCs w:val="20"/>
          <w:color w:val="auto"/>
        </w:rPr>
      </w:pPr>
    </w:p>
    <w:p>
      <w:pPr>
        <w:ind w:left="640" w:firstLine="99"/>
        <w:spacing w:after="0" w:line="277" w:lineRule="auto"/>
        <w:rPr>
          <w:sz w:val="20"/>
          <w:szCs w:val="20"/>
          <w:color w:val="auto"/>
        </w:rPr>
      </w:pPr>
      <w:r>
        <w:rPr>
          <w:rFonts w:ascii="Arial" w:cs="Arial" w:eastAsia="Arial" w:hAnsi="Arial"/>
          <w:sz w:val="18"/>
          <w:szCs w:val="18"/>
          <w:color w:val="auto"/>
        </w:rPr>
        <w:t>the designation, number and terms of the shares of common stock purchasable upon exercise of the warrants and procedures by which those numbers may be adjusted;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exercise price of the warrants;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dates or periods during which the warrants are exercisable;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designation and terms of any securities with which the warrants are issued;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57" w:right="919" w:bottom="1440" w:gutter="0" w:footer="0" w:header="0"/>
        </w:sectPr>
      </w:pPr>
    </w:p>
    <w:bookmarkStart w:id="124" w:name="page125"/>
    <w:bookmarkEnd w:id="124"/>
    <w:p>
      <w:pPr>
        <w:ind w:left="640" w:right="240" w:firstLine="54"/>
        <w:spacing w:after="0" w:line="277" w:lineRule="auto"/>
        <w:rPr>
          <w:sz w:val="20"/>
          <w:szCs w:val="20"/>
          <w:color w:val="auto"/>
        </w:rPr>
      </w:pPr>
      <w:r>
        <w:rPr>
          <w:rFonts w:ascii="Arial" w:cs="Arial" w:eastAsia="Arial" w:hAnsi="Arial"/>
          <w:sz w:val="18"/>
          <w:szCs w:val="18"/>
          <w:color w:val="auto"/>
        </w:rPr>
        <w:t>if the warrants are issued as a unit with another security, the date on and after which the warrants and the other security will be separately transferable;</w:t>
      </w:r>
    </w:p>
    <w:p>
      <w:pPr>
        <w:spacing w:after="0" w:line="170" w:lineRule="exact"/>
        <w:rPr>
          <w:sz w:val="20"/>
          <w:szCs w:val="20"/>
          <w:color w:val="auto"/>
        </w:rPr>
      </w:pPr>
    </w:p>
    <w:p>
      <w:pPr>
        <w:ind w:left="640" w:firstLine="54"/>
        <w:spacing w:after="0" w:line="277" w:lineRule="auto"/>
        <w:rPr>
          <w:sz w:val="20"/>
          <w:szCs w:val="20"/>
          <w:color w:val="auto"/>
        </w:rPr>
      </w:pPr>
      <w:r>
        <w:rPr>
          <w:rFonts w:ascii="Arial" w:cs="Arial" w:eastAsia="Arial" w:hAnsi="Arial"/>
          <w:sz w:val="18"/>
          <w:szCs w:val="18"/>
          <w:color w:val="auto"/>
        </w:rPr>
        <w:t>if the exercise price is not payable in U.S. dollars, the foreign currency, currency unit or composite currency in which the exercise price is denominated;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minimum or maximum amount of warrants that may be exercised at any one time;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terms relating to the modification of the warrants;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terms, procedures and limitations relating to the transferability, exchange or exercise of the warrants; and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other specific terms of the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may offer debt securities which may be senior, subordinated or junior subordinated and may be convertible. Unless otherwise specified in the applicable prospectus supplement, our debt securities will be issued in one or more series under an indenture to be entered into between us and a trustee. We will issue the debt securities offered by any prospectus supplement under an indenture to be entered into between us and the trustee identified in the applicable prospectus supplement. The terms of the debt securities will include those stated in the indenture and those made part of the indenture by reference to the Trust Indenture Act of 1939, as in effect on the date of the indenture. The indenture will be subject to and governed by the terms of the Trust Indenture Act of 1939.</w:t>
      </w:r>
    </w:p>
    <w:p>
      <w:pPr>
        <w:spacing w:after="0" w:line="16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following description briefly sets forth certain general terms and provisions of the debt securities that we may offer. The particular terms of the debt securities offered by any prospectus supplement and the extent, if any, to which these general provisions may apply to the debt securities, will be described in the related prospectus supplement. Accordingly, for a description of the terms of a particular issue of debt securities, reference must be made to both the related prospectus supplement and to the following description.</w:t>
      </w:r>
    </w:p>
    <w:p>
      <w:pPr>
        <w:spacing w:after="0" w:line="15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aggregate principal amount of debt securities that may be issued under the indenture is unlimited. The debt securities may be issued in one or more series as may be authorized from time to time pursuant to a supplemental indenture entered into between us and the trustee or an order delivered by us to the trustee. For each series of debt securities we offer, a prospectus supplement will describe the following terms and conditions of the series of debt securities that we are offering, to the extent applicable: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title and aggregate principal amount;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whether the debt securities will be senior, subordinated or junior subordinated;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applicable subordination provisions, if any;</w:t>
      </w:r>
    </w:p>
    <w:p>
      <w:pPr>
        <w:spacing w:after="0" w:line="225" w:lineRule="exact"/>
        <w:rPr>
          <w:sz w:val="20"/>
          <w:szCs w:val="20"/>
          <w:color w:val="auto"/>
        </w:rPr>
      </w:pPr>
    </w:p>
    <w:p>
      <w:pPr>
        <w:ind w:left="640" w:right="520" w:firstLine="54"/>
        <w:spacing w:after="0" w:line="277" w:lineRule="auto"/>
        <w:rPr>
          <w:sz w:val="20"/>
          <w:szCs w:val="20"/>
          <w:color w:val="auto"/>
        </w:rPr>
      </w:pPr>
      <w:r>
        <w:rPr>
          <w:rFonts w:ascii="Arial" w:cs="Arial" w:eastAsia="Arial" w:hAnsi="Arial"/>
          <w:sz w:val="18"/>
          <w:szCs w:val="18"/>
          <w:color w:val="auto"/>
        </w:rPr>
        <w:t>provisions regarding whether the debt securities will be convertible or exchangeable into other securities or property of the Company or any other person;</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percentage or percentages of principal amount at which the debt securities will be issued;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maturity date(s);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rate(s) or the method for determining the interest rate(s);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25" w:name="page126"/>
    <w:bookmarkEnd w:id="125"/>
    <w:p>
      <w:pPr>
        <w:ind w:left="180"/>
        <w:spacing w:after="0"/>
        <w:rPr>
          <w:sz w:val="20"/>
          <w:szCs w:val="20"/>
          <w:color w:val="auto"/>
        </w:rPr>
      </w:pPr>
      <w:r>
        <w:rPr>
          <w:rFonts w:ascii="Arial" w:cs="Arial" w:eastAsia="Arial" w:hAnsi="Arial"/>
          <w:sz w:val="18"/>
          <w:szCs w:val="18"/>
          <w:color w:val="auto"/>
        </w:rPr>
        <w:t>whether interest on the debt securities will be payable in cash or additional debt securities of the same series;</w:t>
      </w:r>
    </w:p>
    <w:p>
      <w:pPr>
        <w:spacing w:after="0" w:line="225" w:lineRule="exact"/>
        <w:rPr>
          <w:sz w:val="20"/>
          <w:szCs w:val="20"/>
          <w:color w:val="auto"/>
        </w:rPr>
      </w:pPr>
    </w:p>
    <w:p>
      <w:pPr>
        <w:ind w:left="120" w:right="100" w:firstLine="54"/>
        <w:spacing w:after="0" w:line="277" w:lineRule="auto"/>
        <w:rPr>
          <w:sz w:val="20"/>
          <w:szCs w:val="20"/>
          <w:color w:val="auto"/>
        </w:rPr>
      </w:pPr>
      <w:r>
        <w:rPr>
          <w:rFonts w:ascii="Arial" w:cs="Arial" w:eastAsia="Arial" w:hAnsi="Arial"/>
          <w:sz w:val="18"/>
          <w:szCs w:val="18"/>
          <w:color w:val="auto"/>
        </w:rPr>
        <w:t>dates on which interest will accrue or the method for determining dates on which interest will accrue and dates on which interest will be payable;</w:t>
      </w:r>
    </w:p>
    <w:p>
      <w:pPr>
        <w:spacing w:after="0" w:line="170" w:lineRule="exact"/>
        <w:rPr>
          <w:sz w:val="20"/>
          <w:szCs w:val="20"/>
          <w:color w:val="auto"/>
        </w:rPr>
      </w:pPr>
    </w:p>
    <w:p>
      <w:pPr>
        <w:ind w:left="120" w:right="580" w:firstLine="54"/>
        <w:spacing w:after="0" w:line="277" w:lineRule="auto"/>
        <w:rPr>
          <w:sz w:val="20"/>
          <w:szCs w:val="20"/>
          <w:color w:val="auto"/>
        </w:rPr>
      </w:pPr>
      <w:r>
        <w:rPr>
          <w:rFonts w:ascii="Arial" w:cs="Arial" w:eastAsia="Arial" w:hAnsi="Arial"/>
          <w:sz w:val="18"/>
          <w:szCs w:val="18"/>
          <w:color w:val="auto"/>
        </w:rPr>
        <w:t>whether the amount of payment of principal of, premium, if any, or interest on the debt securities may be determined with reference to an index, formula or other method;</w:t>
      </w:r>
    </w:p>
    <w:p>
      <w:pPr>
        <w:spacing w:after="0" w:line="170" w:lineRule="exact"/>
        <w:rPr>
          <w:sz w:val="20"/>
          <w:szCs w:val="20"/>
          <w:color w:val="auto"/>
        </w:rPr>
      </w:pPr>
    </w:p>
    <w:p>
      <w:pPr>
        <w:ind w:left="120" w:right="580" w:firstLine="54"/>
        <w:spacing w:after="0" w:line="277" w:lineRule="auto"/>
        <w:rPr>
          <w:sz w:val="20"/>
          <w:szCs w:val="20"/>
          <w:color w:val="auto"/>
        </w:rPr>
      </w:pPr>
      <w:r>
        <w:rPr>
          <w:rFonts w:ascii="Arial" w:cs="Arial" w:eastAsia="Arial" w:hAnsi="Arial"/>
          <w:sz w:val="18"/>
          <w:szCs w:val="18"/>
          <w:color w:val="auto"/>
        </w:rPr>
        <w:t>redemption, repurchase or early repayment provisions, including our obligation or right to redeem, purchase or repay debt securities under a sinking fund, amortization or analogous provision;</w:t>
      </w:r>
    </w:p>
    <w:p>
      <w:pPr>
        <w:spacing w:after="0" w:line="170" w:lineRule="exact"/>
        <w:rPr>
          <w:sz w:val="20"/>
          <w:szCs w:val="20"/>
          <w:color w:val="auto"/>
        </w:rPr>
      </w:pPr>
    </w:p>
    <w:p>
      <w:pPr>
        <w:ind w:left="120" w:right="200" w:firstLine="54"/>
        <w:spacing w:after="0" w:line="277" w:lineRule="auto"/>
        <w:rPr>
          <w:sz w:val="20"/>
          <w:szCs w:val="20"/>
          <w:color w:val="auto"/>
        </w:rPr>
      </w:pPr>
      <w:r>
        <w:rPr>
          <w:rFonts w:ascii="Arial" w:cs="Arial" w:eastAsia="Arial" w:hAnsi="Arial"/>
          <w:sz w:val="18"/>
          <w:szCs w:val="18"/>
          <w:color w:val="auto"/>
        </w:rPr>
        <w:t>if other than the debt securities’ principal amount, the portion of the principal amount of the debt securities that will be payable upon declaration of acceleration of the maturity;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authorized denominations;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form;</w:t>
      </w:r>
    </w:p>
    <w:p>
      <w:pPr>
        <w:spacing w:after="0" w:line="225" w:lineRule="exact"/>
        <w:rPr>
          <w:sz w:val="20"/>
          <w:szCs w:val="20"/>
          <w:color w:val="auto"/>
        </w:rPr>
      </w:pPr>
    </w:p>
    <w:p>
      <w:pPr>
        <w:ind w:left="120" w:right="40" w:firstLine="54"/>
        <w:spacing w:after="0" w:line="277" w:lineRule="auto"/>
        <w:rPr>
          <w:sz w:val="20"/>
          <w:szCs w:val="20"/>
          <w:color w:val="auto"/>
        </w:rPr>
      </w:pPr>
      <w:r>
        <w:rPr>
          <w:rFonts w:ascii="Arial" w:cs="Arial" w:eastAsia="Arial" w:hAnsi="Arial"/>
          <w:sz w:val="18"/>
          <w:szCs w:val="18"/>
          <w:color w:val="auto"/>
        </w:rPr>
        <w:t>amount of discount or premium, if any, with which the debt securities will be issued, including whether the debt securities will be issued as “original issue discount” securities;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place or places where the principal of, premium, if any, and interest on the debt securities will be payable;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where the debt securities may be presented for registration of transfer, exchange or conversion;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place or places where notices and demands to or upon the Company in respect of the debt securities may be made;</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whether the debt securities will be issued in whole or in part in the form of one or more global securities;</w:t>
      </w:r>
    </w:p>
    <w:p>
      <w:pPr>
        <w:spacing w:after="0" w:line="225" w:lineRule="exact"/>
        <w:rPr>
          <w:sz w:val="20"/>
          <w:szCs w:val="20"/>
          <w:color w:val="auto"/>
        </w:rPr>
      </w:pPr>
    </w:p>
    <w:p>
      <w:pPr>
        <w:ind w:left="120" w:firstLine="54"/>
        <w:spacing w:after="0" w:line="286" w:lineRule="auto"/>
        <w:rPr>
          <w:sz w:val="20"/>
          <w:szCs w:val="20"/>
          <w:color w:val="auto"/>
        </w:rPr>
      </w:pPr>
      <w:r>
        <w:rPr>
          <w:rFonts w:ascii="Arial" w:cs="Arial" w:eastAsia="Arial" w:hAnsi="Arial"/>
          <w:sz w:val="17"/>
          <w:szCs w:val="17"/>
          <w:color w:val="auto"/>
        </w:rPr>
        <w:t>if the debt securities will be issued in whole or in part in the form of a book-entry security, the depository or its nominee with respect to the debt securities and the circumstances under which the book-entry security may be registered for transfer or exchange or authenticated and delivered in the name of a person other than the depository or its nominee;</w:t>
      </w:r>
    </w:p>
    <w:p>
      <w:pPr>
        <w:spacing w:after="0" w:line="166" w:lineRule="exact"/>
        <w:rPr>
          <w:sz w:val="20"/>
          <w:szCs w:val="20"/>
          <w:color w:val="auto"/>
        </w:rPr>
      </w:pPr>
    </w:p>
    <w:p>
      <w:pPr>
        <w:ind w:left="120" w:right="160" w:firstLine="54"/>
        <w:spacing w:after="0" w:line="277" w:lineRule="auto"/>
        <w:rPr>
          <w:sz w:val="20"/>
          <w:szCs w:val="20"/>
          <w:color w:val="auto"/>
        </w:rPr>
      </w:pPr>
      <w:r>
        <w:rPr>
          <w:rFonts w:ascii="Arial" w:cs="Arial" w:eastAsia="Arial" w:hAnsi="Arial"/>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170" w:lineRule="exact"/>
        <w:rPr>
          <w:sz w:val="20"/>
          <w:szCs w:val="20"/>
          <w:color w:val="auto"/>
        </w:rPr>
      </w:pPr>
    </w:p>
    <w:p>
      <w:pPr>
        <w:ind w:left="120" w:right="440" w:firstLine="54"/>
        <w:spacing w:after="0" w:line="277" w:lineRule="auto"/>
        <w:rPr>
          <w:sz w:val="20"/>
          <w:szCs w:val="20"/>
          <w:color w:val="auto"/>
        </w:rPr>
      </w:pPr>
      <w:r>
        <w:rPr>
          <w:rFonts w:ascii="Arial" w:cs="Arial" w:eastAsia="Arial" w:hAnsi="Arial"/>
          <w:sz w:val="18"/>
          <w:szCs w:val="18"/>
          <w:color w:val="auto"/>
        </w:rPr>
        <w:t>the terms upon which beneficial interests in a temporary global security may be exchanged in whole or in part for beneficial interests in a definitive global security or for individual definitive securities;</w:t>
      </w:r>
    </w:p>
    <w:p>
      <w:pPr>
        <w:spacing w:after="0" w:line="170" w:lineRule="exact"/>
        <w:rPr>
          <w:sz w:val="20"/>
          <w:szCs w:val="20"/>
          <w:color w:val="auto"/>
        </w:rPr>
      </w:pPr>
    </w:p>
    <w:p>
      <w:pPr>
        <w:ind w:left="120" w:right="180" w:firstLine="54"/>
        <w:spacing w:after="0" w:line="277" w:lineRule="auto"/>
        <w:rPr>
          <w:sz w:val="20"/>
          <w:szCs w:val="20"/>
          <w:color w:val="auto"/>
        </w:rPr>
      </w:pPr>
      <w:r>
        <w:rPr>
          <w:rFonts w:ascii="Arial" w:cs="Arial" w:eastAsia="Arial" w:hAnsi="Arial"/>
          <w:sz w:val="18"/>
          <w:szCs w:val="18"/>
          <w:color w:val="auto"/>
        </w:rPr>
        <w:t>the guarantors, if any, of the debt securities, and the extent of the guarantees and any additions or changes to permit or facilitate guarantees of such debt securities;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any covenants applicable to the particular debt securities being issued;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any defaults and events of default applicable to the debt securities, including the remedies available in connection therewith;</w:t>
      </w:r>
    </w:p>
    <w:p>
      <w:pPr>
        <w:spacing w:after="0" w:line="237" w:lineRule="exact"/>
        <w:rPr>
          <w:sz w:val="20"/>
          <w:szCs w:val="20"/>
          <w:color w:val="auto"/>
        </w:rPr>
      </w:pPr>
    </w:p>
    <w:p>
      <w:pPr>
        <w:ind w:left="120" w:right="60" w:firstLine="54"/>
        <w:spacing w:after="0" w:line="277" w:lineRule="auto"/>
        <w:rPr>
          <w:sz w:val="20"/>
          <w:szCs w:val="20"/>
          <w:color w:val="auto"/>
        </w:rPr>
      </w:pPr>
      <w:r>
        <w:rPr>
          <w:rFonts w:ascii="Arial" w:cs="Arial" w:eastAsia="Arial" w:hAnsi="Arial"/>
          <w:sz w:val="18"/>
          <w:szCs w:val="18"/>
          <w:color w:val="auto"/>
        </w:rPr>
        <w:t>currency, currencies or currency units in which the purchase price for, the principal of and any premium and any interest on, such debt securities will be payable;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358140</wp:posOffset>
            </wp:positionV>
            <wp:extent cx="6388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41" w:right="919" w:bottom="1440" w:gutter="0" w:footer="0" w:header="0"/>
        </w:sectPr>
      </w:pPr>
    </w:p>
    <w:bookmarkStart w:id="126" w:name="page127"/>
    <w:bookmarkEnd w:id="126"/>
    <w:p>
      <w:pPr>
        <w:ind w:left="640" w:right="300" w:firstLine="54"/>
        <w:spacing w:after="0" w:line="277" w:lineRule="auto"/>
        <w:rPr>
          <w:sz w:val="20"/>
          <w:szCs w:val="20"/>
          <w:color w:val="auto"/>
        </w:rPr>
      </w:pPr>
      <w:r>
        <w:rPr>
          <w:rFonts w:ascii="Arial" w:cs="Arial" w:eastAsia="Arial" w:hAnsi="Arial"/>
          <w:sz w:val="18"/>
          <w:szCs w:val="18"/>
          <w:color w:val="auto"/>
        </w:rPr>
        <w:t>time period within which, the manner in which and the terms and conditions upon which the Company or the purchaser of the debt securities can select the payment currency;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securities exchange(s) on which the debt securities will be listed, if any;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whether any underwriter(s) will act as market maker(s) for the debt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extent to which a secondary market for the debt securities is expected to develop;</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provisions relating to defeasance;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provisions relating to satisfaction and discharge of the indenture;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restrictions or conditions on the transferability of the debt securities;</w:t>
      </w:r>
    </w:p>
    <w:p>
      <w:pPr>
        <w:spacing w:after="0" w:line="225" w:lineRule="exact"/>
        <w:rPr>
          <w:sz w:val="20"/>
          <w:szCs w:val="20"/>
          <w:color w:val="auto"/>
        </w:rPr>
      </w:pPr>
    </w:p>
    <w:p>
      <w:pPr>
        <w:ind w:left="640" w:right="380" w:firstLine="54"/>
        <w:spacing w:after="0" w:line="277" w:lineRule="auto"/>
        <w:rPr>
          <w:sz w:val="20"/>
          <w:szCs w:val="20"/>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addition or change in the provisions related to compensation and reimbursement of the trustee;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provisions, if any, granting special rights to holders upon the occurrence of specified events;</w:t>
      </w:r>
    </w:p>
    <w:p>
      <w:pPr>
        <w:spacing w:after="0" w:line="225" w:lineRule="exact"/>
        <w:rPr>
          <w:sz w:val="20"/>
          <w:szCs w:val="20"/>
          <w:color w:val="auto"/>
        </w:rPr>
      </w:pPr>
    </w:p>
    <w:p>
      <w:pPr>
        <w:ind w:left="640" w:right="60" w:firstLine="54"/>
        <w:spacing w:after="0" w:line="277" w:lineRule="auto"/>
        <w:rPr>
          <w:sz w:val="20"/>
          <w:szCs w:val="20"/>
          <w:color w:val="auto"/>
        </w:rPr>
      </w:pPr>
      <w:r>
        <w:rPr>
          <w:rFonts w:ascii="Arial" w:cs="Arial" w:eastAsia="Arial" w:hAnsi="Arial"/>
          <w:sz w:val="18"/>
          <w:szCs w:val="18"/>
          <w:color w:val="auto"/>
        </w:rPr>
        <w:t>whether the debt securities will be secured or unsecured, and, if secured, the terms upon which the debt securities will be secured and any other additions or changes relating to such security; and</w:t>
      </w:r>
    </w:p>
    <w:p>
      <w:pPr>
        <w:spacing w:after="0" w:line="170" w:lineRule="exact"/>
        <w:rPr>
          <w:sz w:val="20"/>
          <w:szCs w:val="20"/>
          <w:color w:val="auto"/>
        </w:rPr>
      </w:pPr>
    </w:p>
    <w:p>
      <w:pPr>
        <w:ind w:left="640" w:right="300" w:firstLine="54"/>
        <w:spacing w:after="0" w:line="308" w:lineRule="auto"/>
        <w:rPr>
          <w:sz w:val="20"/>
          <w:szCs w:val="20"/>
          <w:color w:val="auto"/>
        </w:rPr>
      </w:pPr>
      <w:r>
        <w:rPr>
          <w:rFonts w:ascii="Arial" w:cs="Arial" w:eastAsia="Arial" w:hAnsi="Arial"/>
          <w:sz w:val="17"/>
          <w:szCs w:val="17"/>
          <w:color w:val="auto"/>
        </w:rPr>
        <w:t>any other terms of the debt securities that are not inconsistent with the provisions of the Trust Indenture Act (but may modify, amend, supplement or delete any of the terms of the indenture with respect to such series of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One or more series of debt securities may be sold as “original issue discount” securities. These debt securities would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w:t>
      </w:r>
    </w:p>
    <w:p>
      <w:pPr>
        <w:spacing w:after="0" w:line="14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the applicable prospectus supplement.</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Debt securities may be issued where the amount of principal and/or interest payable is determined by reference to one or more currency exchange rates, commodity prices, equity indices or other factors. Holders of such debt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w:t>
      </w:r>
    </w:p>
    <w:p>
      <w:pPr>
        <w:spacing w:after="0" w:line="18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term “debt securities” includes debt securities denominated in U.S. dollars or, if specified in the applicable prospectus supplement, in any other freely transferable currency or units based on or relating to foreign currencies.</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expect most debt securities to be issued in fully registered form without coupons and in denominations of $2,000 and any integral multiples thereof. Subject to the limitations provided in the indenture and in the prospectus supplement, debt securities that are issued in registered form may be transferred or exchanged at the principal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41" w:right="919" w:bottom="1440" w:gutter="0" w:footer="0" w:header="0"/>
        </w:sectPr>
      </w:pPr>
    </w:p>
    <w:bookmarkStart w:id="127" w:name="page128"/>
    <w:bookmarkEnd w:id="127"/>
    <w:p>
      <w:pPr>
        <w:jc w:val="both"/>
        <w:spacing w:after="0" w:line="277" w:lineRule="auto"/>
        <w:rPr>
          <w:sz w:val="20"/>
          <w:szCs w:val="20"/>
          <w:color w:val="auto"/>
        </w:rPr>
      </w:pPr>
      <w:r>
        <w:rPr>
          <w:rFonts w:ascii="Arial" w:cs="Arial" w:eastAsia="Arial" w:hAnsi="Arial"/>
          <w:sz w:val="18"/>
          <w:szCs w:val="18"/>
          <w:color w:val="auto"/>
        </w:rPr>
        <w:t>corporate trust office of the trustee, without the payment of any service charge, other than any tax or other governmental charge payable in connection therewith.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debt securities of a series may be issued in whole or in part in the form of one or more global securities that will be deposited with, or on behalf of, a depositary identified in the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indenture and the debt securities shall be construed in accordance with and governed by the laws of the State of New York.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may issue, in one more series, units comprised of shares of our common stock or preferred stock, warrants to purchase common stock or preferred stock, debt securities or any combination of those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may evidence units by unit certificates that we issue under a separate agreement. We may issue the units under a unit agreement between us and one or more unit agents. If we elect to enter into a unit agreement with a unit agent, the unit agent will act solely as our agent in connection with the units and will not assume any obligation or relationship of agency or trust for or with any registered holders of units or beneficial owners of units. We will indicate the name and address and other information regarding the unit agent in the applicable prospectus supplement relating to a particular series of units if we elect to use a unit agent.</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40" w:firstLine="64"/>
        <w:spacing w:after="0" w:line="277" w:lineRule="auto"/>
        <w:rPr>
          <w:sz w:val="20"/>
          <w:szCs w:val="20"/>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provisions of the governing unit agreement that differ from those described herein; and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any provisions for the issuance, payment, settlement, transfer or exchange of the units or of the securities comprising the units.</w:t>
      </w:r>
    </w:p>
    <w:p>
      <w:pPr>
        <w:spacing w:after="0" w:line="248"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other provisions regarding our common stock, preferred stock, warrants and debt securities as described in this section will apply to each unit to the extent such unit consists of shares of our common stock, preferred stock, warrants and/or debt securities.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557" w:right="9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of TG Therapeutics, Inc.</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Ariston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TG Biologics,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TG Therapeutics AUS Pty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63887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We consent to the incorporation by reference in registration statement Nos. 333</w:t>
      </w:r>
      <w:r>
        <w:rPr>
          <w:rFonts w:ascii="MS PGothic" w:cs="MS PGothic" w:eastAsia="MS PGothic" w:hAnsi="MS PGothic"/>
          <w:sz w:val="18"/>
          <w:szCs w:val="18"/>
          <w:color w:val="auto"/>
        </w:rPr>
        <w:t>‑</w:t>
      </w:r>
      <w:r>
        <w:rPr>
          <w:rFonts w:ascii="Arial" w:cs="Arial" w:eastAsia="Arial" w:hAnsi="Arial"/>
          <w:sz w:val="18"/>
          <w:szCs w:val="18"/>
          <w:color w:val="auto"/>
        </w:rPr>
        <w:t>181439, 333</w:t>
      </w:r>
      <w:r>
        <w:rPr>
          <w:rFonts w:ascii="MS PGothic" w:cs="MS PGothic" w:eastAsia="MS PGothic" w:hAnsi="MS PGothic"/>
          <w:sz w:val="18"/>
          <w:szCs w:val="18"/>
          <w:color w:val="auto"/>
        </w:rPr>
        <w:t>‑</w:t>
      </w:r>
      <w:r>
        <w:rPr>
          <w:rFonts w:ascii="Arial" w:cs="Arial" w:eastAsia="Arial" w:hAnsi="Arial"/>
          <w:sz w:val="18"/>
          <w:szCs w:val="18"/>
          <w:color w:val="auto"/>
        </w:rPr>
        <w:t>210227 and 333</w:t>
      </w:r>
      <w:r>
        <w:rPr>
          <w:rFonts w:ascii="MS PGothic" w:cs="MS PGothic" w:eastAsia="MS PGothic" w:hAnsi="MS PGothic"/>
          <w:sz w:val="18"/>
          <w:szCs w:val="18"/>
          <w:color w:val="auto"/>
        </w:rPr>
        <w:t>‑</w:t>
      </w:r>
      <w:r>
        <w:rPr>
          <w:rFonts w:ascii="Arial" w:cs="Arial" w:eastAsia="Arial" w:hAnsi="Arial"/>
          <w:sz w:val="18"/>
          <w:szCs w:val="18"/>
          <w:color w:val="auto"/>
        </w:rPr>
        <w:t>225868 on Form S</w:t>
      </w:r>
      <w:r>
        <w:rPr>
          <w:rFonts w:ascii="MS PGothic" w:cs="MS PGothic" w:eastAsia="MS PGothic" w:hAnsi="MS PGothic"/>
          <w:sz w:val="18"/>
          <w:szCs w:val="18"/>
          <w:color w:val="auto"/>
        </w:rPr>
        <w:t>‑</w:t>
      </w:r>
      <w:r>
        <w:rPr>
          <w:rFonts w:ascii="Arial" w:cs="Arial" w:eastAsia="Arial" w:hAnsi="Arial"/>
          <w:sz w:val="18"/>
          <w:szCs w:val="18"/>
          <w:color w:val="auto"/>
        </w:rPr>
        <w:t>8 and registration statement Nos. 333</w:t>
      </w:r>
      <w:r>
        <w:rPr>
          <w:rFonts w:ascii="MS PGothic" w:cs="MS PGothic" w:eastAsia="MS PGothic" w:hAnsi="MS PGothic"/>
          <w:sz w:val="18"/>
          <w:szCs w:val="18"/>
          <w:color w:val="auto"/>
        </w:rPr>
        <w:t>‑</w:t>
      </w:r>
      <w:r>
        <w:rPr>
          <w:rFonts w:ascii="Arial" w:cs="Arial" w:eastAsia="Arial" w:hAnsi="Arial"/>
          <w:sz w:val="18"/>
          <w:szCs w:val="18"/>
          <w:color w:val="auto"/>
        </w:rPr>
        <w:t>233636 333</w:t>
      </w:r>
      <w:r>
        <w:rPr>
          <w:rFonts w:ascii="MS PGothic" w:cs="MS PGothic" w:eastAsia="MS PGothic" w:hAnsi="MS PGothic"/>
          <w:sz w:val="18"/>
          <w:szCs w:val="18"/>
          <w:color w:val="auto"/>
        </w:rPr>
        <w:t>‑</w:t>
      </w:r>
      <w:r>
        <w:rPr>
          <w:rFonts w:ascii="Arial" w:cs="Arial" w:eastAsia="Arial" w:hAnsi="Arial"/>
          <w:sz w:val="18"/>
          <w:szCs w:val="18"/>
          <w:color w:val="auto"/>
        </w:rPr>
        <w:t>218293 and 333</w:t>
      </w:r>
      <w:r>
        <w:rPr>
          <w:rFonts w:ascii="MS PGothic" w:cs="MS PGothic" w:eastAsia="MS PGothic" w:hAnsi="MS PGothic"/>
          <w:sz w:val="18"/>
          <w:szCs w:val="18"/>
          <w:color w:val="auto"/>
        </w:rPr>
        <w:t>‑</w:t>
      </w:r>
      <w:r>
        <w:rPr>
          <w:rFonts w:ascii="Arial" w:cs="Arial" w:eastAsia="Arial" w:hAnsi="Arial"/>
          <w:sz w:val="18"/>
          <w:szCs w:val="18"/>
          <w:color w:val="auto"/>
        </w:rPr>
        <w:t>226097 on Form S</w:t>
      </w:r>
      <w:r>
        <w:rPr>
          <w:rFonts w:ascii="MS PGothic" w:cs="MS PGothic" w:eastAsia="MS PGothic" w:hAnsi="MS PGothic"/>
          <w:sz w:val="18"/>
          <w:szCs w:val="18"/>
          <w:color w:val="auto"/>
        </w:rPr>
        <w:t>‑</w:t>
      </w:r>
      <w:r>
        <w:rPr>
          <w:rFonts w:ascii="Arial" w:cs="Arial" w:eastAsia="Arial" w:hAnsi="Arial"/>
          <w:sz w:val="18"/>
          <w:szCs w:val="18"/>
          <w:color w:val="auto"/>
        </w:rPr>
        <w:t>3 of TG Therapeutics, Inc. of our report dated March 2, 2020 on our audits of the consolidated financial statements of TG Therapeutics, Inc. and Subsidiaries as of December 31, 2019 and 2018, and for each of the three years in the period ended December 31, 2019, and our report on our audit of internal control over financial reporting of TG Therapeutics, Inc. and Subsidiaries as of December 31, 2019, dated March 2, 2020, included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TG Therapeutics, Inc. and Subsidiaries for the year ended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494665</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20" w:hanging="317"/>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225" w:lineRule="exact"/>
        <w:rPr>
          <w:rFonts w:ascii="Arial" w:cs="Arial" w:eastAsia="Arial" w:hAnsi="Arial"/>
          <w:sz w:val="18"/>
          <w:szCs w:val="18"/>
          <w:color w:val="auto"/>
        </w:rPr>
      </w:pPr>
    </w:p>
    <w:p>
      <w:pPr>
        <w:jc w:val="both"/>
        <w:ind w:left="320" w:right="200" w:hanging="317"/>
        <w:spacing w:after="0" w:line="264" w:lineRule="auto"/>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20" w:right="160" w:hanging="317"/>
        <w:spacing w:after="0" w:line="264" w:lineRule="auto"/>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320" w:right="80" w:hanging="317"/>
        <w:spacing w:after="0" w:line="286" w:lineRule="auto"/>
        <w:tabs>
          <w:tab w:leader="none" w:pos="3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660" w:right="40" w:hanging="333"/>
        <w:spacing w:after="0" w:line="259"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660" w:right="20" w:hanging="333"/>
        <w:spacing w:after="0" w:line="259"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60" w:right="60" w:hanging="333"/>
        <w:spacing w:after="0" w:line="264"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660" w:right="180" w:hanging="333"/>
        <w:spacing w:after="0" w:line="259"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20" w:right="200" w:hanging="317"/>
        <w:spacing w:after="0" w:line="264" w:lineRule="auto"/>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60" w:right="240" w:hanging="333"/>
        <w:spacing w:after="0" w:line="264"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60" w:right="60" w:hanging="333"/>
        <w:spacing w:after="0" w:line="277"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March 2, 2020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5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Executive Chairman, Chief Executive Officer and President</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20" w:hanging="317"/>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TG Therapeutics, Inc.;</w:t>
      </w:r>
    </w:p>
    <w:p>
      <w:pPr>
        <w:spacing w:after="0" w:line="225" w:lineRule="exact"/>
        <w:rPr>
          <w:rFonts w:ascii="Arial" w:cs="Arial" w:eastAsia="Arial" w:hAnsi="Arial"/>
          <w:sz w:val="18"/>
          <w:szCs w:val="18"/>
          <w:color w:val="auto"/>
        </w:rPr>
      </w:pPr>
    </w:p>
    <w:p>
      <w:pPr>
        <w:jc w:val="both"/>
        <w:ind w:left="320" w:right="200" w:hanging="317"/>
        <w:spacing w:after="0" w:line="264" w:lineRule="auto"/>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320" w:right="160" w:hanging="317"/>
        <w:spacing w:after="0" w:line="264" w:lineRule="auto"/>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320" w:right="80" w:hanging="317"/>
        <w:spacing w:after="0" w:line="286" w:lineRule="auto"/>
        <w:tabs>
          <w:tab w:leader="none" w:pos="3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660" w:right="40" w:hanging="333"/>
        <w:spacing w:after="0" w:line="259"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660" w:right="20" w:hanging="333"/>
        <w:spacing w:after="0" w:line="259"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660" w:right="60" w:hanging="333"/>
        <w:spacing w:after="0" w:line="264"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660" w:right="180" w:hanging="333"/>
        <w:spacing w:after="0" w:line="259"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20" w:right="200" w:hanging="317"/>
        <w:spacing w:after="0" w:line="264" w:lineRule="auto"/>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660" w:right="240" w:hanging="333"/>
        <w:spacing w:after="0" w:line="264"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660" w:right="60" w:hanging="333"/>
        <w:spacing w:after="0" w:line="277" w:lineRule="auto"/>
        <w:tabs>
          <w:tab w:leader="none" w:pos="6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March 2, 2020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5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annual report of TG Therapeutics, Inc. (the “Company”) on Form 10-K for the year ended December 31, 2019 as filed with the Securities and Exchange Commission (the “Report”), I, Michael S. Weiss, Executive Chairman, Chief Executive Officer and President of the Company, certify, pursuant to 18 U.S.C. §1350, as adopted pursuant to §906 of the Sarbanes-Oxley Act of 2002, that, based on my knowledge:</w:t>
      </w:r>
    </w:p>
    <w:p>
      <w:pPr>
        <w:spacing w:after="0" w:line="187" w:lineRule="exact"/>
        <w:rPr>
          <w:sz w:val="20"/>
          <w:szCs w:val="20"/>
          <w:color w:val="auto"/>
        </w:rPr>
      </w:pPr>
    </w:p>
    <w:p>
      <w:pPr>
        <w:ind w:left="660" w:right="140" w:hanging="333"/>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March 2, 2020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5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5"/>
              </w:rPr>
              <w:t>Executive Chairman, Chief Executive Officer and President</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annual report of TG Therapeutics, Inc. (the “Company”) on Form 10-K for the year ended December 31, 2019 as filed with the Securities and Exchange Commission (the “Report”), I, Sean A. Power, Chief Financial Officer of the Company, certify, pursuant to 18 U.S.C. §1350, as adopted pursuant to §906 of the Sarbanes-Oxley Act of 2002, that, based on my knowledge</w:t>
      </w:r>
    </w:p>
    <w:p>
      <w:pPr>
        <w:spacing w:after="0" w:line="187" w:lineRule="exact"/>
        <w:rPr>
          <w:sz w:val="20"/>
          <w:szCs w:val="20"/>
          <w:color w:val="auto"/>
        </w:rPr>
      </w:pPr>
    </w:p>
    <w:p>
      <w:pPr>
        <w:ind w:left="660" w:right="140" w:hanging="333"/>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March 2, 2020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5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lvl w:ilvl="1">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1"/>
      <w:numFmt w:val="bullet"/>
      <w:start w:val="1"/>
    </w:lvl>
  </w:abstractNum>
  <w:abstractNum w:abstractNumId="8">
    <w:nsid w:val="51EAD36B"/>
    <w:multiLevelType w:val="hybridMultilevel"/>
    <w:lvl w:ilvl="0">
      <w:lvlJc w:val="left"/>
      <w:lvlText w:val="2"/>
      <w:numFmt w:val="bullet"/>
      <w:start w:val="1"/>
    </w:lvl>
  </w:abstractNum>
  <w:abstractNum w:abstractNumId="9">
    <w:nsid w:val="2D517796"/>
    <w:multiLevelType w:val="hybridMultilevel"/>
    <w:lvl w:ilvl="0">
      <w:lvlJc w:val="left"/>
      <w:lvlText w:val="3"/>
      <w:numFmt w:val="bullet"/>
      <w:start w:val="1"/>
    </w:lvl>
  </w:abstractNum>
  <w:abstractNum w:abstractNumId="10">
    <w:nsid w:val="580BD78F"/>
    <w:multiLevelType w:val="hybridMultilevel"/>
    <w:lvl w:ilvl="0">
      <w:lvlJc w:val="left"/>
      <w:lvlText w:val="4"/>
      <w:numFmt w:val="bullet"/>
      <w:start w:val="1"/>
    </w:lvl>
  </w:abstractNum>
  <w:abstractNum w:abstractNumId="11">
    <w:nsid w:val="153EA438"/>
    <w:multiLevelType w:val="hybridMultilevel"/>
    <w:lvl w:ilvl="0">
      <w:lvlJc w:val="left"/>
      <w:lvlText w:val="6"/>
      <w:numFmt w:val="bullet"/>
      <w:start w:val="1"/>
    </w:lvl>
  </w:abstractNum>
  <w:abstractNum w:abstractNumId="12">
    <w:nsid w:val="3855585C"/>
    <w:multiLevelType w:val="hybridMultilevel"/>
    <w:lvl w:ilvl="0">
      <w:lvlJc w:val="left"/>
      <w:lvlText w:val="7"/>
      <w:numFmt w:val="bullet"/>
      <w:start w:val="1"/>
    </w:lvl>
  </w:abstractNum>
  <w:abstractNum w:abstractNumId="13">
    <w:nsid w:val="70A64E2A"/>
    <w:multiLevelType w:val="hybridMultilevel"/>
    <w:lvl w:ilvl="0">
      <w:lvlJc w:val="left"/>
      <w:lvlText w:val="8"/>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o"/>
      <w:numFmt w:val="bullet"/>
      <w:start w:val="1"/>
    </w:lvl>
    <w:lvl w:ilvl="1">
      <w:lvlJc w:val="left"/>
      <w:lvlText w:val=" "/>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1)"/>
      <w:numFmt w:val="lowerRoman"/>
      <w:start w:val="2"/>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1."/>
      <w:numFmt w:val="decimal"/>
      <w:start w:val="3"/>
    </w:lvl>
  </w:abstractNum>
  <w:abstractNum w:abstractNumId="57">
    <w:nsid w:val="310C50B3"/>
    <w:multiLevelType w:val="hybridMultilevel"/>
    <w:lvl w:ilvl="0">
      <w:lvlJc w:val="left"/>
      <w:lvlText w:val="%1"/>
      <w:numFmt w:val="decimal"/>
      <w:start w:val="10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2" Type="http://schemas.openxmlformats.org/officeDocument/2006/relationships/image" Target="media/image98.png"/><Relationship Id="rId127"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05" Type="http://schemas.openxmlformats.org/officeDocument/2006/relationships/hyperlink" Target="http://www.sec.gov/Archives/edgar/data/1001316/000114420412044111/v320662_ex3-1.htm" TargetMode="External"/><Relationship Id="rId106" Type="http://schemas.openxmlformats.org/officeDocument/2006/relationships/hyperlink" Target="http://www.sec.gov/Archives/edgar/data/1001316/000114420414044721/v383699_ex3-2.htm" TargetMode="External"/><Relationship Id="rId107" Type="http://schemas.openxmlformats.org/officeDocument/2006/relationships/hyperlink" Target="http://www.sec.gov/Archives/edgar/data/1001316/000114420414043936/v384259_ex3-1.htm" TargetMode="External"/><Relationship Id="rId108" Type="http://schemas.openxmlformats.org/officeDocument/2006/relationships/hyperlink" Target="http://www.sec.gov/Archives/edgar/data/1001316/000114420412014947/v305275_ex4-1.htm" TargetMode="External"/><Relationship Id="rId109" Type="http://schemas.openxmlformats.org/officeDocument/2006/relationships/hyperlink" Target="http://www.sec.gov/Archives/edgar/data/1001316/000114420414043960/v384258_ex4-1.htm" TargetMode="External"/><Relationship Id="rId110" Type="http://schemas.openxmlformats.org/officeDocument/2006/relationships/hyperlink" Target="http://www.sec.gov/Archives/edgar/data/1001316/000114420411013227/v213865_ex10-1.htm" TargetMode="External"/><Relationship Id="rId111" Type="http://schemas.openxmlformats.org/officeDocument/2006/relationships/hyperlink" Target="http://www.sec.gov/Archives/edgar/data/1001316/000114420412014947/v305275_ex10-30.htm" TargetMode="External"/><Relationship Id="rId113" Type="http://schemas.openxmlformats.org/officeDocument/2006/relationships/hyperlink" Target="http://www.sec.gov/Archives/edgar/data/1001316/000114420412014947/v305275_ex10-31.htm" TargetMode="External"/><Relationship Id="rId114" Type="http://schemas.openxmlformats.org/officeDocument/2006/relationships/hyperlink" Target="http://www.sec.gov/Archives/edgar/data/1001316/000114420413039748/v350136_ex10-1.htm" TargetMode="External"/><Relationship Id="rId115" Type="http://schemas.openxmlformats.org/officeDocument/2006/relationships/hyperlink" Target="http://www.sec.gov/Archives/edgar/data/1001316/000114420415001128/v398294_ex10-1.htm" TargetMode="External"/><Relationship Id="rId116" Type="http://schemas.openxmlformats.org/officeDocument/2006/relationships/hyperlink" Target="http://www.sec.gov/Archives/edgar/data/1001316/000114420412014947/v305275_ex10-33.htm" TargetMode="External"/><Relationship Id="rId117" Type="http://schemas.openxmlformats.org/officeDocument/2006/relationships/hyperlink" Target="http://www.sec.gov/Archives/edgar/data/1001316/000114420413039748/v350136_ex10-2.htm" TargetMode="External"/><Relationship Id="rId118" Type="http://schemas.openxmlformats.org/officeDocument/2006/relationships/hyperlink" Target="http://www.sec.gov/Archives/edgar/data/1001316/000114420415001128/v398294_ex10-2.htm" TargetMode="External"/><Relationship Id="rId119" Type="http://schemas.openxmlformats.org/officeDocument/2006/relationships/hyperlink" Target="http://www.sec.gov/Archives/edgar/data/1001316/000114420412014947/v305275_ex10-35.htm" TargetMode="External"/><Relationship Id="rId120" Type="http://schemas.openxmlformats.org/officeDocument/2006/relationships/hyperlink" Target="http://www.sec.gov/Archives/edgar/data/1001316/000114420412029703/v313328_ex10-1.htm" TargetMode="External"/><Relationship Id="rId121" Type="http://schemas.openxmlformats.org/officeDocument/2006/relationships/hyperlink" Target="http://www.sec.gov/Archives/edgar/data/1001316/000114420415024949/v408055_def14a.htm" TargetMode="External"/><Relationship Id="rId122" Type="http://schemas.openxmlformats.org/officeDocument/2006/relationships/hyperlink" Target="http://www.sec.gov/Archives/edgar/data/1001316/000114420413016691/v335518_ex10-37.htm" TargetMode="External"/><Relationship Id="rId123" Type="http://schemas.openxmlformats.org/officeDocument/2006/relationships/hyperlink" Target="http://www.sec.gov/Archives/edgar/data/1001316/000114420414044721/v383699_ex10-1.htm" TargetMode="External"/><Relationship Id="rId124" Type="http://schemas.openxmlformats.org/officeDocument/2006/relationships/hyperlink" Target="http://www.sec.gov/Archives/edgar/data/1001316/000114420415002790/v399000_ex10-1.htm" TargetMode="External"/><Relationship Id="rId125" Type="http://schemas.openxmlformats.org/officeDocument/2006/relationships/hyperlink" Target="http://www.sec.gov/Archives/edgar/data/1001316/000114420415029311/v408312_ex10-1.htm" TargetMode="External"/><Relationship Id="rId126" Type="http://schemas.openxmlformats.org/officeDocument/2006/relationships/hyperlink" Target="http://www.sec.gov/Archives/edgar/data/1001316/000165495416001302/Exhibit10-1_Sublicense.htm" TargetMode="External"/><Relationship Id="rId128" Type="http://schemas.openxmlformats.org/officeDocument/2006/relationships/hyperlink" Target="http://www.sec.gov/Archives/edgar/data/1001316/000165495417002229/v032117_EX1018.htm" TargetMode="External"/><Relationship Id="rId129" Type="http://schemas.openxmlformats.org/officeDocument/2006/relationships/hyperlink" Target="http://www.sec.gov/Archives/edgar/data/1001316/000165495417002229/v032117_EX1019.htm" TargetMode="External"/><Relationship Id="rId130" Type="http://schemas.openxmlformats.org/officeDocument/2006/relationships/hyperlink" Target="http://www.sec.gov/Archives/edgar/data/1001316/000165495418002638/tgtx_ex1020.htm" TargetMode="External"/><Relationship Id="rId131" Type="http://schemas.openxmlformats.org/officeDocument/2006/relationships/hyperlink" Target="http://www.sec.gov/Archives/edgar/data/1001316/000165495418008750/exhibit10-20.htm" TargetMode="External"/><Relationship Id="rId132" Type="http://schemas.openxmlformats.org/officeDocument/2006/relationships/hyperlink" Target="http://www.sec.gov/Archives/edgar/data/1001316/000165495419009176/tgtx_ex102.htm" TargetMode="External"/><Relationship Id="rId133" Type="http://schemas.openxmlformats.org/officeDocument/2006/relationships/hyperlink" Target="http://www.sec.gov/Archives/edgar/data/1001316/000165495419002276/v030519_ex102.htm" TargetMode="External"/><Relationship Id="rId134" Type="http://schemas.openxmlformats.org/officeDocument/2006/relationships/hyperlink" Target="http://www.sec.gov/Archives/edgar/data/1001316/000165495419002276/v030519_ex103.htm" TargetMode="External"/><Relationship Id="rId135" Type="http://schemas.openxmlformats.org/officeDocument/2006/relationships/hyperlink" Target="http://www.sec.gov/Archives/edgar/data/1001316/000165495419002276/v030519_ex104.htm" TargetMode="External"/><Relationship Id="rId136" Type="http://schemas.openxmlformats.org/officeDocument/2006/relationships/hyperlink" Target="http://www.sec.gov/Archives/edgar/data/1001316/000165495419009176/tgtx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2020-03-02T15:42:30Z</dcterms:created>
  <dcterms:modified xsi:type="dcterms:W3CDTF">2020-03-02T15:42:30Z</dcterms:modified>
</cp:coreProperties>
</file>