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374650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jc w:val="center"/>
        <w:ind w:right="10"/>
        <w:spacing w:after="0"/>
        <w:rPr>
          <w:sz w:val="20"/>
          <w:szCs w:val="20"/>
          <w:color w:val="auto"/>
        </w:rPr>
      </w:pPr>
      <w:r>
        <w:rPr>
          <w:rFonts w:ascii="Arial" w:cs="Arial" w:eastAsia="Arial" w:hAnsi="Arial"/>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-199390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16" w:lineRule="exact"/>
        <w:rPr>
          <w:sz w:val="24"/>
          <w:szCs w:val="24"/>
          <w:color w:val="auto"/>
        </w:rPr>
      </w:pPr>
    </w:p>
    <w:p>
      <w:pPr>
        <w:jc w:val="center"/>
        <w:ind w:right="10"/>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124460</wp:posOffset>
            </wp:positionV>
            <wp:extent cx="16287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52" w:lineRule="exact"/>
        <w:rPr>
          <w:sz w:val="24"/>
          <w:szCs w:val="24"/>
          <w:color w:val="auto"/>
        </w:rPr>
      </w:pPr>
    </w:p>
    <w:p>
      <w:pPr>
        <w:jc w:val="center"/>
        <w:ind w:right="10"/>
        <w:spacing w:after="0"/>
        <w:rPr>
          <w:sz w:val="20"/>
          <w:szCs w:val="20"/>
          <w:color w:val="auto"/>
        </w:rPr>
      </w:pPr>
      <w:r>
        <w:rPr>
          <w:rFonts w:ascii="Arial" w:cs="Arial" w:eastAsia="Arial" w:hAnsi="Arial"/>
          <w:sz w:val="29"/>
          <w:szCs w:val="29"/>
          <w:b w:val="1"/>
          <w:bCs w:val="1"/>
          <w:color w:val="auto"/>
        </w:rPr>
        <w:t>FORM 10-Q</w:t>
      </w:r>
    </w:p>
    <w:p>
      <w:pPr>
        <w:spacing w:after="0" w:line="139" w:lineRule="exact"/>
        <w:rPr>
          <w:sz w:val="24"/>
          <w:szCs w:val="24"/>
          <w:color w:val="auto"/>
        </w:rPr>
      </w:pPr>
    </w:p>
    <w:p>
      <w:pPr>
        <w:ind w:left="3470" w:right="2120" w:hanging="1360"/>
        <w:spacing w:after="0" w:line="282" w:lineRule="auto"/>
        <w:tabs>
          <w:tab w:leader="none" w:pos="2323"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1350010</wp:posOffset>
            </wp:positionH>
            <wp:positionV relativeFrom="paragraph">
              <wp:posOffset>-281940</wp:posOffset>
            </wp:positionV>
            <wp:extent cx="86995" cy="882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jc w:val="center"/>
        <w:ind w:right="10"/>
        <w:spacing w:after="0"/>
        <w:rPr>
          <w:sz w:val="20"/>
          <w:szCs w:val="20"/>
          <w:color w:val="auto"/>
        </w:rPr>
      </w:pPr>
      <w:r>
        <w:rPr>
          <w:rFonts w:ascii="Arial" w:cs="Arial" w:eastAsia="Arial" w:hAnsi="Arial"/>
          <w:sz w:val="18"/>
          <w:szCs w:val="18"/>
          <w:b w:val="1"/>
          <w:bCs w:val="1"/>
          <w:color w:val="auto"/>
        </w:rPr>
        <w:t>For the quarterly period ended June 30, 2020</w:t>
      </w:r>
    </w:p>
    <w:p>
      <w:pPr>
        <w:spacing w:after="0" w:line="77" w:lineRule="exact"/>
        <w:rPr>
          <w:sz w:val="24"/>
          <w:szCs w:val="24"/>
          <w:color w:val="auto"/>
        </w:rPr>
      </w:pPr>
    </w:p>
    <w:p>
      <w:pPr>
        <w:jc w:val="center"/>
        <w:ind w:right="10"/>
        <w:spacing w:after="0"/>
        <w:rPr>
          <w:sz w:val="20"/>
          <w:szCs w:val="20"/>
          <w:color w:val="auto"/>
        </w:rPr>
      </w:pPr>
      <w:r>
        <w:rPr>
          <w:rFonts w:ascii="Arial" w:cs="Arial" w:eastAsia="Arial" w:hAnsi="Arial"/>
          <w:sz w:val="18"/>
          <w:szCs w:val="18"/>
          <w:b w:val="1"/>
          <w:bCs w:val="1"/>
          <w:color w:val="auto"/>
        </w:rPr>
        <w:t>OR</w:t>
      </w:r>
    </w:p>
    <w:p>
      <w:pPr>
        <w:spacing w:after="0" w:line="77" w:lineRule="exact"/>
        <w:rPr>
          <w:sz w:val="24"/>
          <w:szCs w:val="24"/>
          <w:color w:val="auto"/>
        </w:rPr>
      </w:pPr>
    </w:p>
    <w:p>
      <w:pPr>
        <w:ind w:left="3470" w:right="2100" w:hanging="1367"/>
        <w:spacing w:after="0" w:line="282" w:lineRule="auto"/>
        <w:tabs>
          <w:tab w:leader="none" w:pos="2316"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1346200</wp:posOffset>
            </wp:positionH>
            <wp:positionV relativeFrom="paragraph">
              <wp:posOffset>-281940</wp:posOffset>
            </wp:positionV>
            <wp:extent cx="86995" cy="8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jc w:val="center"/>
        <w:ind w:right="10"/>
        <w:spacing w:after="0"/>
        <w:rPr>
          <w:sz w:val="20"/>
          <w:szCs w:val="20"/>
          <w:color w:val="auto"/>
        </w:rPr>
      </w:pPr>
      <w:r>
        <w:rPr>
          <w:rFonts w:ascii="Arial" w:cs="Arial" w:eastAsia="Arial" w:hAnsi="Arial"/>
          <w:sz w:val="18"/>
          <w:szCs w:val="18"/>
          <w:b w:val="1"/>
          <w:bCs w:val="1"/>
          <w:color w:val="auto"/>
        </w:rPr>
        <w:t>For the transition period from to</w:t>
      </w:r>
    </w:p>
    <w:p>
      <w:pPr>
        <w:spacing w:after="0" w:line="104" w:lineRule="exact"/>
        <w:rPr>
          <w:sz w:val="24"/>
          <w:szCs w:val="24"/>
          <w:color w:val="auto"/>
        </w:rPr>
      </w:pPr>
    </w:p>
    <w:p>
      <w:pPr>
        <w:jc w:val="center"/>
        <w:ind w:right="10"/>
        <w:spacing w:after="0"/>
        <w:rPr>
          <w:sz w:val="20"/>
          <w:szCs w:val="20"/>
          <w:color w:val="auto"/>
        </w:rPr>
      </w:pPr>
      <w:r>
        <w:rPr>
          <w:rFonts w:ascii="Arial" w:cs="Arial" w:eastAsia="Arial" w:hAnsi="Arial"/>
          <w:sz w:val="18"/>
          <w:szCs w:val="18"/>
          <w:b w:val="1"/>
          <w:bCs w:val="1"/>
          <w:color w:val="auto"/>
        </w:rPr>
        <w:t>Commission File Number 001-32639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146050</wp:posOffset>
            </wp:positionV>
            <wp:extent cx="16287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58" w:lineRule="exact"/>
        <w:rPr>
          <w:sz w:val="24"/>
          <w:szCs w:val="24"/>
          <w:color w:val="auto"/>
        </w:rPr>
      </w:pPr>
    </w:p>
    <w:p>
      <w:pPr>
        <w:jc w:val="center"/>
        <w:ind w:right="10"/>
        <w:spacing w:after="0"/>
        <w:rPr>
          <w:sz w:val="20"/>
          <w:szCs w:val="20"/>
          <w:color w:val="auto"/>
        </w:rPr>
      </w:pPr>
      <w:r>
        <w:rPr>
          <w:rFonts w:ascii="Arial" w:cs="Arial" w:eastAsia="Arial" w:hAnsi="Arial"/>
          <w:sz w:val="32"/>
          <w:szCs w:val="32"/>
          <w:b w:val="1"/>
          <w:bCs w:val="1"/>
          <w:color w:val="auto"/>
        </w:rPr>
        <w:t>TG THERAPEUTICS, INC.</w:t>
      </w:r>
    </w:p>
    <w:p>
      <w:pPr>
        <w:spacing w:after="0" w:line="39" w:lineRule="exact"/>
        <w:rPr>
          <w:sz w:val="24"/>
          <w:szCs w:val="24"/>
          <w:color w:val="auto"/>
        </w:rPr>
      </w:pPr>
    </w:p>
    <w:p>
      <w:pPr>
        <w:jc w:val="center"/>
        <w:ind w:right="10"/>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0230"/>
          </w:cols>
          <w:pgMar w:left="830" w:top="665" w:right="839" w:bottom="1440" w:gutter="0" w:footer="0" w:header="0"/>
        </w:sectPr>
      </w:pPr>
    </w:p>
    <w:p>
      <w:pPr>
        <w:spacing w:after="0" w:line="97" w:lineRule="exact"/>
        <w:rPr>
          <w:sz w:val="24"/>
          <w:szCs w:val="24"/>
          <w:color w:val="auto"/>
        </w:rPr>
      </w:pPr>
    </w:p>
    <w:p>
      <w:pPr>
        <w:jc w:val="center"/>
        <w:ind w:right="63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63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jc w:val="center"/>
        <w:ind w:right="1360"/>
        <w:spacing w:after="0"/>
        <w:rPr>
          <w:sz w:val="20"/>
          <w:szCs w:val="20"/>
          <w:color w:val="auto"/>
        </w:rPr>
      </w:pPr>
      <w:r>
        <w:rPr>
          <w:rFonts w:ascii="Arial" w:cs="Arial" w:eastAsia="Arial" w:hAnsi="Arial"/>
          <w:sz w:val="18"/>
          <w:szCs w:val="18"/>
          <w:b w:val="1"/>
          <w:bCs w:val="1"/>
          <w:color w:val="auto"/>
        </w:rPr>
        <w:t>36-3898269</w:t>
      </w:r>
    </w:p>
    <w:p>
      <w:pPr>
        <w:spacing w:after="0" w:line="27" w:lineRule="exact"/>
        <w:rPr>
          <w:sz w:val="24"/>
          <w:szCs w:val="24"/>
          <w:color w:val="auto"/>
        </w:rPr>
      </w:pPr>
    </w:p>
    <w:p>
      <w:pPr>
        <w:jc w:val="center"/>
        <w:ind w:right="1360"/>
        <w:spacing w:after="0"/>
        <w:rPr>
          <w:sz w:val="20"/>
          <w:szCs w:val="20"/>
          <w:color w:val="auto"/>
        </w:rPr>
      </w:pPr>
      <w:r>
        <w:rPr>
          <w:rFonts w:ascii="Arial" w:cs="Arial" w:eastAsia="Arial" w:hAnsi="Arial"/>
          <w:sz w:val="16"/>
          <w:szCs w:val="16"/>
          <w:color w:val="auto"/>
        </w:rPr>
        <w:t>(I.R.S. Employer Identification No.)</w:t>
      </w:r>
    </w:p>
    <w:p>
      <w:pPr>
        <w:spacing w:after="0" w:line="108" w:lineRule="exact"/>
        <w:rPr>
          <w:sz w:val="24"/>
          <w:szCs w:val="24"/>
          <w:color w:val="auto"/>
        </w:rPr>
      </w:pPr>
    </w:p>
    <w:p>
      <w:pPr>
        <w:sectPr>
          <w:pgSz w:w="11900" w:h="16838" w:orient="portrait"/>
          <w:cols w:equalWidth="0" w:num="2">
            <w:col w:w="5550" w:space="720"/>
            <w:col w:w="3960"/>
          </w:cols>
          <w:pgMar w:left="830" w:top="665" w:right="839" w:bottom="1440" w:gutter="0" w:footer="0" w:header="0"/>
          <w:type w:val="continuous"/>
        </w:sectPr>
      </w:pPr>
    </w:p>
    <w:p>
      <w:pPr>
        <w:ind w:left="3950"/>
        <w:spacing w:after="0"/>
        <w:rPr>
          <w:sz w:val="20"/>
          <w:szCs w:val="20"/>
          <w:color w:val="auto"/>
        </w:rPr>
      </w:pPr>
      <w:r>
        <w:rPr>
          <w:rFonts w:ascii="Arial" w:cs="Arial" w:eastAsia="Arial" w:hAnsi="Arial"/>
          <w:sz w:val="18"/>
          <w:szCs w:val="18"/>
          <w:b w:val="1"/>
          <w:bCs w:val="1"/>
          <w:color w:val="auto"/>
        </w:rPr>
        <w:t>2 Gansevoort Street, 9th Floor</w:t>
      </w:r>
    </w:p>
    <w:p>
      <w:pPr>
        <w:spacing w:after="0" w:line="27" w:lineRule="exact"/>
        <w:rPr>
          <w:sz w:val="24"/>
          <w:szCs w:val="24"/>
          <w:color w:val="auto"/>
        </w:rPr>
      </w:pPr>
    </w:p>
    <w:p>
      <w:pPr>
        <w:ind w:left="4050"/>
        <w:spacing w:after="0"/>
        <w:rPr>
          <w:sz w:val="20"/>
          <w:szCs w:val="20"/>
          <w:color w:val="auto"/>
        </w:rPr>
      </w:pPr>
      <w:r>
        <w:rPr>
          <w:rFonts w:ascii="Arial" w:cs="Arial" w:eastAsia="Arial" w:hAnsi="Arial"/>
          <w:sz w:val="18"/>
          <w:szCs w:val="18"/>
          <w:b w:val="1"/>
          <w:bCs w:val="1"/>
          <w:color w:val="auto"/>
        </w:rPr>
        <w:t>New York, New York 10014</w:t>
      </w:r>
    </w:p>
    <w:p>
      <w:pPr>
        <w:spacing w:after="0" w:line="9" w:lineRule="exact"/>
        <w:rPr>
          <w:sz w:val="24"/>
          <w:szCs w:val="24"/>
          <w:color w:val="auto"/>
        </w:rPr>
      </w:pPr>
    </w:p>
    <w:p>
      <w:pPr>
        <w:ind w:left="2990"/>
        <w:spacing w:after="0"/>
        <w:rPr>
          <w:sz w:val="20"/>
          <w:szCs w:val="20"/>
          <w:color w:val="auto"/>
        </w:rPr>
      </w:pPr>
      <w:r>
        <w:rPr>
          <w:rFonts w:ascii="Arial" w:cs="Arial" w:eastAsia="Arial" w:hAnsi="Arial"/>
          <w:sz w:val="18"/>
          <w:szCs w:val="18"/>
          <w:color w:val="auto"/>
        </w:rPr>
        <w:t>(Address including zip code of principal executive offices)</w:t>
      </w:r>
    </w:p>
    <w:p>
      <w:pPr>
        <w:spacing w:after="0" w:line="85" w:lineRule="exact"/>
        <w:rPr>
          <w:sz w:val="24"/>
          <w:szCs w:val="24"/>
          <w:color w:val="auto"/>
        </w:rPr>
      </w:pPr>
    </w:p>
    <w:p>
      <w:pPr>
        <w:ind w:left="4550"/>
        <w:spacing w:after="0"/>
        <w:rPr>
          <w:sz w:val="20"/>
          <w:szCs w:val="20"/>
          <w:color w:val="auto"/>
        </w:rPr>
      </w:pPr>
      <w:r>
        <w:rPr>
          <w:rFonts w:ascii="Arial" w:cs="Arial" w:eastAsia="Arial" w:hAnsi="Arial"/>
          <w:sz w:val="18"/>
          <w:szCs w:val="18"/>
          <w:b w:val="1"/>
          <w:bCs w:val="1"/>
          <w:color w:val="auto"/>
        </w:rPr>
        <w:t>(212) 554-4484</w:t>
      </w:r>
    </w:p>
    <w:p>
      <w:pPr>
        <w:spacing w:after="0" w:line="27" w:lineRule="exact"/>
        <w:rPr>
          <w:sz w:val="24"/>
          <w:szCs w:val="24"/>
          <w:color w:val="auto"/>
        </w:rPr>
      </w:pPr>
    </w:p>
    <w:p>
      <w:pPr>
        <w:ind w:left="3230"/>
        <w:spacing w:after="0"/>
        <w:rPr>
          <w:sz w:val="20"/>
          <w:szCs w:val="20"/>
          <w:color w:val="auto"/>
        </w:rPr>
      </w:pPr>
      <w:r>
        <w:rPr>
          <w:rFonts w:ascii="Arial" w:cs="Arial" w:eastAsia="Arial" w:hAnsi="Arial"/>
          <w:sz w:val="18"/>
          <w:szCs w:val="18"/>
          <w:color w:val="auto"/>
        </w:rPr>
        <w:t>(Registrants telephone number, including area code)</w:t>
      </w:r>
    </w:p>
    <w:p>
      <w:pPr>
        <w:spacing w:after="0" w:line="76" w:lineRule="exact"/>
        <w:rPr>
          <w:sz w:val="24"/>
          <w:szCs w:val="24"/>
          <w:color w:val="auto"/>
        </w:rPr>
      </w:pPr>
    </w:p>
    <w:p>
      <w:pPr>
        <w:ind w:left="1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98"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33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Title of Class</w:t>
            </w:r>
          </w:p>
        </w:tc>
        <w:tc>
          <w:tcPr>
            <w:tcW w:w="34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Symbol(s)</w:t>
            </w:r>
          </w:p>
        </w:tc>
        <w:tc>
          <w:tcPr>
            <w:tcW w:w="33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Exchange Name</w:t>
            </w:r>
          </w:p>
        </w:tc>
      </w:tr>
      <w:tr>
        <w:trPr>
          <w:trHeight w:val="210"/>
        </w:trPr>
        <w:tc>
          <w:tcPr>
            <w:tcW w:w="33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par value $0.001</w:t>
            </w:r>
          </w:p>
        </w:tc>
        <w:tc>
          <w:tcPr>
            <w:tcW w:w="3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TGTX</w:t>
            </w:r>
          </w:p>
        </w:tc>
        <w:tc>
          <w:tcPr>
            <w:tcW w:w="3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Nasdaq Capital Market</w:t>
            </w:r>
          </w:p>
        </w:tc>
      </w:tr>
    </w:tbl>
    <w:p>
      <w:pPr>
        <w:spacing w:after="0" w:line="80" w:lineRule="exact"/>
        <w:rPr>
          <w:sz w:val="24"/>
          <w:szCs w:val="24"/>
          <w:color w:val="auto"/>
        </w:rPr>
      </w:pPr>
    </w:p>
    <w:p>
      <w:pPr>
        <w:jc w:val="both"/>
        <w:ind w:left="10" w:right="100"/>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94" w:lineRule="exact"/>
        <w:rPr>
          <w:sz w:val="24"/>
          <w:szCs w:val="24"/>
          <w:color w:val="auto"/>
        </w:rPr>
      </w:pPr>
    </w:p>
    <w:p>
      <w:pPr>
        <w:ind w:left="10" w:right="280"/>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and posted pursuant to Rule 405 of Regulation S-T (§ 232.405 of this chapter) during the preceding 12 months (or for such shorter period that the registrant was required to submit and post such files).</w:t>
      </w:r>
    </w:p>
    <w:p>
      <w:pPr>
        <w:ind w:left="210" w:hanging="210"/>
        <w:spacing w:after="0" w:line="207" w:lineRule="exact"/>
        <w:tabs>
          <w:tab w:leader="none" w:pos="21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81" w:lineRule="exact"/>
        <w:rPr>
          <w:sz w:val="24"/>
          <w:szCs w:val="24"/>
          <w:color w:val="auto"/>
        </w:rPr>
      </w:pPr>
    </w:p>
    <w:p>
      <w:pPr>
        <w:ind w:left="10" w:right="20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ectPr>
          <w:pgSz w:w="11900" w:h="16838" w:orient="portrait"/>
          <w:cols w:equalWidth="0" w:num="1">
            <w:col w:w="10230"/>
          </w:cols>
          <w:pgMar w:left="830" w:top="665" w:right="839" w:bottom="1440" w:gutter="0" w:footer="0" w:header="0"/>
          <w:type w:val="continuous"/>
        </w:sectPr>
      </w:pPr>
    </w:p>
    <w:p>
      <w:pPr>
        <w:spacing w:after="0" w:line="43" w:lineRule="exact"/>
        <w:rPr>
          <w:sz w:val="24"/>
          <w:szCs w:val="24"/>
          <w:color w:val="auto"/>
        </w:rPr>
      </w:pPr>
    </w:p>
    <w:p>
      <w:pPr>
        <w:ind w:left="1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100" w:lineRule="exact"/>
        <w:rPr>
          <w:sz w:val="24"/>
          <w:szCs w:val="24"/>
          <w:color w:val="auto"/>
        </w:rPr>
      </w:pPr>
    </w:p>
    <w:p>
      <w:pPr>
        <w:sectPr>
          <w:pgSz w:w="11900" w:h="16838" w:orient="portrait"/>
          <w:cols w:equalWidth="0" w:num="2">
            <w:col w:w="8090" w:space="720"/>
            <w:col w:w="1420"/>
          </w:cols>
          <w:pgMar w:left="830" w:top="665" w:right="839" w:bottom="1440" w:gutter="0" w:footer="0" w:header="0"/>
          <w:type w:val="continuous"/>
        </w:sectPr>
      </w:pPr>
    </w:p>
    <w:p>
      <w:pPr>
        <w:ind w:left="1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100" w:lineRule="exact"/>
        <w:rPr>
          <w:sz w:val="24"/>
          <w:szCs w:val="24"/>
          <w:color w:val="auto"/>
        </w:rPr>
      </w:pPr>
    </w:p>
    <w:p>
      <w:pPr>
        <w:sectPr>
          <w:pgSz w:w="11900" w:h="16838" w:orient="portrait"/>
          <w:cols w:equalWidth="0" w:num="2">
            <w:col w:w="7330" w:space="720"/>
            <w:col w:w="2180"/>
          </w:cols>
          <w:pgMar w:left="830" w:top="665" w:right="839" w:bottom="1440" w:gutter="0" w:footer="0" w:header="0"/>
          <w:type w:val="continuous"/>
        </w:sectPr>
      </w:pPr>
    </w:p>
    <w:p>
      <w:pPr>
        <w:ind w:left="805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0230"/>
          </w:cols>
          <w:pgMar w:left="830" w:top="665" w:right="839" w:bottom="1440" w:gutter="0" w:footer="0" w:header="0"/>
          <w:type w:val="continuous"/>
        </w:sectPr>
      </w:pPr>
    </w:p>
    <w:p>
      <w:pPr>
        <w:spacing w:after="0" w:line="159" w:lineRule="exact"/>
        <w:rPr>
          <w:sz w:val="24"/>
          <w:szCs w:val="24"/>
          <w:color w:val="auto"/>
        </w:rPr>
      </w:pPr>
    </w:p>
    <w:p>
      <w:pPr>
        <w:ind w:left="10"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34" w:lineRule="exact"/>
        <w:rPr>
          <w:sz w:val="24"/>
          <w:szCs w:val="24"/>
          <w:color w:val="auto"/>
        </w:rPr>
      </w:pPr>
    </w:p>
    <w:p>
      <w:pPr>
        <w:ind w:left="10"/>
        <w:spacing w:after="0"/>
        <w:rPr>
          <w:sz w:val="20"/>
          <w:szCs w:val="20"/>
          <w:color w:val="auto"/>
        </w:rPr>
      </w:pPr>
      <w:r>
        <w:rPr>
          <w:rFonts w:ascii="Arial" w:cs="Arial" w:eastAsia="Arial" w:hAnsi="Arial"/>
          <w:sz w:val="18"/>
          <w:szCs w:val="18"/>
          <w:color w:val="auto"/>
        </w:rPr>
        <w:t>Indicate by checkmark whether the registrant is a shell company (as defined in Rule 12b-2 of the Exchange Act).</w:t>
      </w:r>
    </w:p>
    <w:p>
      <w:pPr>
        <w:spacing w:after="0" w:line="23" w:lineRule="exact"/>
        <w:rPr>
          <w:sz w:val="24"/>
          <w:szCs w:val="24"/>
          <w:color w:val="auto"/>
        </w:rPr>
      </w:pPr>
    </w:p>
    <w:p>
      <w:pPr>
        <w:ind w:left="1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left="490"/>
        <w:spacing w:after="0"/>
        <w:rPr>
          <w:sz w:val="20"/>
          <w:szCs w:val="20"/>
          <w:color w:val="auto"/>
        </w:rPr>
      </w:pPr>
      <w:r>
        <w:rPr>
          <w:rFonts w:ascii="Arial" w:cs="Arial" w:eastAsia="Arial" w:hAnsi="Arial"/>
          <w:sz w:val="18"/>
          <w:szCs w:val="18"/>
          <w:color w:val="auto"/>
        </w:rPr>
        <w:t>There were 126,649,205 shares of the registrant’s common stock, $0.001 par value, outstanding as of August 5,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452120</wp:posOffset>
            </wp:positionV>
            <wp:extent cx="649795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48895</wp:posOffset>
            </wp:positionV>
            <wp:extent cx="649795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31750</wp:posOffset>
            </wp:positionV>
            <wp:extent cx="64979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ectPr>
          <w:pgSz w:w="11900" w:h="16838" w:orient="portrait"/>
          <w:cols w:equalWidth="0" w:num="1">
            <w:col w:w="10230"/>
          </w:cols>
          <w:pgMar w:left="830" w:top="665" w:right="839" w:bottom="1440" w:gutter="0" w:footer="0" w:header="0"/>
          <w:type w:val="continuous"/>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 ENDED JUNE 30, 2020</w:t>
      </w:r>
    </w:p>
    <w:p>
      <w:pPr>
        <w:spacing w:after="0" w:line="18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p>
        </w:tc>
        <w:tc>
          <w:tcPr>
            <w:tcW w:w="7280" w:type="dxa"/>
            <w:vAlign w:val="bottom"/>
          </w:tcPr>
          <w:p>
            <w:pPr>
              <w:ind w:left="2800"/>
              <w:spacing w:after="0"/>
              <w:rPr>
                <w:sz w:val="20"/>
                <w:szCs w:val="20"/>
                <w:color w:val="auto"/>
              </w:rPr>
            </w:pPr>
            <w:r>
              <w:rPr>
                <w:rFonts w:ascii="Arial" w:cs="Arial" w:eastAsia="Arial" w:hAnsi="Arial"/>
                <w:sz w:val="18"/>
                <w:szCs w:val="18"/>
                <w:b w:val="1"/>
                <w:bCs w:val="1"/>
                <w:color w:val="auto"/>
              </w:rPr>
              <w:t>TABLE OF CONTENTS</w:t>
            </w:r>
          </w:p>
        </w:tc>
        <w:tc>
          <w:tcPr>
            <w:tcW w:w="920" w:type="dxa"/>
            <w:vAlign w:val="bottom"/>
          </w:tcPr>
          <w:p>
            <w:pPr>
              <w:spacing w:after="0"/>
              <w:rPr>
                <w:sz w:val="20"/>
                <w:szCs w:val="20"/>
                <w:color w:val="auto"/>
              </w:rPr>
            </w:pPr>
          </w:p>
        </w:tc>
      </w:tr>
      <w:tr>
        <w:trPr>
          <w:trHeight w:val="405"/>
        </w:trPr>
        <w:tc>
          <w:tcPr>
            <w:tcW w:w="7960" w:type="dxa"/>
            <w:vAlign w:val="bottom"/>
            <w:gridSpan w:val="2"/>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SPECIAL CAUTIONARY NOTICE REGARDING FORWARD-LOOKING STATEMENTS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32"/>
        </w:trPr>
        <w:tc>
          <w:tcPr>
            <w:tcW w:w="680" w:type="dxa"/>
            <w:vAlign w:val="bottom"/>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PART I</w:t>
              </w:r>
            </w:hyperlink>
          </w:p>
        </w:tc>
        <w:tc>
          <w:tcPr>
            <w:tcW w:w="7280" w:type="dxa"/>
            <w:vAlign w:val="bottom"/>
          </w:tcPr>
          <w:p>
            <w:pPr>
              <w:ind w:left="8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FINANCIAL INFORMATION</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32"/>
        </w:trPr>
        <w:tc>
          <w:tcPr>
            <w:tcW w:w="680" w:type="dxa"/>
            <w:vAlign w:val="bottom"/>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Item 1</w:t>
              </w:r>
            </w:hyperlink>
          </w:p>
        </w:tc>
        <w:tc>
          <w:tcPr>
            <w:tcW w:w="7280" w:type="dxa"/>
            <w:vAlign w:val="bottom"/>
          </w:tcPr>
          <w:p>
            <w:pPr>
              <w:ind w:left="8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Financial Statements: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32"/>
        </w:trPr>
        <w:tc>
          <w:tcPr>
            <w:tcW w:w="680" w:type="dxa"/>
            <w:vAlign w:val="bottom"/>
          </w:tcPr>
          <w:p>
            <w:pPr>
              <w:spacing w:after="0"/>
              <w:rPr>
                <w:sz w:val="24"/>
                <w:szCs w:val="24"/>
                <w:color w:val="auto"/>
              </w:rPr>
            </w:pPr>
          </w:p>
        </w:tc>
        <w:tc>
          <w:tcPr>
            <w:tcW w:w="7280" w:type="dxa"/>
            <w:vAlign w:val="bottom"/>
          </w:tcPr>
          <w:p>
            <w:pPr>
              <w:ind w:left="8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Balance Sheets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32"/>
        </w:trPr>
        <w:tc>
          <w:tcPr>
            <w:tcW w:w="680" w:type="dxa"/>
            <w:vAlign w:val="bottom"/>
          </w:tcPr>
          <w:p>
            <w:pPr>
              <w:spacing w:after="0"/>
              <w:rPr>
                <w:sz w:val="24"/>
                <w:szCs w:val="24"/>
                <w:color w:val="auto"/>
              </w:rPr>
            </w:pPr>
          </w:p>
        </w:tc>
        <w:tc>
          <w:tcPr>
            <w:tcW w:w="7280" w:type="dxa"/>
            <w:vAlign w:val="bottom"/>
          </w:tcPr>
          <w:p>
            <w:pPr>
              <w:ind w:left="8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Statements of Operations (unaudited)</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32"/>
        </w:trPr>
        <w:tc>
          <w:tcPr>
            <w:tcW w:w="680" w:type="dxa"/>
            <w:vAlign w:val="bottom"/>
          </w:tcPr>
          <w:p>
            <w:pPr>
              <w:spacing w:after="0"/>
              <w:rPr>
                <w:sz w:val="24"/>
                <w:szCs w:val="24"/>
                <w:color w:val="auto"/>
              </w:rPr>
            </w:pPr>
          </w:p>
        </w:tc>
        <w:tc>
          <w:tcPr>
            <w:tcW w:w="7280" w:type="dxa"/>
            <w:vAlign w:val="bottom"/>
          </w:tcPr>
          <w:p>
            <w:pPr>
              <w:ind w:left="8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Condensed Consolidated Statements of Stockholders’ Equity (unaudited)</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32"/>
        </w:trPr>
        <w:tc>
          <w:tcPr>
            <w:tcW w:w="680" w:type="dxa"/>
            <w:vAlign w:val="bottom"/>
          </w:tcPr>
          <w:p>
            <w:pPr>
              <w:spacing w:after="0"/>
              <w:rPr>
                <w:sz w:val="24"/>
                <w:szCs w:val="24"/>
                <w:color w:val="auto"/>
              </w:rPr>
            </w:pPr>
          </w:p>
        </w:tc>
        <w:tc>
          <w:tcPr>
            <w:tcW w:w="7280" w:type="dxa"/>
            <w:vAlign w:val="bottom"/>
          </w:tcPr>
          <w:p>
            <w:pPr>
              <w:ind w:left="8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Condensed Consolidated Statements of Cash Flows (unaudited)</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32"/>
        </w:trPr>
        <w:tc>
          <w:tcPr>
            <w:tcW w:w="680" w:type="dxa"/>
            <w:vAlign w:val="bottom"/>
          </w:tcPr>
          <w:p>
            <w:pPr>
              <w:spacing w:after="0"/>
              <w:rPr>
                <w:sz w:val="24"/>
                <w:szCs w:val="24"/>
                <w:color w:val="auto"/>
              </w:rPr>
            </w:pPr>
          </w:p>
        </w:tc>
        <w:tc>
          <w:tcPr>
            <w:tcW w:w="7280" w:type="dxa"/>
            <w:vAlign w:val="bottom"/>
          </w:tcPr>
          <w:p>
            <w:pPr>
              <w:ind w:left="8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Notes to Condensed Consolidated Financial Statements (unaudited)</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432"/>
        </w:trPr>
        <w:tc>
          <w:tcPr>
            <w:tcW w:w="680" w:type="dxa"/>
            <w:vAlign w:val="bottom"/>
          </w:tcPr>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Item 2</w:t>
              </w:r>
            </w:hyperlink>
          </w:p>
        </w:tc>
        <w:tc>
          <w:tcPr>
            <w:tcW w:w="7280" w:type="dxa"/>
            <w:vAlign w:val="bottom"/>
          </w:tcPr>
          <w:p>
            <w:pPr>
              <w:ind w:left="8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Management’s Discussion and Analysis of Financial Condition and Results of Operations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32"/>
        </w:trPr>
        <w:tc>
          <w:tcPr>
            <w:tcW w:w="680" w:type="dxa"/>
            <w:vAlign w:val="bottom"/>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Item 3</w:t>
              </w:r>
            </w:hyperlink>
          </w:p>
        </w:tc>
        <w:tc>
          <w:tcPr>
            <w:tcW w:w="7280" w:type="dxa"/>
            <w:vAlign w:val="bottom"/>
          </w:tcPr>
          <w:p>
            <w:pPr>
              <w:ind w:left="8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Quantitative and Qualitative Disclosures About Market Risk</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432"/>
        </w:trPr>
        <w:tc>
          <w:tcPr>
            <w:tcW w:w="680" w:type="dxa"/>
            <w:vAlign w:val="bottom"/>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Item 4</w:t>
              </w:r>
            </w:hyperlink>
          </w:p>
        </w:tc>
        <w:tc>
          <w:tcPr>
            <w:tcW w:w="7280" w:type="dxa"/>
            <w:vAlign w:val="bottom"/>
          </w:tcPr>
          <w:p>
            <w:pPr>
              <w:ind w:left="8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Controls and Procedures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432"/>
        </w:trPr>
        <w:tc>
          <w:tcPr>
            <w:tcW w:w="680" w:type="dxa"/>
            <w:vAlign w:val="bottom"/>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PART II</w:t>
              </w:r>
            </w:hyperlink>
          </w:p>
        </w:tc>
        <w:tc>
          <w:tcPr>
            <w:tcW w:w="7280" w:type="dxa"/>
            <w:vAlign w:val="bottom"/>
          </w:tcPr>
          <w:p>
            <w:pPr>
              <w:ind w:left="8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OTHER INFORMATION</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432"/>
        </w:trPr>
        <w:tc>
          <w:tcPr>
            <w:tcW w:w="680" w:type="dxa"/>
            <w:vAlign w:val="bottom"/>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Item 1</w:t>
              </w:r>
            </w:hyperlink>
          </w:p>
        </w:tc>
        <w:tc>
          <w:tcPr>
            <w:tcW w:w="7280" w:type="dxa"/>
            <w:vAlign w:val="bottom"/>
          </w:tcPr>
          <w:p>
            <w:pPr>
              <w:ind w:left="8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Legal Proceedings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432"/>
        </w:trPr>
        <w:tc>
          <w:tcPr>
            <w:tcW w:w="680" w:type="dxa"/>
            <w:vAlign w:val="bottom"/>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Item 1A</w:t>
              </w:r>
            </w:hyperlink>
          </w:p>
        </w:tc>
        <w:tc>
          <w:tcPr>
            <w:tcW w:w="7280" w:type="dxa"/>
            <w:vAlign w:val="bottom"/>
          </w:tcPr>
          <w:p>
            <w:pPr>
              <w:ind w:left="8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Risk Factors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432"/>
        </w:trPr>
        <w:tc>
          <w:tcPr>
            <w:tcW w:w="680" w:type="dxa"/>
            <w:vAlign w:val="bottom"/>
          </w:tcPr>
          <w:p>
            <w:pPr>
              <w:spacing w:after="0"/>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Item 6</w:t>
              </w:r>
            </w:hyperlink>
          </w:p>
        </w:tc>
        <w:tc>
          <w:tcPr>
            <w:tcW w:w="7280" w:type="dxa"/>
            <w:vAlign w:val="bottom"/>
          </w:tcPr>
          <w:p>
            <w:pPr>
              <w:ind w:left="80"/>
              <w:spacing w:after="0"/>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Exhibits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89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SPECIAL CAUTIONARY NOTICE REGARDING FORWARD-LOOKING STATEMENTS</w:t>
      </w:r>
    </w:p>
    <w:p>
      <w:pPr>
        <w:spacing w:after="0" w:line="202" w:lineRule="exact"/>
        <w:rPr>
          <w:sz w:val="20"/>
          <w:szCs w:val="20"/>
          <w:color w:val="auto"/>
        </w:rPr>
      </w:pPr>
    </w:p>
    <w:p>
      <w:pPr>
        <w:jc w:val="both"/>
        <w:ind w:left="60" w:right="59" w:firstLine="492"/>
        <w:spacing w:after="0" w:line="268" w:lineRule="auto"/>
        <w:rPr>
          <w:sz w:val="20"/>
          <w:szCs w:val="20"/>
          <w:color w:val="auto"/>
        </w:rPr>
      </w:pPr>
      <w:r>
        <w:rPr>
          <w:rFonts w:ascii="Arial" w:cs="Arial" w:eastAsia="Arial" w:hAnsi="Arial"/>
          <w:sz w:val="17"/>
          <w:szCs w:val="17"/>
          <w:color w:val="auto"/>
        </w:rPr>
        <w:t>Certain matters discussed in this report, including matters discussed under the captions “Business” and “Management’s Discussion and Analysis of Financial Condition and Results of Operations,” may constitute forward-looking statements for purposes of the Securities Act of 1933, as amended, (the “Securities Act”), and the Securities Exchange Act of 1934, as amended,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In some cases, you can identify forward-looking statements by words such as “anticipate,” “believe,” “contemplate,” “continue,” “could,” “estimate,” “expect,” “intend,” “may,” “plan,” “potential,” “predict,” “project,” “seek,” “should,” “target,” “will,” “would” or the negative of these words or other comparable terminology, although not all forward-looking statements contain these identifying words. All written or oral forward-looking statements attributable to us are expressly qualified in their entirety by these cautionary statements. In addition, with respect to all of our forward-looking statements, we claim the protection of the safe harbor for forward-looking statements contained in the Private Securities Litigation Reform Act of 1995. Such forward-looking statements include, but are not limited to, statements about our:</w:t>
      </w:r>
    </w:p>
    <w:p>
      <w:pPr>
        <w:spacing w:after="0" w:line="24" w:lineRule="exact"/>
        <w:rPr>
          <w:sz w:val="20"/>
          <w:szCs w:val="20"/>
          <w:color w:val="auto"/>
        </w:rPr>
      </w:pPr>
    </w:p>
    <w:p>
      <w:pPr>
        <w:ind w:left="1040" w:hanging="315"/>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for increases or decreases in expenses;</w:t>
      </w:r>
    </w:p>
    <w:p>
      <w:pPr>
        <w:spacing w:after="0" w:line="23" w:lineRule="exact"/>
        <w:rPr>
          <w:rFonts w:ascii="Arial" w:cs="Arial" w:eastAsia="Arial" w:hAnsi="Arial"/>
          <w:sz w:val="18"/>
          <w:szCs w:val="18"/>
          <w:color w:val="auto"/>
        </w:rPr>
      </w:pPr>
    </w:p>
    <w:p>
      <w:pPr>
        <w:jc w:val="both"/>
        <w:ind w:left="1040" w:right="79" w:hanging="315"/>
        <w:spacing w:after="0" w:line="250"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for the clinical and pre-clinical development, manufacturing, regulatory approval, and commercialization of our pharmaceutical product candidates or any other products we may acquire or in-license;</w:t>
      </w:r>
    </w:p>
    <w:p>
      <w:pPr>
        <w:spacing w:after="0" w:line="1" w:lineRule="exact"/>
        <w:rPr>
          <w:rFonts w:ascii="Arial" w:cs="Arial" w:eastAsia="Arial" w:hAnsi="Arial"/>
          <w:sz w:val="18"/>
          <w:szCs w:val="18"/>
          <w:color w:val="auto"/>
        </w:rPr>
      </w:pPr>
    </w:p>
    <w:p>
      <w:pPr>
        <w:ind w:left="1040" w:hanging="315"/>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use of clinical research centers and other contractors;</w:t>
      </w:r>
    </w:p>
    <w:p>
      <w:pPr>
        <w:spacing w:after="0" w:line="9" w:lineRule="exact"/>
        <w:rPr>
          <w:rFonts w:ascii="Arial" w:cs="Arial" w:eastAsia="Arial" w:hAnsi="Arial"/>
          <w:sz w:val="18"/>
          <w:szCs w:val="18"/>
          <w:color w:val="auto"/>
        </w:rPr>
      </w:pPr>
    </w:p>
    <w:p>
      <w:pPr>
        <w:ind w:left="1040" w:right="79" w:hanging="315"/>
        <w:spacing w:after="0" w:line="250"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as to the timing of commencing or completing pre-clinical and clinical trials and the expected outcomes of those trials;</w:t>
      </w:r>
    </w:p>
    <w:p>
      <w:pPr>
        <w:ind w:left="1040" w:right="79" w:hanging="315"/>
        <w:spacing w:after="0" w:line="250"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for incurring capital expenditures to expand our research and development and manufacturing capabilities;</w:t>
      </w:r>
    </w:p>
    <w:p>
      <w:pPr>
        <w:ind w:left="1040" w:hanging="315"/>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for generating revenue or becoming profitable on a sustained basis;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or ability to enter into marketing and other partnership agreements;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or ability to enter into product acquisition and in-licensing transactions;</w:t>
      </w:r>
    </w:p>
    <w:p>
      <w:pPr>
        <w:spacing w:after="0" w:line="9" w:lineRule="exact"/>
        <w:rPr>
          <w:rFonts w:ascii="Arial" w:cs="Arial" w:eastAsia="Arial" w:hAnsi="Arial"/>
          <w:sz w:val="18"/>
          <w:szCs w:val="18"/>
          <w:color w:val="auto"/>
        </w:rPr>
      </w:pPr>
    </w:p>
    <w:p>
      <w:pPr>
        <w:ind w:left="1040" w:right="79" w:hanging="315"/>
        <w:spacing w:after="0" w:line="250"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or ability to build our own commercial infrastructure to manufacture, market and sell our drug candidates;</w:t>
      </w:r>
    </w:p>
    <w:p>
      <w:pPr>
        <w:ind w:left="1040" w:hanging="315"/>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products being accepted by doctors, patients or payors;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ability to compete against other companies and research institutions;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ability to secure adequate protection for our intellectual property;</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ability to attract and retain key personnel;</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availability of reimbursement for our products;</w:t>
      </w:r>
    </w:p>
    <w:p>
      <w:pPr>
        <w:spacing w:after="0" w:line="9" w:lineRule="exact"/>
        <w:rPr>
          <w:rFonts w:ascii="Arial" w:cs="Arial" w:eastAsia="Arial" w:hAnsi="Arial"/>
          <w:sz w:val="18"/>
          <w:szCs w:val="18"/>
          <w:color w:val="auto"/>
        </w:rPr>
      </w:pPr>
    </w:p>
    <w:p>
      <w:pPr>
        <w:ind w:left="1040" w:right="79" w:hanging="315"/>
        <w:spacing w:after="0" w:line="265" w:lineRule="auto"/>
        <w:tabs>
          <w:tab w:leader="none" w:pos="1040" w:val="left"/>
        </w:tabs>
        <w:numPr>
          <w:ilvl w:val="0"/>
          <w:numId w:val="4"/>
        </w:numPr>
        <w:rPr>
          <w:rFonts w:ascii="Arial" w:cs="Arial" w:eastAsia="Arial" w:hAnsi="Arial"/>
          <w:sz w:val="17"/>
          <w:szCs w:val="17"/>
          <w:color w:val="auto"/>
        </w:rPr>
      </w:pPr>
      <w:r>
        <w:rPr>
          <w:rFonts w:ascii="Arial" w:cs="Arial" w:eastAsia="Arial" w:hAnsi="Arial"/>
          <w:sz w:val="17"/>
          <w:szCs w:val="17"/>
          <w:color w:val="auto"/>
        </w:rPr>
        <w:t>estimates of the sufficiency of our existing cash and cash equivalents and investments to finance our operating requirements, including expectations regarding the value and liquidity of our investments;</w:t>
      </w:r>
    </w:p>
    <w:p>
      <w:pPr>
        <w:ind w:left="1040" w:hanging="315"/>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stock price and its volatility;</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for future capital requirements; and</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impact of the coronavirus (“COVID-19”) pandemic and government measures to control it.</w:t>
      </w:r>
    </w:p>
    <w:p>
      <w:pPr>
        <w:spacing w:after="0" w:line="103" w:lineRule="exact"/>
        <w:rPr>
          <w:sz w:val="20"/>
          <w:szCs w:val="20"/>
          <w:color w:val="auto"/>
        </w:rPr>
      </w:pPr>
    </w:p>
    <w:p>
      <w:pPr>
        <w:jc w:val="both"/>
        <w:ind w:left="60" w:right="59" w:firstLine="492"/>
        <w:spacing w:after="0" w:line="291" w:lineRule="auto"/>
        <w:rPr>
          <w:sz w:val="20"/>
          <w:szCs w:val="20"/>
          <w:color w:val="auto"/>
        </w:rPr>
      </w:pPr>
      <w:r>
        <w:rPr>
          <w:rFonts w:ascii="Arial" w:cs="Arial" w:eastAsia="Arial" w:hAnsi="Arial"/>
          <w:sz w:val="16"/>
          <w:szCs w:val="16"/>
          <w:color w:val="auto"/>
        </w:rPr>
        <w:t>Our actual results may differ materially from the results anticipated in these forward-looking statements due to a variety of factors, including, without limitation, those discussed under the captions “Risk Factors,” “Management’s Discussion and Analysis of Financial Condition and Results of Operations” and elsewhere in this report, as well as other factors which may be identified from time to time in our other filings with the Securities and Exchange Commission, or the SEC, or in the documents where such forward-looking statements appear. Given these uncertainties, you should not place undue reliance on these forward-looking statements. Our forward-looking statements do not reflect the potential impact of any future acquisitions, mergers, dispositions, joint ventures or investments we may make or enter into.</w:t>
      </w:r>
    </w:p>
    <w:p>
      <w:pPr>
        <w:spacing w:after="0" w:line="4" w:lineRule="exact"/>
        <w:rPr>
          <w:sz w:val="20"/>
          <w:szCs w:val="20"/>
          <w:color w:val="auto"/>
        </w:rPr>
      </w:pPr>
    </w:p>
    <w:p>
      <w:pPr>
        <w:jc w:val="both"/>
        <w:ind w:left="60" w:right="59" w:firstLine="492"/>
        <w:spacing w:after="0" w:line="293" w:lineRule="auto"/>
        <w:rPr>
          <w:sz w:val="20"/>
          <w:szCs w:val="20"/>
          <w:color w:val="auto"/>
        </w:rPr>
      </w:pPr>
      <w:r>
        <w:rPr>
          <w:rFonts w:ascii="Arial" w:cs="Arial" w:eastAsia="Arial" w:hAnsi="Arial"/>
          <w:sz w:val="16"/>
          <w:szCs w:val="16"/>
          <w:color w:val="auto"/>
        </w:rPr>
        <w:t>You should read this report and the documents that we have filed as exhibits to this report completely and with the understanding that our actual future results, performance or achievements may be materially different from what we expect. Any forward-looking statements contained in this report reflect our current views with respect to future events or to our future financial performance and involve known and unknown risks, uncertainties and other important factors that may cause our actual results, performance or achievements to be materially different from any future results, performance or achievements expressed or implied by these forward-looking statements. The forward-looking statements contained in</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this report reflect our views and assumptions only as of the date this report is signed. Except as required by law, we assume no obligation to update or revise these forward-looking statements for any reason, even if new information becomes available in the future.</w:t>
      </w:r>
    </w:p>
    <w:p>
      <w:pPr>
        <w:spacing w:after="0" w:line="157" w:lineRule="exact"/>
        <w:rPr>
          <w:sz w:val="20"/>
          <w:szCs w:val="20"/>
          <w:color w:val="auto"/>
        </w:rPr>
      </w:pPr>
    </w:p>
    <w:p>
      <w:pPr>
        <w:jc w:val="both"/>
        <w:ind w:left="60" w:right="59" w:firstLine="492"/>
        <w:spacing w:after="0" w:line="291" w:lineRule="auto"/>
        <w:rPr>
          <w:sz w:val="20"/>
          <w:szCs w:val="20"/>
          <w:color w:val="auto"/>
        </w:rPr>
      </w:pPr>
      <w:r>
        <w:rPr>
          <w:rFonts w:ascii="Arial" w:cs="Arial" w:eastAsia="Arial" w:hAnsi="Arial"/>
          <w:sz w:val="16"/>
          <w:szCs w:val="16"/>
          <w:color w:val="auto"/>
        </w:rPr>
        <w:t>This report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PART I. FINANCIAL INFORMATION</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TG Therapeutics,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amounts)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June 30,</w:t>
            </w: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7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51"/>
              <w:spacing w:after="0"/>
              <w:rPr>
                <w:sz w:val="20"/>
                <w:szCs w:val="20"/>
                <w:color w:val="auto"/>
              </w:rPr>
            </w:pPr>
            <w:r>
              <w:rPr>
                <w:rFonts w:ascii="Arial" w:cs="Arial" w:eastAsia="Arial" w:hAnsi="Arial"/>
                <w:sz w:val="14"/>
                <w:szCs w:val="14"/>
                <w:b w:val="1"/>
                <w:bCs w:val="1"/>
                <w:color w:val="auto"/>
                <w:w w:val="96"/>
              </w:rPr>
              <w:t>2020</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r>
      <w:tr>
        <w:trPr>
          <w:trHeight w:val="155"/>
        </w:trPr>
        <w:tc>
          <w:tcPr>
            <w:tcW w:w="6700" w:type="dxa"/>
            <w:vAlign w:val="bottom"/>
          </w:tcPr>
          <w:p>
            <w:pPr>
              <w:spacing w:after="0"/>
              <w:rPr>
                <w:sz w:val="13"/>
                <w:szCs w:val="13"/>
                <w:color w:val="auto"/>
              </w:rPr>
            </w:pPr>
          </w:p>
        </w:tc>
        <w:tc>
          <w:tcPr>
            <w:tcW w:w="90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w w:val="95"/>
              </w:rPr>
              <w:t>(Unaudited)</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ind w:right="111"/>
              <w:spacing w:after="0" w:line="155" w:lineRule="exact"/>
              <w:rPr>
                <w:sz w:val="20"/>
                <w:szCs w:val="20"/>
                <w:color w:val="auto"/>
              </w:rPr>
            </w:pPr>
            <w:r>
              <w:rPr>
                <w:rFonts w:ascii="Arial" w:cs="Arial" w:eastAsia="Arial" w:hAnsi="Arial"/>
                <w:sz w:val="14"/>
                <w:szCs w:val="14"/>
                <w:b w:val="1"/>
                <w:bCs w:val="1"/>
                <w:color w:val="auto"/>
              </w:rPr>
              <w:t>(Note 1)</w:t>
            </w:r>
          </w:p>
        </w:tc>
        <w:tc>
          <w:tcPr>
            <w:tcW w:w="200" w:type="dxa"/>
            <w:vAlign w:val="bottom"/>
          </w:tcPr>
          <w:p>
            <w:pPr>
              <w:spacing w:after="0"/>
              <w:rPr>
                <w:sz w:val="13"/>
                <w:szCs w:val="13"/>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7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260,512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112,637</w:t>
            </w:r>
          </w:p>
        </w:tc>
        <w:tc>
          <w:tcPr>
            <w:tcW w:w="200" w:type="dxa"/>
            <w:vAlign w:val="bottom"/>
            <w:shd w:val="clear" w:color="auto" w:fill="CCEEFF"/>
          </w:tcPr>
          <w:p>
            <w:pPr>
              <w:spacing w:after="0"/>
              <w:rPr>
                <w:sz w:val="18"/>
                <w:szCs w:val="18"/>
                <w:color w:val="auto"/>
              </w:rPr>
            </w:pPr>
          </w:p>
        </w:tc>
      </w:tr>
      <w:tr>
        <w:trPr>
          <w:trHeight w:val="216"/>
        </w:trPr>
        <w:tc>
          <w:tcPr>
            <w:tcW w:w="6700" w:type="dxa"/>
            <w:vAlign w:val="bottom"/>
          </w:tcPr>
          <w:p>
            <w:pPr>
              <w:ind w:left="340"/>
              <w:spacing w:after="0"/>
              <w:rPr>
                <w:sz w:val="20"/>
                <w:szCs w:val="20"/>
                <w:color w:val="auto"/>
              </w:rPr>
            </w:pPr>
            <w:r>
              <w:rPr>
                <w:rFonts w:ascii="Arial" w:cs="Arial" w:eastAsia="Arial" w:hAnsi="Arial"/>
                <w:sz w:val="18"/>
                <w:szCs w:val="18"/>
                <w:color w:val="auto"/>
              </w:rPr>
              <w:t>Short-term investment securities</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15,058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27,798</w:t>
            </w:r>
          </w:p>
        </w:tc>
        <w:tc>
          <w:tcPr>
            <w:tcW w:w="200" w:type="dxa"/>
            <w:vAlign w:val="bottom"/>
          </w:tcPr>
          <w:p>
            <w:pPr>
              <w:spacing w:after="0"/>
              <w:rPr>
                <w:sz w:val="18"/>
                <w:szCs w:val="18"/>
                <w:color w:val="auto"/>
              </w:rPr>
            </w:pPr>
          </w:p>
        </w:tc>
      </w:tr>
      <w:tr>
        <w:trPr>
          <w:trHeight w:val="216"/>
        </w:trPr>
        <w:tc>
          <w:tcPr>
            <w:tcW w:w="6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research and development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8,105</w:t>
            </w:r>
          </w:p>
        </w:tc>
        <w:tc>
          <w:tcPr>
            <w:tcW w:w="200" w:type="dxa"/>
            <w:vAlign w:val="bottom"/>
            <w:shd w:val="clear" w:color="auto" w:fill="CCEEFF"/>
          </w:tcPr>
          <w:p>
            <w:pPr>
              <w:spacing w:after="0"/>
              <w:rPr>
                <w:sz w:val="18"/>
                <w:szCs w:val="18"/>
                <w:color w:val="auto"/>
              </w:rPr>
            </w:pPr>
          </w:p>
        </w:tc>
      </w:tr>
      <w:tr>
        <w:trPr>
          <w:trHeight w:val="216"/>
        </w:trPr>
        <w:tc>
          <w:tcPr>
            <w:tcW w:w="67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current assets</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1,536</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w:t>
            </w:r>
          </w:p>
        </w:tc>
        <w:tc>
          <w:tcPr>
            <w:tcW w:w="200" w:type="dxa"/>
            <w:vAlign w:val="bottom"/>
            <w:tcBorders>
              <w:bottom w:val="single" w:sz="8" w:color="CCEEFF"/>
            </w:tcBorders>
          </w:tcPr>
          <w:p>
            <w:pPr>
              <w:spacing w:after="0"/>
              <w:rPr>
                <w:sz w:val="18"/>
                <w:szCs w:val="18"/>
                <w:color w:val="auto"/>
              </w:rPr>
            </w:pPr>
          </w:p>
        </w:tc>
      </w:tr>
      <w:tr>
        <w:trPr>
          <w:trHeight w:val="209"/>
        </w:trPr>
        <w:tc>
          <w:tcPr>
            <w:tcW w:w="67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280,938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149,151</w:t>
            </w:r>
          </w:p>
        </w:tc>
        <w:tc>
          <w:tcPr>
            <w:tcW w:w="200" w:type="dxa"/>
            <w:vAlign w:val="bottom"/>
            <w:shd w:val="clear" w:color="auto" w:fill="CCEEFF"/>
          </w:tcPr>
          <w:p>
            <w:pPr>
              <w:spacing w:after="0"/>
              <w:rPr>
                <w:sz w:val="18"/>
                <w:szCs w:val="18"/>
                <w:color w:val="auto"/>
              </w:rPr>
            </w:pPr>
          </w:p>
        </w:tc>
      </w:tr>
      <w:tr>
        <w:trPr>
          <w:trHeight w:val="216"/>
        </w:trPr>
        <w:tc>
          <w:tcPr>
            <w:tcW w:w="670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1,255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1,251</w:t>
            </w:r>
          </w:p>
        </w:tc>
        <w:tc>
          <w:tcPr>
            <w:tcW w:w="200" w:type="dxa"/>
            <w:vAlign w:val="bottom"/>
          </w:tcPr>
          <w:p>
            <w:pPr>
              <w:spacing w:after="0"/>
              <w:rPr>
                <w:sz w:val="18"/>
                <w:szCs w:val="18"/>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interest, net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w:t>
            </w:r>
          </w:p>
        </w:tc>
        <w:tc>
          <w:tcPr>
            <w:tcW w:w="200" w:type="dxa"/>
            <w:vAlign w:val="bottom"/>
            <w:shd w:val="clear" w:color="auto" w:fill="CCEEFF"/>
          </w:tcPr>
          <w:p>
            <w:pPr>
              <w:spacing w:after="0"/>
              <w:rPr>
                <w:sz w:val="18"/>
                <w:szCs w:val="18"/>
                <w:color w:val="auto"/>
              </w:rPr>
            </w:pPr>
          </w:p>
        </w:tc>
      </w:tr>
      <w:tr>
        <w:trPr>
          <w:trHeight w:val="216"/>
        </w:trPr>
        <w:tc>
          <w:tcPr>
            <w:tcW w:w="6700" w:type="dxa"/>
            <w:vAlign w:val="bottom"/>
          </w:tcPr>
          <w:p>
            <w:pPr>
              <w:ind w:left="20"/>
              <w:spacing w:after="0"/>
              <w:rPr>
                <w:sz w:val="20"/>
                <w:szCs w:val="20"/>
                <w:color w:val="auto"/>
              </w:rPr>
            </w:pPr>
            <w:r>
              <w:rPr>
                <w:rFonts w:ascii="Arial" w:cs="Arial" w:eastAsia="Arial" w:hAnsi="Arial"/>
                <w:sz w:val="18"/>
                <w:szCs w:val="18"/>
                <w:color w:val="auto"/>
              </w:rPr>
              <w:t>Equipment, net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282</w:t>
            </w:r>
          </w:p>
        </w:tc>
        <w:tc>
          <w:tcPr>
            <w:tcW w:w="200" w:type="dxa"/>
            <w:vAlign w:val="bottom"/>
          </w:tcPr>
          <w:p>
            <w:pPr>
              <w:spacing w:after="0"/>
              <w:rPr>
                <w:sz w:val="18"/>
                <w:szCs w:val="18"/>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Right-of-use-assets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9,402</w:t>
            </w:r>
          </w:p>
        </w:tc>
        <w:tc>
          <w:tcPr>
            <w:tcW w:w="200" w:type="dxa"/>
            <w:vAlign w:val="bottom"/>
            <w:shd w:val="clear" w:color="auto" w:fill="CCEEFF"/>
          </w:tcPr>
          <w:p>
            <w:pPr>
              <w:spacing w:after="0"/>
              <w:rPr>
                <w:sz w:val="18"/>
                <w:szCs w:val="18"/>
                <w:color w:val="auto"/>
              </w:rPr>
            </w:pPr>
          </w:p>
        </w:tc>
      </w:tr>
      <w:tr>
        <w:trPr>
          <w:trHeight w:val="216"/>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Goodwill</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w:t>
            </w:r>
          </w:p>
        </w:tc>
        <w:tc>
          <w:tcPr>
            <w:tcW w:w="200" w:type="dxa"/>
            <w:vAlign w:val="bottom"/>
            <w:tcBorders>
              <w:bottom w:val="single" w:sz="8" w:color="CCEEFF"/>
            </w:tcBorders>
          </w:tcPr>
          <w:p>
            <w:pPr>
              <w:spacing w:after="0"/>
              <w:rPr>
                <w:sz w:val="18"/>
                <w:szCs w:val="18"/>
                <w:color w:val="auto"/>
              </w:rPr>
            </w:pPr>
          </w:p>
        </w:tc>
      </w:tr>
      <w:tr>
        <w:trPr>
          <w:trHeight w:val="209"/>
        </w:trPr>
        <w:tc>
          <w:tcPr>
            <w:tcW w:w="67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294,621</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163,014</w:t>
            </w:r>
          </w:p>
        </w:tc>
        <w:tc>
          <w:tcPr>
            <w:tcW w:w="200" w:type="dxa"/>
            <w:vAlign w:val="bottom"/>
            <w:tcBorders>
              <w:bottom w:val="single" w:sz="8" w:color="CCEEFF"/>
            </w:tcBorders>
            <w:shd w:val="clear" w:color="auto" w:fill="CCEEFF"/>
          </w:tcPr>
          <w:p>
            <w:pPr>
              <w:spacing w:after="0"/>
              <w:rPr>
                <w:sz w:val="18"/>
                <w:szCs w:val="18"/>
                <w:color w:val="auto"/>
              </w:rPr>
            </w:pPr>
          </w:p>
        </w:tc>
      </w:tr>
      <w:tr>
        <w:trPr>
          <w:trHeight w:val="20"/>
        </w:trPr>
        <w:tc>
          <w:tcPr>
            <w:tcW w:w="6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7"/>
        </w:trPr>
        <w:tc>
          <w:tcPr>
            <w:tcW w:w="6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7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29,670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30,041</w:t>
            </w:r>
          </w:p>
        </w:tc>
        <w:tc>
          <w:tcPr>
            <w:tcW w:w="200" w:type="dxa"/>
            <w:vAlign w:val="bottom"/>
            <w:shd w:val="clear" w:color="auto" w:fill="CCEEFF"/>
          </w:tcPr>
          <w:p>
            <w:pPr>
              <w:spacing w:after="0"/>
              <w:rPr>
                <w:sz w:val="18"/>
                <w:szCs w:val="18"/>
                <w:color w:val="auto"/>
              </w:rPr>
            </w:pPr>
          </w:p>
        </w:tc>
      </w:tr>
      <w:tr>
        <w:trPr>
          <w:trHeight w:val="216"/>
        </w:trPr>
        <w:tc>
          <w:tcPr>
            <w:tcW w:w="6700" w:type="dxa"/>
            <w:vAlign w:val="bottom"/>
          </w:tcPr>
          <w:p>
            <w:pPr>
              <w:ind w:left="340"/>
              <w:spacing w:after="0"/>
              <w:rPr>
                <w:sz w:val="20"/>
                <w:szCs w:val="20"/>
                <w:color w:val="auto"/>
              </w:rPr>
            </w:pPr>
            <w:r>
              <w:rPr>
                <w:rFonts w:ascii="Arial" w:cs="Arial" w:eastAsia="Arial" w:hAnsi="Arial"/>
                <w:sz w:val="18"/>
                <w:szCs w:val="18"/>
                <w:color w:val="auto"/>
              </w:rPr>
              <w:t>Other current liabilities</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25,572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48,994</w:t>
            </w:r>
          </w:p>
        </w:tc>
        <w:tc>
          <w:tcPr>
            <w:tcW w:w="200" w:type="dxa"/>
            <w:vAlign w:val="bottom"/>
          </w:tcPr>
          <w:p>
            <w:pPr>
              <w:spacing w:after="0"/>
              <w:rPr>
                <w:sz w:val="18"/>
                <w:szCs w:val="18"/>
                <w:color w:val="auto"/>
              </w:rPr>
            </w:pPr>
          </w:p>
        </w:tc>
      </w:tr>
      <w:tr>
        <w:trPr>
          <w:trHeight w:val="216"/>
        </w:trPr>
        <w:tc>
          <w:tcPr>
            <w:tcW w:w="6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Loan payable – current portion</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r>
      <w:tr>
        <w:trPr>
          <w:trHeight w:val="216"/>
        </w:trPr>
        <w:tc>
          <w:tcPr>
            <w:tcW w:w="6700" w:type="dxa"/>
            <w:vAlign w:val="bottom"/>
          </w:tcPr>
          <w:p>
            <w:pPr>
              <w:ind w:left="340"/>
              <w:spacing w:after="0"/>
              <w:rPr>
                <w:sz w:val="20"/>
                <w:szCs w:val="20"/>
                <w:color w:val="auto"/>
              </w:rPr>
            </w:pPr>
            <w:r>
              <w:rPr>
                <w:rFonts w:ascii="Arial" w:cs="Arial" w:eastAsia="Arial" w:hAnsi="Arial"/>
                <w:sz w:val="18"/>
                <w:szCs w:val="18"/>
                <w:color w:val="auto"/>
              </w:rPr>
              <w:t>Lease liability – current portion</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1,655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1,616</w:t>
            </w:r>
          </w:p>
        </w:tc>
        <w:tc>
          <w:tcPr>
            <w:tcW w:w="200" w:type="dxa"/>
            <w:vAlign w:val="bottom"/>
          </w:tcPr>
          <w:p>
            <w:pPr>
              <w:spacing w:after="0"/>
              <w:rPr>
                <w:sz w:val="18"/>
                <w:szCs w:val="18"/>
                <w:color w:val="auto"/>
              </w:rPr>
            </w:pPr>
          </w:p>
        </w:tc>
      </w:tr>
      <w:tr>
        <w:trPr>
          <w:trHeight w:val="216"/>
        </w:trPr>
        <w:tc>
          <w:tcPr>
            <w:tcW w:w="6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compensation</w:t>
            </w: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3,440</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3,798</w:t>
            </w:r>
          </w:p>
        </w:tc>
        <w:tc>
          <w:tcPr>
            <w:tcW w:w="200" w:type="dxa"/>
            <w:vAlign w:val="bottom"/>
            <w:shd w:val="clear" w:color="auto" w:fill="CCEEFF"/>
          </w:tcPr>
          <w:p>
            <w:pPr>
              <w:spacing w:after="0"/>
              <w:rPr>
                <w:sz w:val="18"/>
                <w:szCs w:val="18"/>
                <w:color w:val="auto"/>
              </w:rPr>
            </w:pPr>
          </w:p>
        </w:tc>
      </w:tr>
      <w:tr>
        <w:trPr>
          <w:trHeight w:val="209"/>
        </w:trPr>
        <w:tc>
          <w:tcPr>
            <w:tcW w:w="6700" w:type="dxa"/>
            <w:vAlign w:val="bottom"/>
          </w:tcPr>
          <w:p>
            <w:pPr>
              <w:ind w:left="560"/>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67,537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84,449</w:t>
            </w:r>
          </w:p>
        </w:tc>
        <w:tc>
          <w:tcPr>
            <w:tcW w:w="200" w:type="dxa"/>
            <w:vAlign w:val="bottom"/>
          </w:tcPr>
          <w:p>
            <w:pPr>
              <w:spacing w:after="0"/>
              <w:rPr>
                <w:sz w:val="18"/>
                <w:szCs w:val="18"/>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 net of current portion</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200" w:type="dxa"/>
            <w:vAlign w:val="bottom"/>
            <w:shd w:val="clear" w:color="auto" w:fill="CCEEFF"/>
          </w:tcPr>
          <w:p>
            <w:pPr>
              <w:spacing w:after="0"/>
              <w:rPr>
                <w:sz w:val="18"/>
                <w:szCs w:val="18"/>
                <w:color w:val="auto"/>
              </w:rPr>
            </w:pPr>
          </w:p>
        </w:tc>
      </w:tr>
      <w:tr>
        <w:trPr>
          <w:trHeight w:val="216"/>
        </w:trPr>
        <w:tc>
          <w:tcPr>
            <w:tcW w:w="670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22,233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28,970</w:t>
            </w:r>
          </w:p>
        </w:tc>
        <w:tc>
          <w:tcPr>
            <w:tcW w:w="200" w:type="dxa"/>
            <w:vAlign w:val="bottom"/>
          </w:tcPr>
          <w:p>
            <w:pPr>
              <w:spacing w:after="0"/>
              <w:rPr>
                <w:sz w:val="18"/>
                <w:szCs w:val="18"/>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liability – non-current</w:t>
            </w: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9,938</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10,218</w:t>
            </w:r>
          </w:p>
        </w:tc>
        <w:tc>
          <w:tcPr>
            <w:tcW w:w="200" w:type="dxa"/>
            <w:vAlign w:val="bottom"/>
            <w:shd w:val="clear" w:color="auto" w:fill="CCEEFF"/>
          </w:tcPr>
          <w:p>
            <w:pPr>
              <w:spacing w:after="0"/>
              <w:rPr>
                <w:sz w:val="18"/>
                <w:szCs w:val="18"/>
                <w:color w:val="auto"/>
              </w:rPr>
            </w:pPr>
          </w:p>
        </w:tc>
      </w:tr>
      <w:tr>
        <w:trPr>
          <w:trHeight w:val="210"/>
        </w:trPr>
        <w:tc>
          <w:tcPr>
            <w:tcW w:w="670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100,394</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124,399</w:t>
            </w:r>
          </w:p>
        </w:tc>
        <w:tc>
          <w:tcPr>
            <w:tcW w:w="200" w:type="dxa"/>
            <w:vAlign w:val="bottom"/>
            <w:tcBorders>
              <w:bottom w:val="single" w:sz="8" w:color="CCEEFF"/>
            </w:tcBorders>
          </w:tcPr>
          <w:p>
            <w:pPr>
              <w:spacing w:after="0"/>
              <w:rPr>
                <w:sz w:val="18"/>
                <w:szCs w:val="18"/>
                <w:color w:val="auto"/>
              </w:rPr>
            </w:pPr>
          </w:p>
        </w:tc>
      </w:tr>
      <w:tr>
        <w:trPr>
          <w:trHeight w:val="21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70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2"/>
        </w:trPr>
        <w:tc>
          <w:tcPr>
            <w:tcW w:w="6700" w:type="dxa"/>
            <w:vAlign w:val="bottom"/>
            <w:shd w:val="clear" w:color="auto" w:fill="CCEEFF"/>
          </w:tcPr>
          <w:p>
            <w:pPr>
              <w:ind w:left="440"/>
              <w:spacing w:after="0" w:line="201" w:lineRule="exact"/>
              <w:rPr>
                <w:sz w:val="20"/>
                <w:szCs w:val="20"/>
                <w:color w:val="auto"/>
              </w:rPr>
            </w:pPr>
            <w:r>
              <w:rPr>
                <w:rFonts w:ascii="Arial" w:cs="Arial" w:eastAsia="Arial" w:hAnsi="Arial"/>
                <w:sz w:val="18"/>
                <w:szCs w:val="18"/>
                <w:color w:val="auto"/>
              </w:rPr>
              <w:t>Common stock, $0.001 par value per share (150,000,000 shares authorized,</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67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3"/>
              </w:rPr>
              <w:t>126,690,514 and 109,425,243 shares issued, 126,649,205 and 109,383,934 shares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30"/>
        </w:trPr>
        <w:tc>
          <w:tcPr>
            <w:tcW w:w="6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outstanding at June 30, 2020 and December 31, 2019, respectively)</w:t>
            </w: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00" w:type="dxa"/>
            <w:vAlign w:val="bottom"/>
            <w:shd w:val="clear" w:color="auto" w:fill="CCEEFF"/>
          </w:tcPr>
          <w:p>
            <w:pPr>
              <w:spacing w:after="0"/>
              <w:rPr>
                <w:sz w:val="20"/>
                <w:szCs w:val="20"/>
                <w:color w:val="auto"/>
              </w:rPr>
            </w:pPr>
          </w:p>
        </w:tc>
      </w:tr>
      <w:tr>
        <w:trPr>
          <w:trHeight w:val="216"/>
        </w:trPr>
        <w:tc>
          <w:tcPr>
            <w:tcW w:w="6700" w:type="dxa"/>
            <w:vAlign w:val="bottom"/>
          </w:tcPr>
          <w:p>
            <w:pPr>
              <w:ind w:left="44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999,549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739,956</w:t>
            </w:r>
          </w:p>
        </w:tc>
        <w:tc>
          <w:tcPr>
            <w:tcW w:w="200" w:type="dxa"/>
            <w:vAlign w:val="bottom"/>
          </w:tcPr>
          <w:p>
            <w:pPr>
              <w:spacing w:after="0"/>
              <w:rPr>
                <w:sz w:val="18"/>
                <w:szCs w:val="18"/>
                <w:color w:val="auto"/>
              </w:rPr>
            </w:pPr>
          </w:p>
        </w:tc>
      </w:tr>
      <w:tr>
        <w:trPr>
          <w:trHeight w:val="216"/>
        </w:trPr>
        <w:tc>
          <w:tcPr>
            <w:tcW w:w="67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7"/>
              </w:rPr>
              <w:t>Treasury stock, at cost, 41,309 shares at June 30, 2020 and December 31, 2019</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(234)</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(234)</w:t>
            </w:r>
          </w:p>
        </w:tc>
      </w:tr>
      <w:tr>
        <w:trPr>
          <w:trHeight w:val="216"/>
        </w:trPr>
        <w:tc>
          <w:tcPr>
            <w:tcW w:w="6700" w:type="dxa"/>
            <w:vAlign w:val="bottom"/>
          </w:tcPr>
          <w:p>
            <w:pPr>
              <w:ind w:left="440"/>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(805,215)</w:t>
            </w: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(701,216)</w:t>
            </w:r>
          </w:p>
        </w:tc>
      </w:tr>
      <w:tr>
        <w:trPr>
          <w:trHeight w:val="210"/>
        </w:trPr>
        <w:tc>
          <w:tcPr>
            <w:tcW w:w="6700" w:type="dxa"/>
            <w:vAlign w:val="bottom"/>
            <w:tcBorders>
              <w:top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194,227</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38,615</w:t>
            </w:r>
          </w:p>
        </w:tc>
        <w:tc>
          <w:tcPr>
            <w:tcW w:w="200" w:type="dxa"/>
            <w:vAlign w:val="bottom"/>
            <w:tcBorders>
              <w:top w:val="single" w:sz="8" w:color="CCEEFF"/>
            </w:tcBorders>
            <w:shd w:val="clear" w:color="auto" w:fill="CCEEFF"/>
          </w:tcPr>
          <w:p>
            <w:pPr>
              <w:spacing w:after="0"/>
              <w:rPr>
                <w:sz w:val="18"/>
                <w:szCs w:val="18"/>
                <w:color w:val="auto"/>
              </w:rPr>
            </w:pPr>
          </w:p>
        </w:tc>
      </w:tr>
      <w:tr>
        <w:trPr>
          <w:trHeight w:val="210"/>
        </w:trPr>
        <w:tc>
          <w:tcPr>
            <w:tcW w:w="6700" w:type="dxa"/>
            <w:vAlign w:val="bottom"/>
          </w:tcPr>
          <w:p>
            <w:pPr>
              <w:ind w:left="56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294,621</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163,014</w:t>
            </w:r>
          </w:p>
        </w:tc>
        <w:tc>
          <w:tcPr>
            <w:tcW w:w="200" w:type="dxa"/>
            <w:vAlign w:val="bottom"/>
          </w:tcPr>
          <w:p>
            <w:pPr>
              <w:spacing w:after="0"/>
              <w:rPr>
                <w:sz w:val="18"/>
                <w:szCs w:val="18"/>
                <w:color w:val="auto"/>
              </w:rPr>
            </w:pPr>
          </w:p>
        </w:tc>
      </w:tr>
      <w:tr>
        <w:trPr>
          <w:trHeight w:val="20"/>
        </w:trPr>
        <w:tc>
          <w:tcPr>
            <w:tcW w:w="6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Condensed Consolidated Statements of Operations</w:t>
      </w:r>
    </w:p>
    <w:p>
      <w:pPr>
        <w:spacing w:after="0" w:line="9"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(in thousands, except share and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2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180" w:type="dxa"/>
            <w:vAlign w:val="bottom"/>
            <w:gridSpan w:val="5"/>
          </w:tcPr>
          <w:p>
            <w:pPr>
              <w:ind w:left="4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4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License revenue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and expenses: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18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7"/>
              </w:rPr>
              <w:t>Noncash stock expense associated with in-licensing</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agreements</w:t>
            </w: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120"/>
              <w:spacing w:after="0"/>
              <w:rPr>
                <w:sz w:val="20"/>
                <w:szCs w:val="20"/>
                <w:color w:val="auto"/>
              </w:rPr>
            </w:pPr>
            <w:r>
              <w:rPr>
                <w:rFonts w:ascii="Arial" w:cs="Arial" w:eastAsia="Arial" w:hAnsi="Arial"/>
                <w:sz w:val="18"/>
                <w:szCs w:val="18"/>
                <w:color w:val="auto"/>
              </w:rPr>
              <w:t>Noncash compensation</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1,553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1,352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3,532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research and development</w:t>
            </w: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34,896</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31,414</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68,939</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research and development</w:t>
            </w: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36,449</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32,866</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72,471</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Noncash compensation</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general and administrative</w:t>
            </w: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8,617</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13,789</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general and administrative</w:t>
            </w: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14,434</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2,716</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28,695</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costs and expenses</w:t>
            </w: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50,883</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35,582</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101,166</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(50,845)</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(35,544)</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(101,090)</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(income) :</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2,228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1,077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3,429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income</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(189)</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(408)</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(519)</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expense, net</w:t>
            </w: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2,039</w:t>
            </w:r>
          </w:p>
        </w:tc>
        <w:tc>
          <w:tcPr>
            <w:tcW w:w="1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669</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2,910</w:t>
            </w:r>
          </w:p>
        </w:tc>
        <w:tc>
          <w:tcPr>
            <w:tcW w:w="1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180" w:type="dxa"/>
            <w:vAlign w:val="bottom"/>
          </w:tcPr>
          <w:p>
            <w:pPr>
              <w:ind w:left="20"/>
              <w:spacing w:after="0"/>
              <w:rPr>
                <w:sz w:val="20"/>
                <w:szCs w:val="20"/>
                <w:color w:val="auto"/>
              </w:rPr>
            </w:pPr>
            <w:r>
              <w:rPr>
                <w:rFonts w:ascii="Arial" w:cs="Arial" w:eastAsia="Arial" w:hAnsi="Arial"/>
                <w:sz w:val="18"/>
                <w:szCs w:val="18"/>
                <w:color w:val="auto"/>
              </w:rPr>
              <w:t>Net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(52,884)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(36,213)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(104,000)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(71,368)</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180" w:type="dxa"/>
            <w:vAlign w:val="bottom"/>
          </w:tcPr>
          <w:p>
            <w:pPr>
              <w:ind w:left="20"/>
              <w:spacing w:after="0"/>
              <w:rPr>
                <w:sz w:val="20"/>
                <w:szCs w:val="20"/>
                <w:color w:val="auto"/>
              </w:rPr>
            </w:pPr>
            <w:r>
              <w:rPr>
                <w:rFonts w:ascii="Arial" w:cs="Arial" w:eastAsia="Arial" w:hAnsi="Arial"/>
                <w:sz w:val="18"/>
                <w:szCs w:val="18"/>
                <w:color w:val="auto"/>
              </w:rPr>
              <w:t>Basic and diluted net loss per common share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(0.47)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(0.42)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(0.95)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(0.85)</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80" w:type="dxa"/>
            <w:vAlign w:val="bottom"/>
          </w:tcPr>
          <w:p>
            <w:pPr>
              <w:ind w:left="20"/>
              <w:spacing w:after="0" w:line="201" w:lineRule="exact"/>
              <w:rPr>
                <w:sz w:val="20"/>
                <w:szCs w:val="20"/>
                <w:color w:val="auto"/>
              </w:rPr>
            </w:pPr>
            <w:r>
              <w:rPr>
                <w:rFonts w:ascii="Arial" w:cs="Arial" w:eastAsia="Arial" w:hAnsi="Arial"/>
                <w:sz w:val="18"/>
                <w:szCs w:val="18"/>
                <w:color w:val="auto"/>
                <w:w w:val="94"/>
              </w:rPr>
              <w:t>Weighted average shares used in computing basic and</w:t>
            </w:r>
          </w:p>
        </w:tc>
        <w:tc>
          <w:tcPr>
            <w:tcW w:w="12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w w:val="89"/>
              </w:rPr>
              <w:t>112,353,414</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w w:val="88"/>
              </w:rPr>
              <w:t>86,800,017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w w:val="89"/>
              </w:rPr>
              <w:t>108,926,690</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w w:val="88"/>
              </w:rPr>
              <w:t>84,002,700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180" w:type="dxa"/>
            <w:vAlign w:val="bottom"/>
          </w:tcPr>
          <w:p>
            <w:pPr>
              <w:ind w:left="20"/>
              <w:spacing w:after="0"/>
              <w:rPr>
                <w:sz w:val="20"/>
                <w:szCs w:val="20"/>
                <w:color w:val="auto"/>
              </w:rPr>
            </w:pPr>
            <w:r>
              <w:rPr>
                <w:rFonts w:ascii="Arial" w:cs="Arial" w:eastAsia="Arial" w:hAnsi="Arial"/>
                <w:sz w:val="18"/>
                <w:szCs w:val="18"/>
                <w:color w:val="auto"/>
              </w:rPr>
              <w:t>diluted net loss per common share</w:t>
            </w: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240"/>
        <w:spacing w:after="0"/>
        <w:rPr>
          <w:sz w:val="20"/>
          <w:szCs w:val="20"/>
          <w:color w:val="auto"/>
        </w:rPr>
      </w:pPr>
      <w:r>
        <w:rPr>
          <w:rFonts w:ascii="Arial" w:cs="Arial" w:eastAsia="Arial" w:hAnsi="Arial"/>
          <w:sz w:val="17"/>
          <w:szCs w:val="17"/>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Condensed 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35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240" w:type="dxa"/>
            <w:vAlign w:val="bottom"/>
            <w:gridSpan w:val="3"/>
            <w:vMerge w:val="restart"/>
          </w:tcPr>
          <w:p>
            <w:pPr>
              <w:ind w:left="260"/>
              <w:spacing w:after="0"/>
              <w:rPr>
                <w:sz w:val="20"/>
                <w:szCs w:val="20"/>
                <w:color w:val="auto"/>
              </w:rPr>
            </w:pPr>
            <w:r>
              <w:rPr>
                <w:rFonts w:ascii="Arial" w:cs="Arial" w:eastAsia="Arial" w:hAnsi="Arial"/>
                <w:sz w:val="14"/>
                <w:szCs w:val="14"/>
                <w:b w:val="1"/>
                <w:bCs w:val="1"/>
                <w:color w:val="auto"/>
                <w:w w:val="93"/>
              </w:rPr>
              <w:t>Common Stock</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w w:val="99"/>
              </w:rPr>
              <w:t>Additional</w:t>
            </w:r>
          </w:p>
        </w:tc>
        <w:tc>
          <w:tcPr>
            <w:tcW w:w="1320" w:type="dxa"/>
            <w:vAlign w:val="bottom"/>
            <w:gridSpan w:val="5"/>
            <w:vMerge w:val="restart"/>
          </w:tcPr>
          <w:p>
            <w:pPr>
              <w:ind w:left="80"/>
              <w:spacing w:after="0"/>
              <w:rPr>
                <w:sz w:val="20"/>
                <w:szCs w:val="20"/>
                <w:color w:val="auto"/>
              </w:rPr>
            </w:pPr>
            <w:r>
              <w:rPr>
                <w:rFonts w:ascii="Arial" w:cs="Arial" w:eastAsia="Arial" w:hAnsi="Arial"/>
                <w:sz w:val="14"/>
                <w:szCs w:val="14"/>
                <w:b w:val="1"/>
                <w:bCs w:val="1"/>
                <w:color w:val="auto"/>
              </w:rPr>
              <w:t>Treasury Stock</w:t>
            </w:r>
          </w:p>
        </w:tc>
        <w:tc>
          <w:tcPr>
            <w:tcW w:w="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6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5"/>
              </w:rPr>
              <w:t>paid-in</w:t>
            </w:r>
          </w:p>
        </w:tc>
        <w:tc>
          <w:tcPr>
            <w:tcW w:w="1320" w:type="dxa"/>
            <w:vAlign w:val="bottom"/>
            <w:gridSpan w:val="5"/>
            <w:vMerge w:val="continue"/>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60" w:type="dxa"/>
            <w:vAlign w:val="bottom"/>
          </w:tcPr>
          <w:p>
            <w:pPr>
              <w:spacing w:after="0"/>
              <w:rPr>
                <w:sz w:val="12"/>
                <w:szCs w:val="12"/>
                <w:color w:val="auto"/>
              </w:rPr>
            </w:pPr>
          </w:p>
        </w:tc>
        <w:tc>
          <w:tcPr>
            <w:tcW w:w="960" w:type="dxa"/>
            <w:vAlign w:val="bottom"/>
            <w:tcBorders>
              <w:top w:val="single" w:sz="8" w:color="auto"/>
            </w:tcBorders>
            <w:gridSpan w:val="2"/>
          </w:tcPr>
          <w:p>
            <w:pPr>
              <w:ind w:left="200"/>
              <w:spacing w:after="0" w:line="142" w:lineRule="exact"/>
              <w:rPr>
                <w:sz w:val="20"/>
                <w:szCs w:val="20"/>
                <w:color w:val="auto"/>
              </w:rPr>
            </w:pPr>
            <w:r>
              <w:rPr>
                <w:rFonts w:ascii="Arial" w:cs="Arial" w:eastAsia="Arial" w:hAnsi="Arial"/>
                <w:sz w:val="14"/>
                <w:szCs w:val="14"/>
                <w:b w:val="1"/>
                <w:bCs w:val="1"/>
                <w:color w:val="auto"/>
              </w:rPr>
              <w:t>Shares</w:t>
            </w:r>
          </w:p>
        </w:tc>
        <w:tc>
          <w:tcPr>
            <w:tcW w:w="5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capital</w:t>
            </w:r>
          </w:p>
        </w:tc>
        <w:tc>
          <w:tcPr>
            <w:tcW w:w="64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Shares</w:t>
            </w:r>
          </w:p>
        </w:tc>
        <w:tc>
          <w:tcPr>
            <w:tcW w:w="5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8"/>
              </w:rPr>
              <w:t>Amount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2"/>
                <w:szCs w:val="12"/>
                <w:color w:val="auto"/>
              </w:rPr>
            </w:pPr>
          </w:p>
        </w:tc>
        <w:tc>
          <w:tcPr>
            <w:tcW w:w="540" w:type="dxa"/>
            <w:vAlign w:val="bottom"/>
          </w:tcPr>
          <w:p>
            <w:pPr>
              <w:jc w:val="right"/>
              <w:ind w:right="108"/>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366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Balance at January 1, 2019</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83,911,855</w:t>
            </w:r>
          </w:p>
        </w:tc>
        <w:tc>
          <w:tcPr>
            <w:tcW w:w="14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84</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552,531</w:t>
            </w:r>
          </w:p>
        </w:tc>
        <w:tc>
          <w:tcPr>
            <w:tcW w:w="4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ind w:left="40"/>
              <w:spacing w:after="0" w:line="142" w:lineRule="exact"/>
              <w:rPr>
                <w:sz w:val="20"/>
                <w:szCs w:val="20"/>
                <w:color w:val="auto"/>
              </w:rPr>
            </w:pPr>
            <w:r>
              <w:rPr>
                <w:rFonts w:ascii="Arial" w:cs="Arial" w:eastAsia="Arial" w:hAnsi="Arial"/>
                <w:sz w:val="14"/>
                <w:szCs w:val="14"/>
                <w:color w:val="auto"/>
                <w:w w:val="97"/>
              </w:rPr>
              <w:t>41,309</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(234)</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(528,345)</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24,036</w:t>
            </w:r>
          </w:p>
        </w:tc>
        <w:tc>
          <w:tcPr>
            <w:tcW w:w="0" w:type="dxa"/>
            <w:vAlign w:val="bottom"/>
          </w:tcPr>
          <w:p>
            <w:pPr>
              <w:spacing w:after="0"/>
              <w:rPr>
                <w:sz w:val="1"/>
                <w:szCs w:val="1"/>
                <w:color w:val="auto"/>
              </w:rPr>
            </w:pPr>
          </w:p>
        </w:tc>
      </w:tr>
      <w:tr>
        <w:trPr>
          <w:trHeight w:val="148"/>
        </w:trPr>
        <w:tc>
          <w:tcPr>
            <w:tcW w:w="3660" w:type="dxa"/>
            <w:vAlign w:val="bottom"/>
          </w:tcPr>
          <w:p>
            <w:pPr>
              <w:ind w:left="20"/>
              <w:spacing w:after="0" w:line="149" w:lineRule="exact"/>
              <w:rPr>
                <w:sz w:val="20"/>
                <w:szCs w:val="20"/>
                <w:color w:val="auto"/>
              </w:rPr>
            </w:pPr>
            <w:r>
              <w:rPr>
                <w:rFonts w:ascii="Arial" w:cs="Arial" w:eastAsia="Arial" w:hAnsi="Arial"/>
                <w:sz w:val="14"/>
                <w:szCs w:val="14"/>
                <w:color w:val="auto"/>
              </w:rPr>
              <w:t>Issuance of restricted stock</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23,000</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6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Warrants issued with debt financing</w:t>
            </w: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993</w:t>
            </w: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993</w:t>
            </w:r>
          </w:p>
        </w:tc>
        <w:tc>
          <w:tcPr>
            <w:tcW w:w="0" w:type="dxa"/>
            <w:vAlign w:val="bottom"/>
          </w:tcPr>
          <w:p>
            <w:pPr>
              <w:spacing w:after="0"/>
              <w:rPr>
                <w:sz w:val="1"/>
                <w:szCs w:val="1"/>
                <w:color w:val="auto"/>
              </w:rPr>
            </w:pPr>
          </w:p>
        </w:tc>
      </w:tr>
      <w:tr>
        <w:trPr>
          <w:trHeight w:val="148"/>
        </w:trPr>
        <w:tc>
          <w:tcPr>
            <w:tcW w:w="3660" w:type="dxa"/>
            <w:vAlign w:val="bottom"/>
          </w:tcPr>
          <w:p>
            <w:pPr>
              <w:ind w:left="20"/>
              <w:spacing w:after="0" w:line="149" w:lineRule="exact"/>
              <w:rPr>
                <w:sz w:val="20"/>
                <w:szCs w:val="20"/>
                <w:color w:val="auto"/>
              </w:rPr>
            </w:pPr>
            <w:r>
              <w:rPr>
                <w:rFonts w:ascii="Arial" w:cs="Arial" w:eastAsia="Arial" w:hAnsi="Arial"/>
                <w:sz w:val="14"/>
                <w:szCs w:val="14"/>
                <w:color w:val="auto"/>
              </w:rPr>
              <w:t>Forfeiture of restricted stock</w:t>
            </w:r>
          </w:p>
        </w:tc>
        <w:tc>
          <w:tcPr>
            <w:tcW w:w="9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(67,628)</w:t>
            </w:r>
          </w:p>
        </w:tc>
        <w:tc>
          <w:tcPr>
            <w:tcW w:w="28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66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Issuance of common stock in At-the-Market offerings (net</w:t>
            </w: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of offering costs of $0.2 million)</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4,715,000</w:t>
            </w: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27,494</w:t>
            </w:r>
          </w:p>
        </w:tc>
        <w:tc>
          <w:tcPr>
            <w:tcW w:w="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27,499</w:t>
            </w:r>
          </w:p>
        </w:tc>
        <w:tc>
          <w:tcPr>
            <w:tcW w:w="0" w:type="dxa"/>
            <w:vAlign w:val="bottom"/>
          </w:tcPr>
          <w:p>
            <w:pPr>
              <w:spacing w:after="0"/>
              <w:rPr>
                <w:sz w:val="1"/>
                <w:szCs w:val="1"/>
                <w:color w:val="auto"/>
              </w:rPr>
            </w:pPr>
          </w:p>
        </w:tc>
      </w:tr>
      <w:tr>
        <w:trPr>
          <w:trHeight w:val="130"/>
        </w:trPr>
        <w:tc>
          <w:tcPr>
            <w:tcW w:w="3660" w:type="dxa"/>
            <w:vAlign w:val="bottom"/>
          </w:tcPr>
          <w:p>
            <w:pPr>
              <w:ind w:left="20"/>
              <w:spacing w:after="0" w:line="130" w:lineRule="exact"/>
              <w:rPr>
                <w:sz w:val="20"/>
                <w:szCs w:val="20"/>
                <w:color w:val="auto"/>
              </w:rPr>
            </w:pPr>
            <w:r>
              <w:rPr>
                <w:rFonts w:ascii="Arial" w:cs="Arial" w:eastAsia="Arial" w:hAnsi="Arial"/>
                <w:sz w:val="14"/>
                <w:szCs w:val="14"/>
                <w:color w:val="auto"/>
              </w:rPr>
              <w:t>Compensation in respect of restricted stock granted to</w:t>
            </w: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660" w:type="dxa"/>
            <w:vAlign w:val="bottom"/>
          </w:tcPr>
          <w:p>
            <w:pPr>
              <w:ind w:left="20"/>
              <w:spacing w:after="0"/>
              <w:rPr>
                <w:sz w:val="20"/>
                <w:szCs w:val="20"/>
                <w:color w:val="auto"/>
              </w:rPr>
            </w:pPr>
            <w:r>
              <w:rPr>
                <w:rFonts w:ascii="Arial" w:cs="Arial" w:eastAsia="Arial" w:hAnsi="Arial"/>
                <w:sz w:val="14"/>
                <w:szCs w:val="14"/>
                <w:color w:val="auto"/>
              </w:rPr>
              <w:t>employees, directors and consultants</w:t>
            </w: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1,882</w:t>
            </w: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1,882</w:t>
            </w:r>
          </w:p>
        </w:tc>
        <w:tc>
          <w:tcPr>
            <w:tcW w:w="0" w:type="dxa"/>
            <w:vAlign w:val="bottom"/>
          </w:tcPr>
          <w:p>
            <w:pPr>
              <w:spacing w:after="0"/>
              <w:rPr>
                <w:sz w:val="1"/>
                <w:szCs w:val="1"/>
                <w:color w:val="auto"/>
              </w:rPr>
            </w:pPr>
          </w:p>
        </w:tc>
      </w:tr>
      <w:tr>
        <w:trPr>
          <w:trHeight w:val="148"/>
        </w:trPr>
        <w:tc>
          <w:tcPr>
            <w:tcW w:w="36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Net loss</w:t>
            </w: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(35,156)</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(35,156)</w:t>
            </w:r>
          </w:p>
        </w:tc>
        <w:tc>
          <w:tcPr>
            <w:tcW w:w="0" w:type="dxa"/>
            <w:vAlign w:val="bottom"/>
          </w:tcPr>
          <w:p>
            <w:pPr>
              <w:spacing w:after="0"/>
              <w:rPr>
                <w:sz w:val="1"/>
                <w:szCs w:val="1"/>
                <w:color w:val="auto"/>
              </w:rPr>
            </w:pPr>
          </w:p>
        </w:tc>
      </w:tr>
      <w:tr>
        <w:trPr>
          <w:trHeight w:val="142"/>
        </w:trPr>
        <w:tc>
          <w:tcPr>
            <w:tcW w:w="3660" w:type="dxa"/>
            <w:vAlign w:val="bottom"/>
          </w:tcPr>
          <w:p>
            <w:pPr>
              <w:ind w:left="20"/>
              <w:spacing w:after="0" w:line="142" w:lineRule="exact"/>
              <w:rPr>
                <w:sz w:val="20"/>
                <w:szCs w:val="20"/>
                <w:color w:val="auto"/>
              </w:rPr>
            </w:pPr>
            <w:r>
              <w:rPr>
                <w:rFonts w:ascii="Arial" w:cs="Arial" w:eastAsia="Arial" w:hAnsi="Arial"/>
                <w:sz w:val="14"/>
                <w:szCs w:val="14"/>
                <w:color w:val="auto"/>
              </w:rPr>
              <w:t>Balance at March 31, 2019</w:t>
            </w:r>
          </w:p>
        </w:tc>
        <w:tc>
          <w:tcPr>
            <w:tcW w:w="8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88,582,227</w:t>
            </w:r>
          </w:p>
        </w:tc>
        <w:tc>
          <w:tcPr>
            <w:tcW w:w="14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89</w:t>
            </w: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582,900</w:t>
            </w:r>
          </w:p>
        </w:tc>
        <w:tc>
          <w:tcPr>
            <w:tcW w:w="40" w:type="dxa"/>
            <w:vAlign w:val="bottom"/>
          </w:tcPr>
          <w:p>
            <w:pPr>
              <w:spacing w:after="0"/>
              <w:rPr>
                <w:sz w:val="12"/>
                <w:szCs w:val="12"/>
                <w:color w:val="auto"/>
              </w:rPr>
            </w:pPr>
          </w:p>
        </w:tc>
        <w:tc>
          <w:tcPr>
            <w:tcW w:w="480" w:type="dxa"/>
            <w:vAlign w:val="bottom"/>
            <w:tcBorders>
              <w:top w:val="single" w:sz="8" w:color="auto"/>
            </w:tcBorders>
          </w:tcPr>
          <w:p>
            <w:pPr>
              <w:ind w:left="40"/>
              <w:spacing w:after="0" w:line="142" w:lineRule="exact"/>
              <w:rPr>
                <w:sz w:val="20"/>
                <w:szCs w:val="20"/>
                <w:color w:val="auto"/>
              </w:rPr>
            </w:pPr>
            <w:r>
              <w:rPr>
                <w:rFonts w:ascii="Arial" w:cs="Arial" w:eastAsia="Arial" w:hAnsi="Arial"/>
                <w:sz w:val="14"/>
                <w:szCs w:val="14"/>
                <w:color w:val="auto"/>
                <w:w w:val="97"/>
              </w:rPr>
              <w:t>41,309</w:t>
            </w: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(234)</w:t>
            </w: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(563,501)</w:t>
            </w: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19,254</w:t>
            </w:r>
          </w:p>
        </w:tc>
        <w:tc>
          <w:tcPr>
            <w:tcW w:w="0" w:type="dxa"/>
            <w:vAlign w:val="bottom"/>
          </w:tcPr>
          <w:p>
            <w:pPr>
              <w:spacing w:after="0"/>
              <w:rPr>
                <w:sz w:val="1"/>
                <w:szCs w:val="1"/>
                <w:color w:val="auto"/>
              </w:rPr>
            </w:pPr>
          </w:p>
        </w:tc>
      </w:tr>
      <w:tr>
        <w:trPr>
          <w:trHeight w:val="149"/>
        </w:trPr>
        <w:tc>
          <w:tcPr>
            <w:tcW w:w="36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Issuance of restricted stock</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1,245,000</w:t>
            </w: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660" w:type="dxa"/>
            <w:vAlign w:val="bottom"/>
          </w:tcPr>
          <w:p>
            <w:pPr>
              <w:ind w:left="20"/>
              <w:spacing w:after="0" w:line="149" w:lineRule="exact"/>
              <w:rPr>
                <w:sz w:val="20"/>
                <w:szCs w:val="20"/>
                <w:color w:val="auto"/>
              </w:rPr>
            </w:pPr>
            <w:r>
              <w:rPr>
                <w:rFonts w:ascii="Arial" w:cs="Arial" w:eastAsia="Arial" w:hAnsi="Arial"/>
                <w:sz w:val="14"/>
                <w:szCs w:val="14"/>
                <w:color w:val="auto"/>
              </w:rPr>
              <w:t>Forfeiture of restricted stock</w:t>
            </w:r>
          </w:p>
        </w:tc>
        <w:tc>
          <w:tcPr>
            <w:tcW w:w="9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(38,418)</w:t>
            </w:r>
          </w:p>
        </w:tc>
        <w:tc>
          <w:tcPr>
            <w:tcW w:w="28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6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Issuance of common stock in public offering</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30"/>
        </w:trPr>
        <w:tc>
          <w:tcPr>
            <w:tcW w:w="3660" w:type="dxa"/>
            <w:vAlign w:val="bottom"/>
          </w:tcPr>
          <w:p>
            <w:pPr>
              <w:ind w:left="20"/>
              <w:spacing w:after="0" w:line="130" w:lineRule="exact"/>
              <w:rPr>
                <w:sz w:val="20"/>
                <w:szCs w:val="20"/>
                <w:color w:val="auto"/>
              </w:rPr>
            </w:pPr>
            <w:r>
              <w:rPr>
                <w:rFonts w:ascii="Arial" w:cs="Arial" w:eastAsia="Arial" w:hAnsi="Arial"/>
                <w:sz w:val="14"/>
                <w:szCs w:val="14"/>
                <w:color w:val="auto"/>
              </w:rPr>
              <w:t>Issuance of common stock in At-the-Market offerings (net</w:t>
            </w: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660" w:type="dxa"/>
            <w:vAlign w:val="bottom"/>
          </w:tcPr>
          <w:p>
            <w:pPr>
              <w:ind w:left="20"/>
              <w:spacing w:after="0"/>
              <w:rPr>
                <w:sz w:val="20"/>
                <w:szCs w:val="20"/>
                <w:color w:val="auto"/>
              </w:rPr>
            </w:pPr>
            <w:r>
              <w:rPr>
                <w:rFonts w:ascii="Arial" w:cs="Arial" w:eastAsia="Arial" w:hAnsi="Arial"/>
                <w:sz w:val="14"/>
                <w:szCs w:val="14"/>
                <w:color w:val="auto"/>
              </w:rPr>
              <w:t>of offering costs of $1.4 million)</w:t>
            </w:r>
          </w:p>
        </w:tc>
        <w:tc>
          <w:tcPr>
            <w:tcW w:w="820" w:type="dxa"/>
            <w:vAlign w:val="bottom"/>
          </w:tcPr>
          <w:p>
            <w:pPr>
              <w:jc w:val="right"/>
              <w:spacing w:after="0"/>
              <w:rPr>
                <w:sz w:val="20"/>
                <w:szCs w:val="20"/>
                <w:color w:val="auto"/>
              </w:rPr>
            </w:pPr>
            <w:r>
              <w:rPr>
                <w:rFonts w:ascii="Arial" w:cs="Arial" w:eastAsia="Arial" w:hAnsi="Arial"/>
                <w:sz w:val="14"/>
                <w:szCs w:val="14"/>
                <w:color w:val="auto"/>
              </w:rPr>
              <w:t>3,616,359</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3</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28,392</w:t>
            </w: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28,395</w:t>
            </w:r>
          </w:p>
        </w:tc>
        <w:tc>
          <w:tcPr>
            <w:tcW w:w="0" w:type="dxa"/>
            <w:vAlign w:val="bottom"/>
          </w:tcPr>
          <w:p>
            <w:pPr>
              <w:spacing w:after="0"/>
              <w:rPr>
                <w:sz w:val="1"/>
                <w:szCs w:val="1"/>
                <w:color w:val="auto"/>
              </w:rPr>
            </w:pPr>
          </w:p>
        </w:tc>
      </w:tr>
      <w:tr>
        <w:trPr>
          <w:trHeight w:val="130"/>
        </w:trPr>
        <w:tc>
          <w:tcPr>
            <w:tcW w:w="366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Compensation in respect of restricted stock granted to</w:t>
            </w: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employees, directors and consultants</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1,757</w:t>
            </w:r>
          </w:p>
        </w:tc>
        <w:tc>
          <w:tcPr>
            <w:tcW w:w="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1,757</w:t>
            </w:r>
          </w:p>
        </w:tc>
        <w:tc>
          <w:tcPr>
            <w:tcW w:w="0" w:type="dxa"/>
            <w:vAlign w:val="bottom"/>
          </w:tcPr>
          <w:p>
            <w:pPr>
              <w:spacing w:after="0"/>
              <w:rPr>
                <w:sz w:val="1"/>
                <w:szCs w:val="1"/>
                <w:color w:val="auto"/>
              </w:rPr>
            </w:pPr>
          </w:p>
        </w:tc>
      </w:tr>
      <w:tr>
        <w:trPr>
          <w:trHeight w:val="148"/>
        </w:trPr>
        <w:tc>
          <w:tcPr>
            <w:tcW w:w="3660" w:type="dxa"/>
            <w:vAlign w:val="bottom"/>
          </w:tcPr>
          <w:p>
            <w:pPr>
              <w:ind w:left="20"/>
              <w:spacing w:after="0" w:line="149" w:lineRule="exact"/>
              <w:rPr>
                <w:sz w:val="20"/>
                <w:szCs w:val="20"/>
                <w:color w:val="auto"/>
              </w:rPr>
            </w:pPr>
            <w:r>
              <w:rPr>
                <w:rFonts w:ascii="Arial" w:cs="Arial" w:eastAsia="Arial" w:hAnsi="Arial"/>
                <w:sz w:val="14"/>
                <w:szCs w:val="14"/>
                <w:color w:val="auto"/>
              </w:rPr>
              <w:t>Net loss</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3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(36,212)</w:t>
            </w: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w w:val="99"/>
              </w:rPr>
              <w:t>(36,212)</w:t>
            </w:r>
          </w:p>
        </w:tc>
        <w:tc>
          <w:tcPr>
            <w:tcW w:w="0" w:type="dxa"/>
            <w:vAlign w:val="bottom"/>
          </w:tcPr>
          <w:p>
            <w:pPr>
              <w:spacing w:after="0"/>
              <w:rPr>
                <w:sz w:val="1"/>
                <w:szCs w:val="1"/>
                <w:color w:val="auto"/>
              </w:rPr>
            </w:pPr>
          </w:p>
        </w:tc>
      </w:tr>
      <w:tr>
        <w:trPr>
          <w:trHeight w:val="142"/>
        </w:trPr>
        <w:tc>
          <w:tcPr>
            <w:tcW w:w="3660" w:type="dxa"/>
            <w:vAlign w:val="bottom"/>
            <w:tcBorders>
              <w:top w:val="single" w:sz="8" w:color="CCEEFF"/>
              <w:bottom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Balance at June 30, 2019</w:t>
            </w: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93,405,168</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93</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613,059</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480" w:type="dxa"/>
            <w:vAlign w:val="bottom"/>
            <w:tcBorders>
              <w:top w:val="single" w:sz="8" w:color="auto"/>
              <w:bottom w:val="single" w:sz="8" w:color="auto"/>
            </w:tcBorders>
            <w:shd w:val="clear" w:color="auto" w:fill="CCEEFF"/>
          </w:tcPr>
          <w:p>
            <w:pPr>
              <w:ind w:left="40"/>
              <w:spacing w:after="0" w:line="142" w:lineRule="exact"/>
              <w:rPr>
                <w:sz w:val="20"/>
                <w:szCs w:val="20"/>
                <w:color w:val="auto"/>
              </w:rPr>
            </w:pPr>
            <w:r>
              <w:rPr>
                <w:rFonts w:ascii="Arial" w:cs="Arial" w:eastAsia="Arial" w:hAnsi="Arial"/>
                <w:sz w:val="14"/>
                <w:szCs w:val="14"/>
                <w:color w:val="auto"/>
                <w:w w:val="97"/>
              </w:rPr>
              <w:t>41,309</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(234)</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(599,713)</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13,205</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w w:val="99"/>
              </w:rPr>
              <w:t>Additional</w:t>
            </w: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r>
      <w:tr>
        <w:trPr>
          <w:trHeight w:val="148"/>
        </w:trPr>
        <w:tc>
          <w:tcPr>
            <w:tcW w:w="22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20" w:type="dxa"/>
            <w:vAlign w:val="bottom"/>
            <w:gridSpan w:val="5"/>
          </w:tcPr>
          <w:p>
            <w:pPr>
              <w:ind w:left="260"/>
              <w:spacing w:after="0" w:line="149" w:lineRule="exact"/>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95"/>
              </w:rPr>
              <w:t>paid-in</w:t>
            </w:r>
          </w:p>
        </w:tc>
        <w:tc>
          <w:tcPr>
            <w:tcW w:w="1320" w:type="dxa"/>
            <w:vAlign w:val="bottom"/>
            <w:gridSpan w:val="5"/>
          </w:tcPr>
          <w:p>
            <w:pPr>
              <w:ind w:left="80"/>
              <w:spacing w:after="0" w:line="149" w:lineRule="exact"/>
              <w:rPr>
                <w:sz w:val="20"/>
                <w:szCs w:val="20"/>
                <w:color w:val="auto"/>
              </w:rPr>
            </w:pPr>
            <w:r>
              <w:rPr>
                <w:rFonts w:ascii="Arial" w:cs="Arial" w:eastAsia="Arial" w:hAnsi="Arial"/>
                <w:sz w:val="14"/>
                <w:szCs w:val="14"/>
                <w:b w:val="1"/>
                <w:bCs w:val="1"/>
                <w:color w:val="auto"/>
              </w:rPr>
              <w:t>Treasury Stock</w:t>
            </w: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42"/>
        </w:trPr>
        <w:tc>
          <w:tcPr>
            <w:tcW w:w="2240" w:type="dxa"/>
            <w:vAlign w:val="bottom"/>
            <w:tcBorders>
              <w:top w:val="single" w:sz="8" w:color="CCEEFF"/>
            </w:tcBorders>
            <w:shd w:val="clear" w:color="auto" w:fill="CCEEFF"/>
          </w:tcPr>
          <w:p>
            <w:pPr>
              <w:spacing w:after="0"/>
              <w:rPr>
                <w:sz w:val="12"/>
                <w:szCs w:val="12"/>
                <w:color w:val="auto"/>
              </w:rPr>
            </w:pPr>
          </w:p>
        </w:tc>
        <w:tc>
          <w:tcPr>
            <w:tcW w:w="142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tcBorders>
            <w:gridSpan w:val="2"/>
            <w:shd w:val="clear" w:color="auto" w:fill="CCEEFF"/>
          </w:tcPr>
          <w:p>
            <w:pPr>
              <w:ind w:left="200"/>
              <w:spacing w:after="0" w:line="142" w:lineRule="exact"/>
              <w:rPr>
                <w:sz w:val="20"/>
                <w:szCs w:val="20"/>
                <w:color w:val="auto"/>
              </w:rPr>
            </w:pPr>
            <w:r>
              <w:rPr>
                <w:rFonts w:ascii="Arial" w:cs="Arial" w:eastAsia="Arial" w:hAnsi="Arial"/>
                <w:sz w:val="14"/>
                <w:szCs w:val="14"/>
                <w:b w:val="1"/>
                <w:bCs w:val="1"/>
                <w:color w:val="auto"/>
              </w:rPr>
              <w:t>Shares</w:t>
            </w:r>
          </w:p>
        </w:tc>
        <w:tc>
          <w:tcPr>
            <w:tcW w:w="50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w w:val="90"/>
              </w:rPr>
              <w:t>Amount</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CCEEFF"/>
            </w:tcBorders>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b w:val="1"/>
                <w:bCs w:val="1"/>
                <w:color w:val="auto"/>
              </w:rPr>
              <w:t>capital</w:t>
            </w:r>
          </w:p>
        </w:tc>
        <w:tc>
          <w:tcPr>
            <w:tcW w:w="640" w:type="dxa"/>
            <w:vAlign w:val="bottom"/>
            <w:tcBorders>
              <w:top w:val="single" w:sz="8" w:color="auto"/>
            </w:tcBorders>
            <w:gridSpan w:val="2"/>
            <w:shd w:val="clear" w:color="auto" w:fill="CCEEFF"/>
          </w:tcPr>
          <w:p>
            <w:pPr>
              <w:ind w:left="40"/>
              <w:spacing w:after="0" w:line="142" w:lineRule="exact"/>
              <w:rPr>
                <w:sz w:val="20"/>
                <w:szCs w:val="20"/>
                <w:color w:val="auto"/>
              </w:rPr>
            </w:pPr>
            <w:r>
              <w:rPr>
                <w:rFonts w:ascii="Arial" w:cs="Arial" w:eastAsia="Arial" w:hAnsi="Arial"/>
                <w:sz w:val="14"/>
                <w:szCs w:val="14"/>
                <w:b w:val="1"/>
                <w:bCs w:val="1"/>
                <w:color w:val="auto"/>
              </w:rPr>
              <w:t>Shares</w:t>
            </w:r>
          </w:p>
        </w:tc>
        <w:tc>
          <w:tcPr>
            <w:tcW w:w="54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w w:val="98"/>
              </w:rPr>
              <w:t>Amount</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CCEEFF"/>
            </w:tcBorders>
            <w:gridSpan w:val="2"/>
            <w:shd w:val="clear" w:color="auto" w:fill="CCEEFF"/>
          </w:tcPr>
          <w:p>
            <w:pPr>
              <w:jc w:val="right"/>
              <w:ind w:right="360"/>
              <w:spacing w:after="0" w:line="142" w:lineRule="exact"/>
              <w:rPr>
                <w:sz w:val="20"/>
                <w:szCs w:val="20"/>
                <w:color w:val="auto"/>
              </w:rPr>
            </w:pPr>
            <w:r>
              <w:rPr>
                <w:rFonts w:ascii="Arial" w:cs="Arial" w:eastAsia="Arial" w:hAnsi="Arial"/>
                <w:sz w:val="14"/>
                <w:szCs w:val="14"/>
                <w:b w:val="1"/>
                <w:bCs w:val="1"/>
                <w:color w:val="auto"/>
              </w:rPr>
              <w:t>Deficit</w:t>
            </w:r>
          </w:p>
        </w:tc>
        <w:tc>
          <w:tcPr>
            <w:tcW w:w="1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CCEEFF"/>
            </w:tcBorders>
            <w:shd w:val="clear" w:color="auto" w:fill="CCEEFF"/>
          </w:tcPr>
          <w:p>
            <w:pPr>
              <w:jc w:val="right"/>
              <w:ind w:right="108"/>
              <w:spacing w:after="0" w:line="142" w:lineRule="exact"/>
              <w:rPr>
                <w:sz w:val="20"/>
                <w:szCs w:val="20"/>
                <w:color w:val="auto"/>
              </w:rPr>
            </w:pPr>
            <w:r>
              <w:rPr>
                <w:rFonts w:ascii="Arial" w:cs="Arial" w:eastAsia="Arial" w:hAnsi="Arial"/>
                <w:sz w:val="14"/>
                <w:szCs w:val="14"/>
                <w:b w:val="1"/>
                <w:bCs w:val="1"/>
                <w:color w:val="auto"/>
              </w:rPr>
              <w:t>Total</w:t>
            </w:r>
          </w:p>
        </w:tc>
      </w:tr>
      <w:tr>
        <w:trPr>
          <w:trHeight w:val="142"/>
        </w:trPr>
        <w:tc>
          <w:tcPr>
            <w:tcW w:w="3660" w:type="dxa"/>
            <w:vAlign w:val="bottom"/>
            <w:gridSpan w:val="2"/>
          </w:tcPr>
          <w:p>
            <w:pPr>
              <w:ind w:left="20"/>
              <w:spacing w:after="0" w:line="142" w:lineRule="exact"/>
              <w:rPr>
                <w:sz w:val="20"/>
                <w:szCs w:val="20"/>
                <w:color w:val="auto"/>
              </w:rPr>
            </w:pPr>
            <w:r>
              <w:rPr>
                <w:rFonts w:ascii="Arial" w:cs="Arial" w:eastAsia="Arial" w:hAnsi="Arial"/>
                <w:sz w:val="14"/>
                <w:szCs w:val="14"/>
                <w:color w:val="auto"/>
              </w:rPr>
              <w:t>Balance at January 1, 2020</w:t>
            </w:r>
          </w:p>
        </w:tc>
        <w:tc>
          <w:tcPr>
            <w:tcW w:w="8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7"/>
              </w:rPr>
              <w:t>109,425,243</w:t>
            </w: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109</w:t>
            </w: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739,956</w:t>
            </w:r>
          </w:p>
        </w:tc>
        <w:tc>
          <w:tcPr>
            <w:tcW w:w="40" w:type="dxa"/>
            <w:vAlign w:val="bottom"/>
          </w:tcPr>
          <w:p>
            <w:pPr>
              <w:spacing w:after="0"/>
              <w:rPr>
                <w:sz w:val="12"/>
                <w:szCs w:val="12"/>
                <w:color w:val="auto"/>
              </w:rPr>
            </w:pPr>
          </w:p>
        </w:tc>
        <w:tc>
          <w:tcPr>
            <w:tcW w:w="480" w:type="dxa"/>
            <w:vAlign w:val="bottom"/>
            <w:tcBorders>
              <w:top w:val="single" w:sz="8" w:color="auto"/>
            </w:tcBorders>
          </w:tcPr>
          <w:p>
            <w:pPr>
              <w:ind w:left="40"/>
              <w:spacing w:after="0" w:line="142" w:lineRule="exact"/>
              <w:rPr>
                <w:sz w:val="20"/>
                <w:szCs w:val="20"/>
                <w:color w:val="auto"/>
              </w:rPr>
            </w:pPr>
            <w:r>
              <w:rPr>
                <w:rFonts w:ascii="Arial" w:cs="Arial" w:eastAsia="Arial" w:hAnsi="Arial"/>
                <w:sz w:val="14"/>
                <w:szCs w:val="14"/>
                <w:color w:val="auto"/>
                <w:w w:val="97"/>
              </w:rPr>
              <w:t>41,309</w:t>
            </w: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(234)</w:t>
            </w: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(701,216)</w:t>
            </w:r>
          </w:p>
        </w:tc>
        <w:tc>
          <w:tcPr>
            <w:tcW w:w="16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38,615</w:t>
            </w:r>
          </w:p>
        </w:tc>
      </w:tr>
      <w:tr>
        <w:trPr>
          <w:trHeight w:val="130"/>
        </w:trPr>
        <w:tc>
          <w:tcPr>
            <w:tcW w:w="3660" w:type="dxa"/>
            <w:vAlign w:val="bottom"/>
            <w:gridSpan w:val="2"/>
            <w:shd w:val="clear" w:color="auto" w:fill="CCEEFF"/>
          </w:tcPr>
          <w:p>
            <w:pPr>
              <w:ind w:left="20"/>
              <w:spacing w:after="0" w:line="130" w:lineRule="exact"/>
              <w:rPr>
                <w:sz w:val="20"/>
                <w:szCs w:val="20"/>
                <w:color w:val="auto"/>
              </w:rPr>
            </w:pPr>
            <w:r>
              <w:rPr>
                <w:rFonts w:ascii="Arial" w:cs="Arial" w:eastAsia="Arial" w:hAnsi="Arial"/>
                <w:sz w:val="14"/>
                <w:szCs w:val="14"/>
                <w:color w:val="auto"/>
              </w:rPr>
              <w:t>Issuance of common stock in connection with exercise of</w:t>
            </w: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r>
      <w:tr>
        <w:trPr>
          <w:trHeight w:val="167"/>
        </w:trPr>
        <w:tc>
          <w:tcPr>
            <w:tcW w:w="36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options</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19,750</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w:t>
            </w:r>
          </w:p>
        </w:tc>
      </w:tr>
      <w:tr>
        <w:trPr>
          <w:trHeight w:val="149"/>
        </w:trPr>
        <w:tc>
          <w:tcPr>
            <w:tcW w:w="36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Issuance of restricted stock</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774,300</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36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Forfeiture of restricted stock</w:t>
            </w:r>
          </w:p>
        </w:tc>
        <w:tc>
          <w:tcPr>
            <w:tcW w:w="9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(10,000)</w:t>
            </w: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30"/>
        </w:trPr>
        <w:tc>
          <w:tcPr>
            <w:tcW w:w="3660" w:type="dxa"/>
            <w:vAlign w:val="bottom"/>
            <w:gridSpan w:val="2"/>
          </w:tcPr>
          <w:p>
            <w:pPr>
              <w:ind w:left="20"/>
              <w:spacing w:after="0" w:line="130" w:lineRule="exact"/>
              <w:rPr>
                <w:sz w:val="20"/>
                <w:szCs w:val="20"/>
                <w:color w:val="auto"/>
              </w:rPr>
            </w:pPr>
            <w:r>
              <w:rPr>
                <w:rFonts w:ascii="Arial" w:cs="Arial" w:eastAsia="Arial" w:hAnsi="Arial"/>
                <w:sz w:val="14"/>
                <w:szCs w:val="14"/>
                <w:color w:val="auto"/>
              </w:rPr>
              <w:t>Compensation in respect of restricted stock granted to</w:t>
            </w: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67"/>
        </w:trPr>
        <w:tc>
          <w:tcPr>
            <w:tcW w:w="3660" w:type="dxa"/>
            <w:vAlign w:val="bottom"/>
            <w:gridSpan w:val="2"/>
          </w:tcPr>
          <w:p>
            <w:pPr>
              <w:ind w:left="20"/>
              <w:spacing w:after="0"/>
              <w:rPr>
                <w:sz w:val="20"/>
                <w:szCs w:val="20"/>
                <w:color w:val="auto"/>
              </w:rPr>
            </w:pPr>
            <w:r>
              <w:rPr>
                <w:rFonts w:ascii="Arial" w:cs="Arial" w:eastAsia="Arial" w:hAnsi="Arial"/>
                <w:sz w:val="14"/>
                <w:szCs w:val="14"/>
                <w:color w:val="auto"/>
              </w:rPr>
              <w:t>employees, directors and consultants</w:t>
            </w: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11,068</w:t>
            </w: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11,068</w:t>
            </w:r>
          </w:p>
        </w:tc>
      </w:tr>
      <w:tr>
        <w:trPr>
          <w:trHeight w:val="148"/>
        </w:trPr>
        <w:tc>
          <w:tcPr>
            <w:tcW w:w="36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Net loss</w:t>
            </w: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(51,116)</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(51,116)</w:t>
            </w:r>
          </w:p>
        </w:tc>
      </w:tr>
      <w:tr>
        <w:trPr>
          <w:trHeight w:val="142"/>
        </w:trPr>
        <w:tc>
          <w:tcPr>
            <w:tcW w:w="3660" w:type="dxa"/>
            <w:vAlign w:val="bottom"/>
            <w:gridSpan w:val="2"/>
          </w:tcPr>
          <w:p>
            <w:pPr>
              <w:ind w:left="20"/>
              <w:spacing w:after="0" w:line="142" w:lineRule="exact"/>
              <w:rPr>
                <w:sz w:val="20"/>
                <w:szCs w:val="20"/>
                <w:color w:val="auto"/>
              </w:rPr>
            </w:pPr>
            <w:r>
              <w:rPr>
                <w:rFonts w:ascii="Arial" w:cs="Arial" w:eastAsia="Arial" w:hAnsi="Arial"/>
                <w:sz w:val="14"/>
                <w:szCs w:val="14"/>
                <w:color w:val="auto"/>
              </w:rPr>
              <w:t>Balance at March 31, 2020</w:t>
            </w:r>
          </w:p>
        </w:tc>
        <w:tc>
          <w:tcPr>
            <w:tcW w:w="8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7"/>
              </w:rPr>
              <w:t>110,209,293</w:t>
            </w: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110</w:t>
            </w: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751,103</w:t>
            </w:r>
          </w:p>
        </w:tc>
        <w:tc>
          <w:tcPr>
            <w:tcW w:w="40" w:type="dxa"/>
            <w:vAlign w:val="bottom"/>
          </w:tcPr>
          <w:p>
            <w:pPr>
              <w:spacing w:after="0"/>
              <w:rPr>
                <w:sz w:val="12"/>
                <w:szCs w:val="12"/>
                <w:color w:val="auto"/>
              </w:rPr>
            </w:pPr>
          </w:p>
        </w:tc>
        <w:tc>
          <w:tcPr>
            <w:tcW w:w="480" w:type="dxa"/>
            <w:vAlign w:val="bottom"/>
            <w:tcBorders>
              <w:top w:val="single" w:sz="8" w:color="auto"/>
            </w:tcBorders>
          </w:tcPr>
          <w:p>
            <w:pPr>
              <w:ind w:left="40"/>
              <w:spacing w:after="0" w:line="142" w:lineRule="exact"/>
              <w:rPr>
                <w:sz w:val="20"/>
                <w:szCs w:val="20"/>
                <w:color w:val="auto"/>
              </w:rPr>
            </w:pPr>
            <w:r>
              <w:rPr>
                <w:rFonts w:ascii="Arial" w:cs="Arial" w:eastAsia="Arial" w:hAnsi="Arial"/>
                <w:sz w:val="14"/>
                <w:szCs w:val="14"/>
                <w:color w:val="auto"/>
                <w:w w:val="97"/>
              </w:rPr>
              <w:t>41,309</w:t>
            </w: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(234)</w:t>
            </w: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(752,332)</w:t>
            </w: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(1,353)</w:t>
            </w:r>
          </w:p>
        </w:tc>
      </w:tr>
      <w:tr>
        <w:trPr>
          <w:trHeight w:val="130"/>
        </w:trPr>
        <w:tc>
          <w:tcPr>
            <w:tcW w:w="3660" w:type="dxa"/>
            <w:vAlign w:val="bottom"/>
            <w:gridSpan w:val="2"/>
            <w:shd w:val="clear" w:color="auto" w:fill="CCEEFF"/>
          </w:tcPr>
          <w:p>
            <w:pPr>
              <w:ind w:left="20"/>
              <w:spacing w:after="0" w:line="130" w:lineRule="exact"/>
              <w:rPr>
                <w:sz w:val="20"/>
                <w:szCs w:val="20"/>
                <w:color w:val="auto"/>
              </w:rPr>
            </w:pPr>
            <w:r>
              <w:rPr>
                <w:rFonts w:ascii="Arial" w:cs="Arial" w:eastAsia="Arial" w:hAnsi="Arial"/>
                <w:sz w:val="14"/>
                <w:szCs w:val="14"/>
                <w:color w:val="auto"/>
              </w:rPr>
              <w:t>Issuance of common stock in connection with exercise of</w:t>
            </w: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r>
      <w:tr>
        <w:trPr>
          <w:trHeight w:val="167"/>
        </w:trPr>
        <w:tc>
          <w:tcPr>
            <w:tcW w:w="36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options</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3,750</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r>
      <w:tr>
        <w:trPr>
          <w:trHeight w:val="148"/>
        </w:trPr>
        <w:tc>
          <w:tcPr>
            <w:tcW w:w="36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Issuance of restricted stock</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2,208,529</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36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Forfeiture of restricted stock</w:t>
            </w:r>
          </w:p>
        </w:tc>
        <w:tc>
          <w:tcPr>
            <w:tcW w:w="9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(41,666)</w:t>
            </w: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30"/>
        </w:trPr>
        <w:tc>
          <w:tcPr>
            <w:tcW w:w="3660" w:type="dxa"/>
            <w:vAlign w:val="bottom"/>
            <w:gridSpan w:val="2"/>
          </w:tcPr>
          <w:p>
            <w:pPr>
              <w:ind w:left="20"/>
              <w:spacing w:after="0" w:line="130" w:lineRule="exact"/>
              <w:rPr>
                <w:sz w:val="20"/>
                <w:szCs w:val="20"/>
                <w:color w:val="auto"/>
              </w:rPr>
            </w:pPr>
            <w:r>
              <w:rPr>
                <w:rFonts w:ascii="Arial" w:cs="Arial" w:eastAsia="Arial" w:hAnsi="Arial"/>
                <w:sz w:val="14"/>
                <w:szCs w:val="14"/>
                <w:color w:val="auto"/>
                <w:w w:val="98"/>
              </w:rPr>
              <w:t>Issuance of common stock in public offering (net of offering</w:t>
            </w: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67"/>
        </w:trPr>
        <w:tc>
          <w:tcPr>
            <w:tcW w:w="3660" w:type="dxa"/>
            <w:vAlign w:val="bottom"/>
            <w:gridSpan w:val="2"/>
          </w:tcPr>
          <w:p>
            <w:pPr>
              <w:ind w:left="20"/>
              <w:spacing w:after="0"/>
              <w:rPr>
                <w:sz w:val="20"/>
                <w:szCs w:val="20"/>
                <w:color w:val="auto"/>
              </w:rPr>
            </w:pPr>
            <w:r>
              <w:rPr>
                <w:rFonts w:ascii="Arial" w:cs="Arial" w:eastAsia="Arial" w:hAnsi="Arial"/>
                <w:sz w:val="14"/>
                <w:szCs w:val="14"/>
                <w:color w:val="auto"/>
              </w:rPr>
              <w:t>costs of $10.9 million)</w:t>
            </w:r>
          </w:p>
        </w:tc>
        <w:tc>
          <w:tcPr>
            <w:tcW w:w="820" w:type="dxa"/>
            <w:vAlign w:val="bottom"/>
          </w:tcPr>
          <w:p>
            <w:pPr>
              <w:jc w:val="right"/>
              <w:spacing w:after="0"/>
              <w:rPr>
                <w:sz w:val="20"/>
                <w:szCs w:val="20"/>
                <w:color w:val="auto"/>
              </w:rPr>
            </w:pPr>
            <w:r>
              <w:rPr>
                <w:rFonts w:ascii="Arial" w:cs="Arial" w:eastAsia="Arial" w:hAnsi="Arial"/>
                <w:sz w:val="14"/>
                <w:szCs w:val="14"/>
                <w:color w:val="auto"/>
              </w:rPr>
              <w:t>9,775,000</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10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165,032</w:t>
            </w: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98"/>
              </w:rPr>
              <w:t>165,042</w:t>
            </w:r>
          </w:p>
        </w:tc>
      </w:tr>
      <w:tr>
        <w:trPr>
          <w:trHeight w:val="130"/>
        </w:trPr>
        <w:tc>
          <w:tcPr>
            <w:tcW w:w="3660" w:type="dxa"/>
            <w:vAlign w:val="bottom"/>
            <w:gridSpan w:val="2"/>
            <w:shd w:val="clear" w:color="auto" w:fill="CCEEFF"/>
          </w:tcPr>
          <w:p>
            <w:pPr>
              <w:ind w:left="20"/>
              <w:spacing w:after="0" w:line="130" w:lineRule="exact"/>
              <w:rPr>
                <w:sz w:val="20"/>
                <w:szCs w:val="20"/>
                <w:color w:val="auto"/>
              </w:rPr>
            </w:pPr>
            <w:r>
              <w:rPr>
                <w:rFonts w:ascii="Arial" w:cs="Arial" w:eastAsia="Arial" w:hAnsi="Arial"/>
                <w:sz w:val="14"/>
                <w:szCs w:val="14"/>
                <w:color w:val="auto"/>
              </w:rPr>
              <w:t>Issuance of common stock in At-the-Market offerings (net</w:t>
            </w: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r>
      <w:tr>
        <w:trPr>
          <w:trHeight w:val="167"/>
        </w:trPr>
        <w:tc>
          <w:tcPr>
            <w:tcW w:w="36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of offering costs of $1.4 million)</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4,535,608</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76,031</w:t>
            </w:r>
          </w:p>
        </w:tc>
        <w:tc>
          <w:tcPr>
            <w:tcW w:w="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76,036</w:t>
            </w:r>
          </w:p>
        </w:tc>
      </w:tr>
      <w:tr>
        <w:trPr>
          <w:trHeight w:val="130"/>
        </w:trPr>
        <w:tc>
          <w:tcPr>
            <w:tcW w:w="3660" w:type="dxa"/>
            <w:vAlign w:val="bottom"/>
            <w:gridSpan w:val="2"/>
          </w:tcPr>
          <w:p>
            <w:pPr>
              <w:ind w:left="20"/>
              <w:spacing w:after="0" w:line="130" w:lineRule="exact"/>
              <w:rPr>
                <w:sz w:val="20"/>
                <w:szCs w:val="20"/>
                <w:color w:val="auto"/>
              </w:rPr>
            </w:pPr>
            <w:r>
              <w:rPr>
                <w:rFonts w:ascii="Arial" w:cs="Arial" w:eastAsia="Arial" w:hAnsi="Arial"/>
                <w:sz w:val="14"/>
                <w:szCs w:val="14"/>
                <w:color w:val="auto"/>
              </w:rPr>
              <w:t>Compensation in respect of restricted stock granted to</w:t>
            </w: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67"/>
        </w:trPr>
        <w:tc>
          <w:tcPr>
            <w:tcW w:w="3660" w:type="dxa"/>
            <w:vAlign w:val="bottom"/>
            <w:gridSpan w:val="2"/>
          </w:tcPr>
          <w:p>
            <w:pPr>
              <w:ind w:left="20"/>
              <w:spacing w:after="0"/>
              <w:rPr>
                <w:sz w:val="20"/>
                <w:szCs w:val="20"/>
                <w:color w:val="auto"/>
              </w:rPr>
            </w:pPr>
            <w:r>
              <w:rPr>
                <w:rFonts w:ascii="Arial" w:cs="Arial" w:eastAsia="Arial" w:hAnsi="Arial"/>
                <w:sz w:val="14"/>
                <w:szCs w:val="14"/>
                <w:color w:val="auto"/>
              </w:rPr>
              <w:t>employees, directors and consultants</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7,370</w:t>
            </w: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7,370</w:t>
            </w:r>
          </w:p>
        </w:tc>
      </w:tr>
      <w:tr>
        <w:trPr>
          <w:trHeight w:val="148"/>
        </w:trPr>
        <w:tc>
          <w:tcPr>
            <w:tcW w:w="36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Net loss</w:t>
            </w: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(52,884)</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(52,884)</w:t>
            </w:r>
          </w:p>
        </w:tc>
      </w:tr>
      <w:tr>
        <w:trPr>
          <w:trHeight w:val="182"/>
        </w:trPr>
        <w:tc>
          <w:tcPr>
            <w:tcW w:w="3660" w:type="dxa"/>
            <w:vAlign w:val="bottom"/>
            <w:tcBorders>
              <w:bottom w:val="single" w:sz="8" w:color="CCEEFF"/>
            </w:tcBorders>
            <w:gridSpan w:val="2"/>
          </w:tcPr>
          <w:p>
            <w:pPr>
              <w:ind w:left="20"/>
              <w:spacing w:after="0" w:line="142" w:lineRule="exact"/>
              <w:rPr>
                <w:sz w:val="20"/>
                <w:szCs w:val="20"/>
                <w:color w:val="auto"/>
              </w:rPr>
            </w:pPr>
            <w:r>
              <w:rPr>
                <w:rFonts w:ascii="Arial" w:cs="Arial" w:eastAsia="Arial" w:hAnsi="Arial"/>
                <w:sz w:val="14"/>
                <w:szCs w:val="14"/>
                <w:color w:val="auto"/>
              </w:rPr>
              <w:t>Balance at June 30, 2020</w:t>
            </w: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7"/>
              </w:rPr>
              <w:t>126,690,514</w:t>
            </w:r>
          </w:p>
        </w:tc>
        <w:tc>
          <w:tcPr>
            <w:tcW w:w="14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127</w:t>
            </w:r>
          </w:p>
        </w:tc>
        <w:tc>
          <w:tcPr>
            <w:tcW w:w="16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999,550</w:t>
            </w:r>
          </w:p>
        </w:tc>
        <w:tc>
          <w:tcPr>
            <w:tcW w:w="40" w:type="dxa"/>
            <w:vAlign w:val="bottom"/>
            <w:tcBorders>
              <w:bottom w:val="single" w:sz="8" w:color="CCEEFF"/>
            </w:tcBorders>
          </w:tcPr>
          <w:p>
            <w:pPr>
              <w:spacing w:after="0"/>
              <w:rPr>
                <w:sz w:val="15"/>
                <w:szCs w:val="15"/>
                <w:color w:val="auto"/>
              </w:rPr>
            </w:pPr>
          </w:p>
        </w:tc>
        <w:tc>
          <w:tcPr>
            <w:tcW w:w="48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color w:val="auto"/>
                <w:w w:val="97"/>
              </w:rPr>
              <w:t>41,309</w:t>
            </w:r>
          </w:p>
        </w:tc>
        <w:tc>
          <w:tcPr>
            <w:tcW w:w="16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(234)</w:t>
            </w:r>
          </w:p>
        </w:tc>
        <w:tc>
          <w:tcPr>
            <w:tcW w:w="14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(805,216)</w:t>
            </w:r>
          </w:p>
        </w:tc>
        <w:tc>
          <w:tcPr>
            <w:tcW w:w="16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8"/>
              </w:rPr>
              <w:t>194,227</w:t>
            </w:r>
          </w:p>
        </w:tc>
      </w:tr>
      <w:tr>
        <w:trPr>
          <w:trHeight w:val="196"/>
        </w:trPr>
        <w:tc>
          <w:tcPr>
            <w:tcW w:w="22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r>
      <w:tr>
        <w:trPr>
          <w:trHeight w:val="331"/>
        </w:trPr>
        <w:tc>
          <w:tcPr>
            <w:tcW w:w="2240" w:type="dxa"/>
            <w:vAlign w:val="bottom"/>
            <w:tcBorders>
              <w:bottom w:val="single" w:sz="8" w:color="auto"/>
            </w:tcBorders>
          </w:tcPr>
          <w:p>
            <w:pPr>
              <w:spacing w:after="0"/>
              <w:rPr>
                <w:sz w:val="24"/>
                <w:szCs w:val="24"/>
                <w:color w:val="auto"/>
              </w:rPr>
            </w:pPr>
          </w:p>
        </w:tc>
        <w:tc>
          <w:tcPr>
            <w:tcW w:w="1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pacing w:after="0" w:line="6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  Amount less than one thousand dollars.</w:t>
      </w:r>
    </w:p>
    <w:p>
      <w:pPr>
        <w:spacing w:after="0" w:line="225" w:lineRule="exact"/>
        <w:rPr>
          <w:sz w:val="20"/>
          <w:szCs w:val="20"/>
          <w:color w:val="auto"/>
        </w:rPr>
      </w:pPr>
    </w:p>
    <w:p>
      <w:pPr>
        <w:ind w:left="1240"/>
        <w:spacing w:after="0"/>
        <w:rPr>
          <w:sz w:val="20"/>
          <w:szCs w:val="20"/>
          <w:color w:val="auto"/>
        </w:rPr>
      </w:pPr>
      <w:r>
        <w:rPr>
          <w:rFonts w:ascii="Arial" w:cs="Arial" w:eastAsia="Arial" w:hAnsi="Arial"/>
          <w:sz w:val="17"/>
          <w:szCs w:val="17"/>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81" w:lineRule="exact"/>
        <w:rPr>
          <w:sz w:val="20"/>
          <w:szCs w:val="20"/>
          <w:color w:val="auto"/>
        </w:rPr>
      </w:pPr>
    </w:p>
    <w:p>
      <w:pPr>
        <w:ind w:left="7220"/>
        <w:spacing w:after="0"/>
        <w:rPr>
          <w:sz w:val="20"/>
          <w:szCs w:val="20"/>
          <w:color w:val="auto"/>
        </w:rPr>
      </w:pPr>
      <w:r>
        <w:rPr>
          <w:rFonts w:ascii="Arial" w:cs="Arial" w:eastAsia="Arial" w:hAnsi="Arial"/>
          <w:sz w:val="14"/>
          <w:szCs w:val="14"/>
          <w:b w:val="1"/>
          <w:bCs w:val="1"/>
          <w:color w:val="auto"/>
        </w:rPr>
        <w:t>Six months ended</w:t>
      </w:r>
    </w:p>
    <w:p>
      <w:pPr>
        <w:ind w:left="7500"/>
        <w:spacing w:after="0" w:line="236" w:lineRule="auto"/>
        <w:rPr>
          <w:sz w:val="20"/>
          <w:szCs w:val="20"/>
          <w:color w:val="auto"/>
        </w:rPr>
      </w:pPr>
      <w:r>
        <w:rPr>
          <w:rFonts w:ascii="Arial" w:cs="Arial" w:eastAsia="Arial" w:hAnsi="Arial"/>
          <w:sz w:val="14"/>
          <w:szCs w:val="14"/>
          <w:b w:val="1"/>
          <w:bCs w:val="1"/>
          <w:color w:val="auto"/>
        </w:rPr>
        <w:t>June 30,</w:t>
      </w:r>
    </w:p>
    <w:tbl>
      <w:tblPr>
        <w:tblLayout w:type="fixed"/>
        <w:tblInd w:w="40" w:type="dxa"/>
        <w:tblCellMar>
          <w:top w:w="0" w:type="dxa"/>
          <w:left w:w="0" w:type="dxa"/>
          <w:bottom w:w="0" w:type="dxa"/>
          <w:right w:w="0" w:type="dxa"/>
        </w:tblCellMar>
      </w:tblPr>
      <w:tr>
        <w:trPr>
          <w:trHeight w:val="142"/>
        </w:trPr>
        <w:tc>
          <w:tcPr>
            <w:tcW w:w="678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2"/>
                <w:szCs w:val="12"/>
                <w:color w:val="auto"/>
              </w:rPr>
            </w:pPr>
          </w:p>
        </w:tc>
      </w:tr>
      <w:tr>
        <w:trPr>
          <w:trHeight w:val="142"/>
        </w:trPr>
        <w:tc>
          <w:tcPr>
            <w:tcW w:w="678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CASH FLOWS FROM OPERATING ACTIVITIES</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49"/>
        </w:trPr>
        <w:tc>
          <w:tcPr>
            <w:tcW w:w="6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8"/>
        </w:trPr>
        <w:tc>
          <w:tcPr>
            <w:tcW w:w="67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Net loss</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(104,000)</w:t>
            </w: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(71,368)</w:t>
            </w:r>
          </w:p>
        </w:tc>
      </w:tr>
      <w:tr>
        <w:trPr>
          <w:trHeight w:val="148"/>
        </w:trPr>
        <w:tc>
          <w:tcPr>
            <w:tcW w:w="6780" w:type="dxa"/>
            <w:vAlign w:val="bottom"/>
          </w:tcPr>
          <w:p>
            <w:pPr>
              <w:ind w:left="20"/>
              <w:spacing w:after="0" w:line="149" w:lineRule="exact"/>
              <w:rPr>
                <w:sz w:val="20"/>
                <w:szCs w:val="20"/>
                <w:color w:val="auto"/>
              </w:rPr>
            </w:pPr>
            <w:r>
              <w:rPr>
                <w:rFonts w:ascii="Arial" w:cs="Arial" w:eastAsia="Arial" w:hAnsi="Arial"/>
                <w:sz w:val="14"/>
                <w:szCs w:val="14"/>
                <w:color w:val="auto"/>
              </w:rPr>
              <w:t>Adjustments to reconcile net loss to net cash used in operating activities:</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8"/>
        </w:trPr>
        <w:tc>
          <w:tcPr>
            <w:tcW w:w="67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Noncash stock compensation expense</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18,438</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3,639</w:t>
            </w:r>
          </w:p>
        </w:tc>
        <w:tc>
          <w:tcPr>
            <w:tcW w:w="220" w:type="dxa"/>
            <w:vAlign w:val="bottom"/>
            <w:shd w:val="clear" w:color="auto" w:fill="CCEEFF"/>
          </w:tcPr>
          <w:p>
            <w:pPr>
              <w:spacing w:after="0"/>
              <w:rPr>
                <w:sz w:val="12"/>
                <w:szCs w:val="12"/>
                <w:color w:val="auto"/>
              </w:rPr>
            </w:pPr>
          </w:p>
        </w:tc>
      </w:tr>
      <w:tr>
        <w:trPr>
          <w:trHeight w:val="148"/>
        </w:trPr>
        <w:tc>
          <w:tcPr>
            <w:tcW w:w="6780" w:type="dxa"/>
            <w:vAlign w:val="bottom"/>
          </w:tcPr>
          <w:p>
            <w:pPr>
              <w:ind w:left="20"/>
              <w:spacing w:after="0" w:line="149" w:lineRule="exact"/>
              <w:rPr>
                <w:sz w:val="20"/>
                <w:szCs w:val="20"/>
                <w:color w:val="auto"/>
              </w:rPr>
            </w:pPr>
            <w:r>
              <w:rPr>
                <w:rFonts w:ascii="Arial" w:cs="Arial" w:eastAsia="Arial" w:hAnsi="Arial"/>
                <w:sz w:val="14"/>
                <w:szCs w:val="14"/>
                <w:color w:val="auto"/>
              </w:rPr>
              <w:t>Noncash licensing expense</w:t>
            </w:r>
          </w:p>
        </w:tc>
        <w:tc>
          <w:tcPr>
            <w:tcW w:w="180" w:type="dxa"/>
            <w:vAlign w:val="bottom"/>
          </w:tcPr>
          <w:p>
            <w:pPr>
              <w:spacing w:after="0"/>
              <w:rPr>
                <w:sz w:val="12"/>
                <w:szCs w:val="12"/>
                <w:color w:val="auto"/>
              </w:rPr>
            </w:pP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100</w:t>
            </w:r>
          </w:p>
        </w:tc>
        <w:tc>
          <w:tcPr>
            <w:tcW w:w="220" w:type="dxa"/>
            <w:vAlign w:val="bottom"/>
          </w:tcPr>
          <w:p>
            <w:pPr>
              <w:spacing w:after="0"/>
              <w:rPr>
                <w:sz w:val="12"/>
                <w:szCs w:val="12"/>
                <w:color w:val="auto"/>
              </w:rPr>
            </w:pPr>
          </w:p>
        </w:tc>
      </w:tr>
      <w:tr>
        <w:trPr>
          <w:trHeight w:val="149"/>
        </w:trPr>
        <w:tc>
          <w:tcPr>
            <w:tcW w:w="67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Depreciation and amortization</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w:t>
            </w:r>
          </w:p>
        </w:tc>
        <w:tc>
          <w:tcPr>
            <w:tcW w:w="220" w:type="dxa"/>
            <w:vAlign w:val="bottom"/>
            <w:shd w:val="clear" w:color="auto" w:fill="CCEEFF"/>
          </w:tcPr>
          <w:p>
            <w:pPr>
              <w:spacing w:after="0"/>
              <w:rPr>
                <w:sz w:val="12"/>
                <w:szCs w:val="12"/>
                <w:color w:val="auto"/>
              </w:rPr>
            </w:pPr>
          </w:p>
        </w:tc>
      </w:tr>
      <w:tr>
        <w:trPr>
          <w:trHeight w:val="148"/>
        </w:trPr>
        <w:tc>
          <w:tcPr>
            <w:tcW w:w="6780" w:type="dxa"/>
            <w:vAlign w:val="bottom"/>
          </w:tcPr>
          <w:p>
            <w:pPr>
              <w:ind w:left="20"/>
              <w:spacing w:after="0" w:line="149" w:lineRule="exact"/>
              <w:rPr>
                <w:sz w:val="20"/>
                <w:szCs w:val="20"/>
                <w:color w:val="auto"/>
              </w:rPr>
            </w:pPr>
            <w:r>
              <w:rPr>
                <w:rFonts w:ascii="Arial" w:cs="Arial" w:eastAsia="Arial" w:hAnsi="Arial"/>
                <w:sz w:val="14"/>
                <w:szCs w:val="14"/>
                <w:color w:val="auto"/>
              </w:rPr>
              <w:t>Amortization of premium on investment securities</w:t>
            </w:r>
          </w:p>
        </w:tc>
        <w:tc>
          <w:tcPr>
            <w:tcW w:w="18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(69)</w:t>
            </w:r>
          </w:p>
        </w:tc>
        <w:tc>
          <w:tcPr>
            <w:tcW w:w="18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(149)</w:t>
            </w:r>
          </w:p>
        </w:tc>
      </w:tr>
      <w:tr>
        <w:trPr>
          <w:trHeight w:val="148"/>
        </w:trPr>
        <w:tc>
          <w:tcPr>
            <w:tcW w:w="67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Amortization of debt issuance costs</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463</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308</w:t>
            </w:r>
          </w:p>
        </w:tc>
        <w:tc>
          <w:tcPr>
            <w:tcW w:w="220" w:type="dxa"/>
            <w:vAlign w:val="bottom"/>
            <w:shd w:val="clear" w:color="auto" w:fill="CCEEFF"/>
          </w:tcPr>
          <w:p>
            <w:pPr>
              <w:spacing w:after="0"/>
              <w:rPr>
                <w:sz w:val="12"/>
                <w:szCs w:val="12"/>
                <w:color w:val="auto"/>
              </w:rPr>
            </w:pPr>
          </w:p>
        </w:tc>
      </w:tr>
      <w:tr>
        <w:trPr>
          <w:trHeight w:val="148"/>
        </w:trPr>
        <w:tc>
          <w:tcPr>
            <w:tcW w:w="6780" w:type="dxa"/>
            <w:vAlign w:val="bottom"/>
          </w:tcPr>
          <w:p>
            <w:pPr>
              <w:ind w:left="20"/>
              <w:spacing w:after="0" w:line="149" w:lineRule="exact"/>
              <w:rPr>
                <w:sz w:val="20"/>
                <w:szCs w:val="20"/>
                <w:color w:val="auto"/>
              </w:rPr>
            </w:pPr>
            <w:r>
              <w:rPr>
                <w:rFonts w:ascii="Arial" w:cs="Arial" w:eastAsia="Arial" w:hAnsi="Arial"/>
                <w:sz w:val="14"/>
                <w:szCs w:val="14"/>
                <w:color w:val="auto"/>
              </w:rPr>
              <w:t>Amortization of leasehold interest</w:t>
            </w: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110</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91</w:t>
            </w:r>
          </w:p>
        </w:tc>
        <w:tc>
          <w:tcPr>
            <w:tcW w:w="220" w:type="dxa"/>
            <w:vAlign w:val="bottom"/>
          </w:tcPr>
          <w:p>
            <w:pPr>
              <w:spacing w:after="0"/>
              <w:rPr>
                <w:sz w:val="12"/>
                <w:szCs w:val="12"/>
                <w:color w:val="auto"/>
              </w:rPr>
            </w:pPr>
          </w:p>
        </w:tc>
      </w:tr>
      <w:tr>
        <w:trPr>
          <w:trHeight w:val="148"/>
        </w:trPr>
        <w:tc>
          <w:tcPr>
            <w:tcW w:w="67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Noncash change in lease liability and right-of-use asset</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2,455</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902</w:t>
            </w:r>
          </w:p>
        </w:tc>
        <w:tc>
          <w:tcPr>
            <w:tcW w:w="220" w:type="dxa"/>
            <w:vAlign w:val="bottom"/>
            <w:shd w:val="clear" w:color="auto" w:fill="CCEEFF"/>
          </w:tcPr>
          <w:p>
            <w:pPr>
              <w:spacing w:after="0"/>
              <w:rPr>
                <w:sz w:val="12"/>
                <w:szCs w:val="12"/>
                <w:color w:val="auto"/>
              </w:rPr>
            </w:pPr>
          </w:p>
        </w:tc>
      </w:tr>
      <w:tr>
        <w:trPr>
          <w:trHeight w:val="148"/>
        </w:trPr>
        <w:tc>
          <w:tcPr>
            <w:tcW w:w="6780" w:type="dxa"/>
            <w:vAlign w:val="bottom"/>
          </w:tcPr>
          <w:p>
            <w:pPr>
              <w:ind w:left="20"/>
              <w:spacing w:after="0" w:line="149" w:lineRule="exact"/>
              <w:rPr>
                <w:sz w:val="20"/>
                <w:szCs w:val="20"/>
                <w:color w:val="auto"/>
              </w:rPr>
            </w:pPr>
            <w:r>
              <w:rPr>
                <w:rFonts w:ascii="Arial" w:cs="Arial" w:eastAsia="Arial" w:hAnsi="Arial"/>
                <w:sz w:val="14"/>
                <w:szCs w:val="14"/>
                <w:color w:val="auto"/>
              </w:rPr>
              <w:t>Change in fair value of notes payable</w:t>
            </w: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152</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78</w:t>
            </w:r>
          </w:p>
        </w:tc>
        <w:tc>
          <w:tcPr>
            <w:tcW w:w="220" w:type="dxa"/>
            <w:vAlign w:val="bottom"/>
          </w:tcPr>
          <w:p>
            <w:pPr>
              <w:spacing w:after="0"/>
              <w:rPr>
                <w:sz w:val="12"/>
                <w:szCs w:val="12"/>
                <w:color w:val="auto"/>
              </w:rPr>
            </w:pPr>
          </w:p>
        </w:tc>
      </w:tr>
      <w:tr>
        <w:trPr>
          <w:trHeight w:val="149"/>
        </w:trPr>
        <w:tc>
          <w:tcPr>
            <w:tcW w:w="67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Changes in assets and liabilities:</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48"/>
        </w:trPr>
        <w:tc>
          <w:tcPr>
            <w:tcW w:w="6780" w:type="dxa"/>
            <w:vAlign w:val="bottom"/>
          </w:tcPr>
          <w:p>
            <w:pPr>
              <w:ind w:left="220"/>
              <w:spacing w:after="0" w:line="149" w:lineRule="exact"/>
              <w:rPr>
                <w:sz w:val="20"/>
                <w:szCs w:val="20"/>
                <w:color w:val="auto"/>
              </w:rPr>
            </w:pPr>
            <w:r>
              <w:rPr>
                <w:rFonts w:ascii="Arial" w:cs="Arial" w:eastAsia="Arial" w:hAnsi="Arial"/>
                <w:sz w:val="14"/>
                <w:szCs w:val="14"/>
                <w:color w:val="auto"/>
              </w:rPr>
              <w:t>Decrease in other current assets</w:t>
            </w: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3,211</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572</w:t>
            </w:r>
          </w:p>
        </w:tc>
        <w:tc>
          <w:tcPr>
            <w:tcW w:w="220" w:type="dxa"/>
            <w:vAlign w:val="bottom"/>
          </w:tcPr>
          <w:p>
            <w:pPr>
              <w:spacing w:after="0"/>
              <w:rPr>
                <w:sz w:val="12"/>
                <w:szCs w:val="12"/>
                <w:color w:val="auto"/>
              </w:rPr>
            </w:pPr>
          </w:p>
        </w:tc>
      </w:tr>
      <w:tr>
        <w:trPr>
          <w:trHeight w:val="148"/>
        </w:trPr>
        <w:tc>
          <w:tcPr>
            <w:tcW w:w="67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Decrease in leasehold interest</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w:t>
            </w:r>
          </w:p>
        </w:tc>
        <w:tc>
          <w:tcPr>
            <w:tcW w:w="220" w:type="dxa"/>
            <w:vAlign w:val="bottom"/>
            <w:shd w:val="clear" w:color="auto" w:fill="CCEEFF"/>
          </w:tcPr>
          <w:p>
            <w:pPr>
              <w:spacing w:after="0"/>
              <w:rPr>
                <w:sz w:val="12"/>
                <w:szCs w:val="12"/>
                <w:color w:val="auto"/>
              </w:rPr>
            </w:pPr>
          </w:p>
        </w:tc>
      </w:tr>
      <w:tr>
        <w:trPr>
          <w:trHeight w:val="148"/>
        </w:trPr>
        <w:tc>
          <w:tcPr>
            <w:tcW w:w="6780" w:type="dxa"/>
            <w:vAlign w:val="bottom"/>
          </w:tcPr>
          <w:p>
            <w:pPr>
              <w:ind w:left="220"/>
              <w:spacing w:after="0" w:line="149" w:lineRule="exact"/>
              <w:rPr>
                <w:sz w:val="20"/>
                <w:szCs w:val="20"/>
                <w:color w:val="auto"/>
              </w:rPr>
            </w:pPr>
            <w:r>
              <w:rPr>
                <w:rFonts w:ascii="Arial" w:cs="Arial" w:eastAsia="Arial" w:hAnsi="Arial"/>
                <w:sz w:val="14"/>
                <w:szCs w:val="14"/>
                <w:color w:val="auto"/>
              </w:rPr>
              <w:t>Decrease (increase) in accrued interest receivable</w:t>
            </w: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41</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w:t>
            </w:r>
          </w:p>
        </w:tc>
      </w:tr>
      <w:tr>
        <w:trPr>
          <w:trHeight w:val="148"/>
        </w:trPr>
        <w:tc>
          <w:tcPr>
            <w:tcW w:w="67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Decrease in accounts payable and accrued expenses</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(728)</w:t>
            </w: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(5,588)</w:t>
            </w:r>
          </w:p>
        </w:tc>
      </w:tr>
      <w:tr>
        <w:trPr>
          <w:trHeight w:val="149"/>
        </w:trPr>
        <w:tc>
          <w:tcPr>
            <w:tcW w:w="6780" w:type="dxa"/>
            <w:vAlign w:val="bottom"/>
          </w:tcPr>
          <w:p>
            <w:pPr>
              <w:ind w:left="220"/>
              <w:spacing w:after="0" w:line="149" w:lineRule="exact"/>
              <w:rPr>
                <w:sz w:val="20"/>
                <w:szCs w:val="20"/>
                <w:color w:val="auto"/>
              </w:rPr>
            </w:pPr>
            <w:r>
              <w:rPr>
                <w:rFonts w:ascii="Arial" w:cs="Arial" w:eastAsia="Arial" w:hAnsi="Arial"/>
                <w:sz w:val="14"/>
                <w:szCs w:val="14"/>
                <w:color w:val="auto"/>
              </w:rPr>
              <w:t>Decrease in lease liabilities</w:t>
            </w:r>
          </w:p>
        </w:tc>
        <w:tc>
          <w:tcPr>
            <w:tcW w:w="18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(2,436)</w:t>
            </w:r>
          </w:p>
        </w:tc>
        <w:tc>
          <w:tcPr>
            <w:tcW w:w="18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(678)</w:t>
            </w:r>
          </w:p>
        </w:tc>
      </w:tr>
      <w:tr>
        <w:trPr>
          <w:trHeight w:val="148"/>
        </w:trPr>
        <w:tc>
          <w:tcPr>
            <w:tcW w:w="67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(Decrease) increase in interest payable</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(110)</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443</w:t>
            </w:r>
          </w:p>
        </w:tc>
        <w:tc>
          <w:tcPr>
            <w:tcW w:w="220" w:type="dxa"/>
            <w:vAlign w:val="bottom"/>
            <w:shd w:val="clear" w:color="auto" w:fill="CCEEFF"/>
          </w:tcPr>
          <w:p>
            <w:pPr>
              <w:spacing w:after="0"/>
              <w:rPr>
                <w:sz w:val="12"/>
                <w:szCs w:val="12"/>
                <w:color w:val="auto"/>
              </w:rPr>
            </w:pPr>
          </w:p>
        </w:tc>
      </w:tr>
      <w:tr>
        <w:trPr>
          <w:trHeight w:val="148"/>
        </w:trPr>
        <w:tc>
          <w:tcPr>
            <w:tcW w:w="6780" w:type="dxa"/>
            <w:vAlign w:val="bottom"/>
          </w:tcPr>
          <w:p>
            <w:pPr>
              <w:ind w:left="220"/>
              <w:spacing w:after="0" w:line="149" w:lineRule="exact"/>
              <w:rPr>
                <w:sz w:val="20"/>
                <w:szCs w:val="20"/>
                <w:color w:val="auto"/>
              </w:rPr>
            </w:pPr>
            <w:r>
              <w:rPr>
                <w:rFonts w:ascii="Arial" w:cs="Arial" w:eastAsia="Arial" w:hAnsi="Arial"/>
                <w:sz w:val="14"/>
                <w:szCs w:val="14"/>
                <w:color w:val="auto"/>
              </w:rPr>
              <w:t>(Decrease) increase in other liabilities</w:t>
            </w:r>
          </w:p>
        </w:tc>
        <w:tc>
          <w:tcPr>
            <w:tcW w:w="18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(23,464)</w:t>
            </w: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2,388</w:t>
            </w:r>
          </w:p>
        </w:tc>
        <w:tc>
          <w:tcPr>
            <w:tcW w:w="220" w:type="dxa"/>
            <w:vAlign w:val="bottom"/>
          </w:tcPr>
          <w:p>
            <w:pPr>
              <w:spacing w:after="0"/>
              <w:rPr>
                <w:sz w:val="12"/>
                <w:szCs w:val="12"/>
                <w:color w:val="auto"/>
              </w:rPr>
            </w:pPr>
          </w:p>
        </w:tc>
      </w:tr>
      <w:tr>
        <w:trPr>
          <w:trHeight w:val="148"/>
        </w:trPr>
        <w:tc>
          <w:tcPr>
            <w:tcW w:w="67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Decrease in deferred revenue</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(76)</w:t>
            </w: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(76)</w:t>
            </w:r>
          </w:p>
        </w:tc>
      </w:tr>
      <w:tr>
        <w:trPr>
          <w:trHeight w:val="142"/>
        </w:trPr>
        <w:tc>
          <w:tcPr>
            <w:tcW w:w="6780" w:type="dxa"/>
            <w:vAlign w:val="bottom"/>
            <w:tcBorders>
              <w:bottom w:val="single" w:sz="8" w:color="CCEEFF"/>
            </w:tcBorders>
          </w:tcPr>
          <w:p>
            <w:pPr>
              <w:ind w:left="20"/>
              <w:spacing w:after="0" w:line="142" w:lineRule="exact"/>
              <w:rPr>
                <w:sz w:val="20"/>
                <w:szCs w:val="20"/>
                <w:color w:val="auto"/>
              </w:rPr>
            </w:pPr>
            <w:r>
              <w:rPr>
                <w:rFonts w:ascii="Arial" w:cs="Arial" w:eastAsia="Arial" w:hAnsi="Arial"/>
                <w:sz w:val="14"/>
                <w:szCs w:val="14"/>
                <w:color w:val="auto"/>
              </w:rPr>
              <w:t>Net cash used in operating activities</w:t>
            </w: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(105,949)</w:t>
            </w:r>
          </w:p>
        </w:tc>
        <w:tc>
          <w:tcPr>
            <w:tcW w:w="2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(69,211)</w:t>
            </w:r>
          </w:p>
        </w:tc>
        <w:tc>
          <w:tcPr>
            <w:tcW w:w="220" w:type="dxa"/>
            <w:vAlign w:val="bottom"/>
            <w:tcBorders>
              <w:bottom w:val="single" w:sz="8" w:color="CCEEFF"/>
            </w:tcBorders>
          </w:tcPr>
          <w:p>
            <w:pPr>
              <w:spacing w:after="0"/>
              <w:rPr>
                <w:sz w:val="12"/>
                <w:szCs w:val="12"/>
                <w:color w:val="auto"/>
              </w:rPr>
            </w:pPr>
          </w:p>
        </w:tc>
      </w:tr>
      <w:tr>
        <w:trPr>
          <w:trHeight w:val="142"/>
        </w:trPr>
        <w:tc>
          <w:tcPr>
            <w:tcW w:w="6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48"/>
        </w:trPr>
        <w:tc>
          <w:tcPr>
            <w:tcW w:w="6780" w:type="dxa"/>
            <w:vAlign w:val="bottom"/>
          </w:tcPr>
          <w:p>
            <w:pPr>
              <w:ind w:left="20"/>
              <w:spacing w:after="0" w:line="149" w:lineRule="exact"/>
              <w:rPr>
                <w:sz w:val="20"/>
                <w:szCs w:val="20"/>
                <w:color w:val="auto"/>
              </w:rPr>
            </w:pPr>
            <w:r>
              <w:rPr>
                <w:rFonts w:ascii="Arial" w:cs="Arial" w:eastAsia="Arial" w:hAnsi="Arial"/>
                <w:sz w:val="14"/>
                <w:szCs w:val="14"/>
                <w:color w:val="auto"/>
              </w:rPr>
              <w:t>CASH FLOWS FROM INVESTING ACTIVITIES</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9"/>
        </w:trPr>
        <w:tc>
          <w:tcPr>
            <w:tcW w:w="67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Proceeds from maturity of short-term securities</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20,250</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13,500</w:t>
            </w:r>
          </w:p>
        </w:tc>
        <w:tc>
          <w:tcPr>
            <w:tcW w:w="220" w:type="dxa"/>
            <w:vAlign w:val="bottom"/>
            <w:shd w:val="clear" w:color="auto" w:fill="CCEEFF"/>
          </w:tcPr>
          <w:p>
            <w:pPr>
              <w:spacing w:after="0"/>
              <w:rPr>
                <w:sz w:val="12"/>
                <w:szCs w:val="12"/>
                <w:color w:val="auto"/>
              </w:rPr>
            </w:pPr>
          </w:p>
        </w:tc>
      </w:tr>
      <w:tr>
        <w:trPr>
          <w:trHeight w:val="148"/>
        </w:trPr>
        <w:tc>
          <w:tcPr>
            <w:tcW w:w="6780" w:type="dxa"/>
            <w:vAlign w:val="bottom"/>
          </w:tcPr>
          <w:p>
            <w:pPr>
              <w:ind w:left="20"/>
              <w:spacing w:after="0" w:line="149" w:lineRule="exact"/>
              <w:rPr>
                <w:sz w:val="20"/>
                <w:szCs w:val="20"/>
                <w:color w:val="auto"/>
              </w:rPr>
            </w:pPr>
            <w:r>
              <w:rPr>
                <w:rFonts w:ascii="Arial" w:cs="Arial" w:eastAsia="Arial" w:hAnsi="Arial"/>
                <w:sz w:val="14"/>
                <w:szCs w:val="14"/>
                <w:color w:val="auto"/>
              </w:rPr>
              <w:t>Investment in held-to-maturity securities</w:t>
            </w:r>
          </w:p>
        </w:tc>
        <w:tc>
          <w:tcPr>
            <w:tcW w:w="18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(7,482)</w:t>
            </w:r>
          </w:p>
        </w:tc>
        <w:tc>
          <w:tcPr>
            <w:tcW w:w="18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(14,146)</w:t>
            </w:r>
          </w:p>
        </w:tc>
      </w:tr>
      <w:tr>
        <w:trPr>
          <w:trHeight w:val="148"/>
        </w:trPr>
        <w:tc>
          <w:tcPr>
            <w:tcW w:w="67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Purchases of equipment</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(113)</w:t>
            </w: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(32)</w:t>
            </w:r>
          </w:p>
        </w:tc>
      </w:tr>
      <w:tr>
        <w:trPr>
          <w:trHeight w:val="142"/>
        </w:trPr>
        <w:tc>
          <w:tcPr>
            <w:tcW w:w="6780" w:type="dxa"/>
            <w:vAlign w:val="bottom"/>
            <w:tcBorders>
              <w:bottom w:val="single" w:sz="8" w:color="CCEEFF"/>
            </w:tcBorders>
          </w:tcPr>
          <w:p>
            <w:pPr>
              <w:ind w:left="20"/>
              <w:spacing w:after="0" w:line="142" w:lineRule="exact"/>
              <w:rPr>
                <w:sz w:val="20"/>
                <w:szCs w:val="20"/>
                <w:color w:val="auto"/>
              </w:rPr>
            </w:pPr>
            <w:r>
              <w:rPr>
                <w:rFonts w:ascii="Arial" w:cs="Arial" w:eastAsia="Arial" w:hAnsi="Arial"/>
                <w:sz w:val="14"/>
                <w:szCs w:val="14"/>
                <w:color w:val="auto"/>
              </w:rPr>
              <w:t>Net cash provided by (used in) investing activities</w:t>
            </w: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12,655</w:t>
            </w:r>
          </w:p>
        </w:tc>
        <w:tc>
          <w:tcPr>
            <w:tcW w:w="2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(678)</w:t>
            </w:r>
          </w:p>
        </w:tc>
        <w:tc>
          <w:tcPr>
            <w:tcW w:w="220" w:type="dxa"/>
            <w:vAlign w:val="bottom"/>
            <w:tcBorders>
              <w:bottom w:val="single" w:sz="8" w:color="CCEEFF"/>
            </w:tcBorders>
          </w:tcPr>
          <w:p>
            <w:pPr>
              <w:spacing w:after="0"/>
              <w:rPr>
                <w:sz w:val="12"/>
                <w:szCs w:val="12"/>
                <w:color w:val="auto"/>
              </w:rPr>
            </w:pPr>
          </w:p>
        </w:tc>
      </w:tr>
      <w:tr>
        <w:trPr>
          <w:trHeight w:val="142"/>
        </w:trPr>
        <w:tc>
          <w:tcPr>
            <w:tcW w:w="6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48"/>
        </w:trPr>
        <w:tc>
          <w:tcPr>
            <w:tcW w:w="6780" w:type="dxa"/>
            <w:vAlign w:val="bottom"/>
          </w:tcPr>
          <w:p>
            <w:pPr>
              <w:ind w:left="20"/>
              <w:spacing w:after="0" w:line="149" w:lineRule="exact"/>
              <w:rPr>
                <w:sz w:val="20"/>
                <w:szCs w:val="20"/>
                <w:color w:val="auto"/>
              </w:rPr>
            </w:pPr>
            <w:r>
              <w:rPr>
                <w:rFonts w:ascii="Arial" w:cs="Arial" w:eastAsia="Arial" w:hAnsi="Arial"/>
                <w:sz w:val="14"/>
                <w:szCs w:val="14"/>
                <w:color w:val="auto"/>
              </w:rPr>
              <w:t>CASH FLOWS FROM FINANCING ACTIVITIES</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9"/>
        </w:trPr>
        <w:tc>
          <w:tcPr>
            <w:tcW w:w="67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Proceeds from sale of common stock, net</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241,077</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55,965</w:t>
            </w:r>
          </w:p>
        </w:tc>
        <w:tc>
          <w:tcPr>
            <w:tcW w:w="220" w:type="dxa"/>
            <w:vAlign w:val="bottom"/>
            <w:shd w:val="clear" w:color="auto" w:fill="CCEEFF"/>
          </w:tcPr>
          <w:p>
            <w:pPr>
              <w:spacing w:after="0"/>
              <w:rPr>
                <w:sz w:val="12"/>
                <w:szCs w:val="12"/>
                <w:color w:val="auto"/>
              </w:rPr>
            </w:pPr>
          </w:p>
        </w:tc>
      </w:tr>
      <w:tr>
        <w:trPr>
          <w:trHeight w:val="148"/>
        </w:trPr>
        <w:tc>
          <w:tcPr>
            <w:tcW w:w="6780" w:type="dxa"/>
            <w:vAlign w:val="bottom"/>
          </w:tcPr>
          <w:p>
            <w:pPr>
              <w:ind w:left="20"/>
              <w:spacing w:after="0" w:line="149" w:lineRule="exact"/>
              <w:rPr>
                <w:sz w:val="20"/>
                <w:szCs w:val="20"/>
                <w:color w:val="auto"/>
              </w:rPr>
            </w:pPr>
            <w:r>
              <w:rPr>
                <w:rFonts w:ascii="Arial" w:cs="Arial" w:eastAsia="Arial" w:hAnsi="Arial"/>
                <w:sz w:val="14"/>
                <w:szCs w:val="14"/>
                <w:color w:val="auto"/>
              </w:rPr>
              <w:t>Proceeds from exercise of options</w:t>
            </w: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96</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r>
      <w:tr>
        <w:trPr>
          <w:trHeight w:val="148"/>
        </w:trPr>
        <w:tc>
          <w:tcPr>
            <w:tcW w:w="67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Proceeds from debt financings</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29,679</w:t>
            </w:r>
          </w:p>
        </w:tc>
        <w:tc>
          <w:tcPr>
            <w:tcW w:w="220" w:type="dxa"/>
            <w:vAlign w:val="bottom"/>
            <w:shd w:val="clear" w:color="auto" w:fill="CCEEFF"/>
          </w:tcPr>
          <w:p>
            <w:pPr>
              <w:spacing w:after="0"/>
              <w:rPr>
                <w:sz w:val="12"/>
                <w:szCs w:val="12"/>
                <w:color w:val="auto"/>
              </w:rPr>
            </w:pPr>
          </w:p>
        </w:tc>
      </w:tr>
      <w:tr>
        <w:trPr>
          <w:trHeight w:val="149"/>
        </w:trPr>
        <w:tc>
          <w:tcPr>
            <w:tcW w:w="6780" w:type="dxa"/>
            <w:vAlign w:val="bottom"/>
          </w:tcPr>
          <w:p>
            <w:pPr>
              <w:ind w:left="20"/>
              <w:spacing w:after="0" w:line="149" w:lineRule="exact"/>
              <w:rPr>
                <w:sz w:val="20"/>
                <w:szCs w:val="20"/>
                <w:color w:val="auto"/>
              </w:rPr>
            </w:pPr>
            <w:r>
              <w:rPr>
                <w:rFonts w:ascii="Arial" w:cs="Arial" w:eastAsia="Arial" w:hAnsi="Arial"/>
                <w:sz w:val="14"/>
                <w:szCs w:val="14"/>
                <w:color w:val="auto"/>
              </w:rPr>
              <w:t>Financing costs paid</w:t>
            </w:r>
          </w:p>
        </w:tc>
        <w:tc>
          <w:tcPr>
            <w:tcW w:w="180" w:type="dxa"/>
            <w:vAlign w:val="bottom"/>
          </w:tcPr>
          <w:p>
            <w:pPr>
              <w:spacing w:after="0"/>
              <w:rPr>
                <w:sz w:val="12"/>
                <w:szCs w:val="12"/>
                <w:color w:val="auto"/>
              </w:rPr>
            </w:pP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(480)</w:t>
            </w:r>
          </w:p>
        </w:tc>
      </w:tr>
      <w:tr>
        <w:trPr>
          <w:trHeight w:val="142"/>
        </w:trPr>
        <w:tc>
          <w:tcPr>
            <w:tcW w:w="678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Net cash provided by financing activities</w:t>
            </w: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241,173</w:t>
            </w:r>
          </w:p>
        </w:tc>
        <w:tc>
          <w:tcPr>
            <w:tcW w:w="2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85,164</w:t>
            </w:r>
          </w:p>
        </w:tc>
        <w:tc>
          <w:tcPr>
            <w:tcW w:w="220" w:type="dxa"/>
            <w:vAlign w:val="bottom"/>
            <w:tcBorders>
              <w:top w:val="single" w:sz="8" w:color="CCEEFF"/>
            </w:tcBorders>
            <w:shd w:val="clear" w:color="auto" w:fill="CCEEFF"/>
          </w:tcPr>
          <w:p>
            <w:pPr>
              <w:spacing w:after="0"/>
              <w:rPr>
                <w:sz w:val="12"/>
                <w:szCs w:val="12"/>
                <w:color w:val="auto"/>
              </w:rPr>
            </w:pPr>
          </w:p>
        </w:tc>
      </w:tr>
      <w:tr>
        <w:trPr>
          <w:trHeight w:val="142"/>
        </w:trPr>
        <w:tc>
          <w:tcPr>
            <w:tcW w:w="6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9"/>
        </w:trPr>
        <w:tc>
          <w:tcPr>
            <w:tcW w:w="67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NET INCREASE IN CASH, CASH EQUIVALENTS AND RESTRICTED CASH</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147,879</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15,275</w:t>
            </w:r>
          </w:p>
        </w:tc>
        <w:tc>
          <w:tcPr>
            <w:tcW w:w="220" w:type="dxa"/>
            <w:vAlign w:val="bottom"/>
            <w:shd w:val="clear" w:color="auto" w:fill="CCEEFF"/>
          </w:tcPr>
          <w:p>
            <w:pPr>
              <w:spacing w:after="0"/>
              <w:rPr>
                <w:sz w:val="12"/>
                <w:szCs w:val="12"/>
                <w:color w:val="auto"/>
              </w:rPr>
            </w:pPr>
          </w:p>
        </w:tc>
      </w:tr>
      <w:tr>
        <w:trPr>
          <w:trHeight w:val="148"/>
        </w:trPr>
        <w:tc>
          <w:tcPr>
            <w:tcW w:w="6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8"/>
        </w:trPr>
        <w:tc>
          <w:tcPr>
            <w:tcW w:w="67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CASH, CASH EQUIVALENTS AND RESTRICTED CASH AT BEGINNING OF PERIOD</w:t>
            </w:r>
          </w:p>
        </w:tc>
        <w:tc>
          <w:tcPr>
            <w:tcW w:w="1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113,888</w:t>
            </w:r>
          </w:p>
        </w:tc>
        <w:tc>
          <w:tcPr>
            <w:tcW w:w="2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43,199</w:t>
            </w:r>
          </w:p>
        </w:tc>
        <w:tc>
          <w:tcPr>
            <w:tcW w:w="220" w:type="dxa"/>
            <w:vAlign w:val="bottom"/>
            <w:shd w:val="clear" w:color="auto" w:fill="CCEEFF"/>
          </w:tcPr>
          <w:p>
            <w:pPr>
              <w:spacing w:after="0"/>
              <w:rPr>
                <w:sz w:val="12"/>
                <w:szCs w:val="12"/>
                <w:color w:val="auto"/>
              </w:rPr>
            </w:pPr>
          </w:p>
        </w:tc>
      </w:tr>
      <w:tr>
        <w:trPr>
          <w:trHeight w:val="142"/>
        </w:trPr>
        <w:tc>
          <w:tcPr>
            <w:tcW w:w="6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9"/>
        </w:trPr>
        <w:tc>
          <w:tcPr>
            <w:tcW w:w="6780" w:type="dxa"/>
            <w:vAlign w:val="bottom"/>
            <w:tcBorders>
              <w:bottom w:val="single" w:sz="8" w:color="CCEEFF"/>
            </w:tcBorders>
            <w:shd w:val="clear" w:color="auto" w:fill="CCEEFF"/>
          </w:tcPr>
          <w:p>
            <w:pPr>
              <w:ind w:left="20"/>
              <w:spacing w:after="0" w:line="149" w:lineRule="exact"/>
              <w:rPr>
                <w:sz w:val="20"/>
                <w:szCs w:val="20"/>
                <w:color w:val="auto"/>
              </w:rPr>
            </w:pPr>
            <w:r>
              <w:rPr>
                <w:rFonts w:ascii="Arial" w:cs="Arial" w:eastAsia="Arial" w:hAnsi="Arial"/>
                <w:sz w:val="14"/>
                <w:szCs w:val="14"/>
                <w:color w:val="auto"/>
              </w:rPr>
              <w:t>CASH, CASH EQUIVALENTS AND RESTRICTED CASH AT END OF PERIOD</w:t>
            </w:r>
          </w:p>
        </w:tc>
        <w:tc>
          <w:tcPr>
            <w:tcW w:w="1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261,767</w:t>
            </w:r>
          </w:p>
        </w:tc>
        <w:tc>
          <w:tcPr>
            <w:tcW w:w="2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58,474</w:t>
            </w:r>
          </w:p>
        </w:tc>
        <w:tc>
          <w:tcPr>
            <w:tcW w:w="220" w:type="dxa"/>
            <w:vAlign w:val="bottom"/>
            <w:tcBorders>
              <w:bottom w:val="single" w:sz="8" w:color="CCEEFF"/>
            </w:tcBorders>
            <w:shd w:val="clear" w:color="auto" w:fill="CCEEFF"/>
          </w:tcPr>
          <w:p>
            <w:pPr>
              <w:spacing w:after="0"/>
              <w:rPr>
                <w:sz w:val="12"/>
                <w:szCs w:val="12"/>
                <w:color w:val="auto"/>
              </w:rPr>
            </w:pPr>
          </w:p>
        </w:tc>
      </w:tr>
      <w:tr>
        <w:trPr>
          <w:trHeight w:val="20"/>
        </w:trPr>
        <w:tc>
          <w:tcPr>
            <w:tcW w:w="6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29"/>
        </w:trPr>
        <w:tc>
          <w:tcPr>
            <w:tcW w:w="6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r>
      <w:tr>
        <w:trPr>
          <w:trHeight w:val="148"/>
        </w:trPr>
        <w:tc>
          <w:tcPr>
            <w:tcW w:w="6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49"/>
        </w:trPr>
        <w:tc>
          <w:tcPr>
            <w:tcW w:w="6780" w:type="dxa"/>
            <w:vAlign w:val="bottom"/>
          </w:tcPr>
          <w:p>
            <w:pPr>
              <w:ind w:left="20"/>
              <w:spacing w:after="0" w:line="149" w:lineRule="exact"/>
              <w:rPr>
                <w:sz w:val="20"/>
                <w:szCs w:val="20"/>
                <w:color w:val="auto"/>
              </w:rPr>
            </w:pPr>
            <w:r>
              <w:rPr>
                <w:rFonts w:ascii="Arial" w:cs="Arial" w:eastAsia="Arial" w:hAnsi="Arial"/>
                <w:sz w:val="14"/>
                <w:szCs w:val="14"/>
                <w:color w:val="auto"/>
              </w:rPr>
              <w:t>Reconciliation to amounts on condensed consolidated balance sheets:</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8"/>
        </w:trPr>
        <w:tc>
          <w:tcPr>
            <w:tcW w:w="67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Cash and cash equivalents</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260,512</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57,228</w:t>
            </w:r>
          </w:p>
        </w:tc>
        <w:tc>
          <w:tcPr>
            <w:tcW w:w="220" w:type="dxa"/>
            <w:vAlign w:val="bottom"/>
            <w:shd w:val="clear" w:color="auto" w:fill="CCEEFF"/>
          </w:tcPr>
          <w:p>
            <w:pPr>
              <w:spacing w:after="0"/>
              <w:rPr>
                <w:sz w:val="12"/>
                <w:szCs w:val="12"/>
                <w:color w:val="auto"/>
              </w:rPr>
            </w:pPr>
          </w:p>
        </w:tc>
      </w:tr>
      <w:tr>
        <w:trPr>
          <w:trHeight w:val="149"/>
        </w:trPr>
        <w:tc>
          <w:tcPr>
            <w:tcW w:w="6780" w:type="dxa"/>
            <w:vAlign w:val="bottom"/>
            <w:tcBorders>
              <w:bottom w:val="single" w:sz="8" w:color="CCEEFF"/>
            </w:tcBorders>
          </w:tcPr>
          <w:p>
            <w:pPr>
              <w:ind w:left="120"/>
              <w:spacing w:after="0" w:line="149" w:lineRule="exact"/>
              <w:rPr>
                <w:sz w:val="20"/>
                <w:szCs w:val="20"/>
                <w:color w:val="auto"/>
              </w:rPr>
            </w:pPr>
            <w:r>
              <w:rPr>
                <w:rFonts w:ascii="Arial" w:cs="Arial" w:eastAsia="Arial" w:hAnsi="Arial"/>
                <w:sz w:val="14"/>
                <w:szCs w:val="14"/>
                <w:color w:val="auto"/>
              </w:rPr>
              <w:t>Restricted cash</w:t>
            </w: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1,255</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1,246</w:t>
            </w:r>
          </w:p>
        </w:tc>
        <w:tc>
          <w:tcPr>
            <w:tcW w:w="220" w:type="dxa"/>
            <w:vAlign w:val="bottom"/>
            <w:tcBorders>
              <w:bottom w:val="single" w:sz="8" w:color="CCEEFF"/>
            </w:tcBorders>
          </w:tcPr>
          <w:p>
            <w:pPr>
              <w:spacing w:after="0"/>
              <w:rPr>
                <w:sz w:val="12"/>
                <w:szCs w:val="12"/>
                <w:color w:val="auto"/>
              </w:rPr>
            </w:pPr>
          </w:p>
        </w:tc>
      </w:tr>
      <w:tr>
        <w:trPr>
          <w:trHeight w:val="142"/>
        </w:trPr>
        <w:tc>
          <w:tcPr>
            <w:tcW w:w="6780" w:type="dxa"/>
            <w:vAlign w:val="bottom"/>
            <w:tcBorders>
              <w:bottom w:val="single" w:sz="8" w:color="CCEEFF"/>
            </w:tcBorders>
            <w:shd w:val="clear" w:color="auto" w:fill="CCEEFF"/>
          </w:tcPr>
          <w:p>
            <w:pPr>
              <w:ind w:left="120"/>
              <w:spacing w:after="0" w:line="142" w:lineRule="exact"/>
              <w:rPr>
                <w:sz w:val="20"/>
                <w:szCs w:val="20"/>
                <w:color w:val="auto"/>
              </w:rPr>
            </w:pPr>
            <w:r>
              <w:rPr>
                <w:rFonts w:ascii="Arial" w:cs="Arial" w:eastAsia="Arial" w:hAnsi="Arial"/>
                <w:sz w:val="14"/>
                <w:szCs w:val="14"/>
                <w:color w:val="auto"/>
              </w:rPr>
              <w:t>Total cash, cash equivalents and restricted cash</w:t>
            </w:r>
          </w:p>
        </w:tc>
        <w:tc>
          <w:tcPr>
            <w:tcW w:w="1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261,767</w:t>
            </w:r>
          </w:p>
        </w:tc>
        <w:tc>
          <w:tcPr>
            <w:tcW w:w="2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58,474</w:t>
            </w:r>
          </w:p>
        </w:tc>
        <w:tc>
          <w:tcPr>
            <w:tcW w:w="220" w:type="dxa"/>
            <w:vAlign w:val="bottom"/>
            <w:tcBorders>
              <w:bottom w:val="single" w:sz="8" w:color="CCEEFF"/>
            </w:tcBorders>
            <w:shd w:val="clear" w:color="auto" w:fill="CCEEFF"/>
          </w:tcPr>
          <w:p>
            <w:pPr>
              <w:spacing w:after="0"/>
              <w:rPr>
                <w:sz w:val="12"/>
                <w:szCs w:val="12"/>
                <w:color w:val="auto"/>
              </w:rPr>
            </w:pPr>
          </w:p>
        </w:tc>
      </w:tr>
      <w:tr>
        <w:trPr>
          <w:trHeight w:val="20"/>
        </w:trPr>
        <w:tc>
          <w:tcPr>
            <w:tcW w:w="6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29"/>
        </w:trPr>
        <w:tc>
          <w:tcPr>
            <w:tcW w:w="6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r>
      <w:tr>
        <w:trPr>
          <w:trHeight w:val="148"/>
        </w:trPr>
        <w:tc>
          <w:tcPr>
            <w:tcW w:w="67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Cash paid for:</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49"/>
        </w:trPr>
        <w:tc>
          <w:tcPr>
            <w:tcW w:w="6780" w:type="dxa"/>
            <w:vAlign w:val="bottom"/>
          </w:tcPr>
          <w:p>
            <w:pPr>
              <w:ind w:left="120"/>
              <w:spacing w:after="0" w:line="149" w:lineRule="exact"/>
              <w:rPr>
                <w:sz w:val="20"/>
                <w:szCs w:val="20"/>
                <w:color w:val="auto"/>
              </w:rPr>
            </w:pPr>
            <w:r>
              <w:rPr>
                <w:rFonts w:ascii="Arial" w:cs="Arial" w:eastAsia="Arial" w:hAnsi="Arial"/>
                <w:sz w:val="14"/>
                <w:szCs w:val="14"/>
                <w:color w:val="auto"/>
              </w:rPr>
              <w:t>Interest</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1,555</w:t>
            </w:r>
          </w:p>
        </w:tc>
        <w:tc>
          <w:tcPr>
            <w:tcW w:w="200" w:type="dxa"/>
            <w:vAlign w:val="bottom"/>
          </w:tcPr>
          <w:p>
            <w:pPr>
              <w:spacing w:after="0"/>
              <w:rPr>
                <w:sz w:val="12"/>
                <w:szCs w:val="12"/>
                <w:color w:val="auto"/>
              </w:rPr>
            </w:pPr>
          </w:p>
        </w:tc>
        <w:tc>
          <w:tcPr>
            <w:tcW w:w="180" w:type="dxa"/>
            <w:vAlign w:val="bottom"/>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1,051</w:t>
            </w:r>
          </w:p>
        </w:tc>
        <w:tc>
          <w:tcPr>
            <w:tcW w:w="220" w:type="dxa"/>
            <w:vAlign w:val="bottom"/>
          </w:tcPr>
          <w:p>
            <w:pPr>
              <w:spacing w:after="0"/>
              <w:rPr>
                <w:sz w:val="12"/>
                <w:szCs w:val="12"/>
                <w:color w:val="auto"/>
              </w:rPr>
            </w:pPr>
          </w:p>
        </w:tc>
      </w:tr>
      <w:tr>
        <w:trPr>
          <w:trHeight w:val="148"/>
        </w:trPr>
        <w:tc>
          <w:tcPr>
            <w:tcW w:w="6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48"/>
        </w:trPr>
        <w:tc>
          <w:tcPr>
            <w:tcW w:w="6780" w:type="dxa"/>
            <w:vAlign w:val="bottom"/>
          </w:tcPr>
          <w:p>
            <w:pPr>
              <w:ind w:left="20"/>
              <w:spacing w:after="0" w:line="149" w:lineRule="exact"/>
              <w:rPr>
                <w:sz w:val="20"/>
                <w:szCs w:val="20"/>
                <w:color w:val="auto"/>
              </w:rPr>
            </w:pPr>
            <w:r>
              <w:rPr>
                <w:rFonts w:ascii="Arial" w:cs="Arial" w:eastAsia="Arial" w:hAnsi="Arial"/>
                <w:sz w:val="14"/>
                <w:szCs w:val="14"/>
                <w:color w:val="auto"/>
              </w:rPr>
              <w:t>NONCASH TRANSACTIONS</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9"/>
        </w:trPr>
        <w:tc>
          <w:tcPr>
            <w:tcW w:w="67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Accrued offering costs</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w:t>
            </w:r>
          </w:p>
        </w:tc>
        <w:tc>
          <w:tcPr>
            <w:tcW w:w="220" w:type="dxa"/>
            <w:vAlign w:val="bottom"/>
            <w:shd w:val="clear" w:color="auto" w:fill="CCEEFF"/>
          </w:tcPr>
          <w:p>
            <w:pPr>
              <w:spacing w:after="0"/>
              <w:rPr>
                <w:sz w:val="12"/>
                <w:szCs w:val="12"/>
                <w:color w:val="auto"/>
              </w:rPr>
            </w:pPr>
          </w:p>
        </w:tc>
      </w:tr>
      <w:tr>
        <w:trPr>
          <w:trHeight w:val="148"/>
        </w:trPr>
        <w:tc>
          <w:tcPr>
            <w:tcW w:w="6780" w:type="dxa"/>
            <w:vAlign w:val="bottom"/>
          </w:tcPr>
          <w:p>
            <w:pPr>
              <w:ind w:left="20"/>
              <w:spacing w:after="0" w:line="149" w:lineRule="exact"/>
              <w:rPr>
                <w:sz w:val="20"/>
                <w:szCs w:val="20"/>
                <w:color w:val="auto"/>
              </w:rPr>
            </w:pPr>
            <w:r>
              <w:rPr>
                <w:rFonts w:ascii="Arial" w:cs="Arial" w:eastAsia="Arial" w:hAnsi="Arial"/>
                <w:sz w:val="14"/>
                <w:szCs w:val="14"/>
                <w:color w:val="auto"/>
              </w:rPr>
              <w:t>Deferred financing costs</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988</w:t>
            </w:r>
          </w:p>
        </w:tc>
        <w:tc>
          <w:tcPr>
            <w:tcW w:w="220" w:type="dxa"/>
            <w:vAlign w:val="bottom"/>
          </w:tcPr>
          <w:p>
            <w:pPr>
              <w:spacing w:after="0"/>
              <w:rPr>
                <w:sz w:val="12"/>
                <w:szCs w:val="12"/>
                <w:color w:val="auto"/>
              </w:rPr>
            </w:pPr>
          </w:p>
        </w:tc>
      </w:tr>
      <w:tr>
        <w:trPr>
          <w:trHeight w:val="149"/>
        </w:trPr>
        <w:tc>
          <w:tcPr>
            <w:tcW w:w="67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Warrants issued with debt financing</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993</w:t>
            </w:r>
          </w:p>
        </w:tc>
        <w:tc>
          <w:tcPr>
            <w:tcW w:w="220" w:type="dxa"/>
            <w:vAlign w:val="bottom"/>
            <w:shd w:val="clear" w:color="auto" w:fill="CCEEFF"/>
          </w:tcPr>
          <w:p>
            <w:pPr>
              <w:spacing w:after="0"/>
              <w:rPr>
                <w:sz w:val="12"/>
                <w:szCs w:val="12"/>
                <w:color w:val="auto"/>
              </w:rPr>
            </w:pPr>
          </w:p>
        </w:tc>
      </w:tr>
      <w:tr>
        <w:trPr>
          <w:trHeight w:val="150"/>
        </w:trPr>
        <w:tc>
          <w:tcPr>
            <w:tcW w:w="6780" w:type="dxa"/>
            <w:vAlign w:val="bottom"/>
          </w:tcPr>
          <w:p>
            <w:pPr>
              <w:ind w:left="20"/>
              <w:spacing w:after="0" w:line="150" w:lineRule="exact"/>
              <w:rPr>
                <w:sz w:val="20"/>
                <w:szCs w:val="20"/>
                <w:color w:val="auto"/>
              </w:rPr>
            </w:pPr>
            <w:r>
              <w:rPr>
                <w:rFonts w:ascii="Arial" w:cs="Arial" w:eastAsia="Arial" w:hAnsi="Arial"/>
                <w:sz w:val="14"/>
                <w:szCs w:val="14"/>
                <w:color w:val="auto"/>
              </w:rPr>
              <w:t>Shares issued in connection with in-licensing</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240"/>
              <w:spacing w:after="0" w:line="150" w:lineRule="exact"/>
              <w:rPr>
                <w:sz w:val="20"/>
                <w:szCs w:val="20"/>
                <w:color w:val="auto"/>
              </w:rPr>
            </w:pPr>
            <w:r>
              <w:rPr>
                <w:rFonts w:ascii="Arial" w:cs="Arial" w:eastAsia="Arial" w:hAnsi="Arial"/>
                <w:sz w:val="14"/>
                <w:szCs w:val="14"/>
                <w:color w:val="auto"/>
              </w:rPr>
              <w:t>—</w:t>
            </w:r>
          </w:p>
        </w:tc>
        <w:tc>
          <w:tcPr>
            <w:tcW w:w="180" w:type="dxa"/>
            <w:vAlign w:val="bottom"/>
          </w:tcPr>
          <w:p>
            <w:pPr>
              <w:jc w:val="right"/>
              <w:ind w:right="28"/>
              <w:spacing w:after="0" w:line="150" w:lineRule="exact"/>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line="150" w:lineRule="exact"/>
              <w:rPr>
                <w:sz w:val="20"/>
                <w:szCs w:val="20"/>
                <w:color w:val="auto"/>
              </w:rPr>
            </w:pPr>
            <w:r>
              <w:rPr>
                <w:rFonts w:ascii="Arial" w:cs="Arial" w:eastAsia="Arial" w:hAnsi="Arial"/>
                <w:sz w:val="14"/>
                <w:szCs w:val="14"/>
                <w:color w:val="auto"/>
              </w:rPr>
              <w:t>100</w:t>
            </w:r>
          </w:p>
        </w:tc>
        <w:tc>
          <w:tcPr>
            <w:tcW w:w="220" w:type="dxa"/>
            <w:vAlign w:val="bottom"/>
          </w:tcPr>
          <w:p>
            <w:pPr>
              <w:spacing w:after="0"/>
              <w:rPr>
                <w:sz w:val="13"/>
                <w:szCs w:val="13"/>
                <w:color w:val="auto"/>
              </w:rPr>
            </w:pPr>
          </w:p>
        </w:tc>
      </w:tr>
    </w:tbl>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184"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i w:val="1"/>
          <w:iCs w:val="1"/>
          <w:color w:val="auto"/>
        </w:rPr>
        <w:t>Unless the context requires otherwise, references in this report to “TG,” “the Company”, “we”, “us” and “our” refer to TG Therapeutics, Inc. and our subsidiaries.</w:t>
      </w:r>
    </w:p>
    <w:p>
      <w:pPr>
        <w:spacing w:after="0" w:line="126" w:lineRule="exact"/>
        <w:rPr>
          <w:sz w:val="20"/>
          <w:szCs w:val="20"/>
          <w:color w:val="auto"/>
        </w:rPr>
      </w:pPr>
    </w:p>
    <w:p>
      <w:pPr>
        <w:ind w:left="60" w:right="1679"/>
        <w:spacing w:after="0" w:line="464" w:lineRule="auto"/>
        <w:rPr>
          <w:sz w:val="20"/>
          <w:szCs w:val="20"/>
          <w:color w:val="auto"/>
        </w:rPr>
      </w:pPr>
      <w:r>
        <w:rPr>
          <w:rFonts w:ascii="Arial" w:cs="Arial" w:eastAsia="Arial" w:hAnsi="Arial"/>
          <w:sz w:val="18"/>
          <w:szCs w:val="18"/>
          <w:b w:val="1"/>
          <w:bCs w:val="1"/>
          <w:color w:val="auto"/>
        </w:rPr>
        <w:t xml:space="preserve">NOTE 1 ORGANIZATION AND SUMMARY OF SIGNIFICANT ACCOUNTING POLICIES </w:t>
      </w:r>
      <w:r>
        <w:rPr>
          <w:rFonts w:ascii="Arial" w:cs="Arial" w:eastAsia="Arial" w:hAnsi="Arial"/>
          <w:sz w:val="18"/>
          <w:szCs w:val="18"/>
          <w:b w:val="1"/>
          <w:bCs w:val="1"/>
          <w:i w:val="1"/>
          <w:iCs w:val="1"/>
          <w:color w:val="auto"/>
        </w:rPr>
        <w:t>Description of Business</w:t>
      </w:r>
    </w:p>
    <w:p>
      <w:pPr>
        <w:jc w:val="both"/>
        <w:ind w:left="60" w:right="59" w:firstLine="486"/>
        <w:spacing w:after="0" w:line="269" w:lineRule="auto"/>
        <w:rPr>
          <w:sz w:val="20"/>
          <w:szCs w:val="20"/>
          <w:color w:val="auto"/>
        </w:rPr>
      </w:pPr>
      <w:r>
        <w:rPr>
          <w:rFonts w:ascii="Arial" w:cs="Arial" w:eastAsia="Arial" w:hAnsi="Arial"/>
          <w:sz w:val="17"/>
          <w:szCs w:val="17"/>
          <w:color w:val="auto"/>
        </w:rPr>
        <w:t>We are a biopharmaceutical company dedicated to developing and delivering medicines for patients with B-cell mediated diseases, including chronic lymphocytic leukemia (CLL), non-Hodgkin lymphoma (NHL) and multiple sclerosis (MS). We have developed a robust B-cell directed research and development (R&amp;D) platform for identification of key B-cell pathways of interest and rapid clinical testing. Currently, we have five B-cell targeted drug candidates in clinical development, with the two lead therapies, ublituximab (TG-1101) and umbralisib (TGR-1202), in pivotal trials for CLL and NHL, with ublituximab also in pivotal trials for MS. Ublituximab is a novel anti-CD20 monoclonal antibody (mAb) that has been glycoengineered for enhanced potency. Umbralisib is an oral, once daily, dual inhibitor of PI3K-delta and CK1-epsilon. When used together in combination therapy, ublituximab and umbralisib are referred to as “U2”. Additionally, in early clinical development we have an anti-PD-L1 monoclonal antibody referred to as cosibelimab (TG-1501), an oral Bruton’s Tyrosine Kinase (BTK) inhibitor referred to as TG-1701, and an anti-CD47/CD19 bispecific antibody referred to as TG-1801.</w:t>
      </w:r>
    </w:p>
    <w:p>
      <w:pPr>
        <w:spacing w:after="0" w:line="74" w:lineRule="exact"/>
        <w:rPr>
          <w:sz w:val="20"/>
          <w:szCs w:val="20"/>
          <w:color w:val="auto"/>
        </w:rPr>
      </w:pPr>
    </w:p>
    <w:p>
      <w:pPr>
        <w:jc w:val="both"/>
        <w:ind w:left="60" w:right="59" w:firstLine="486"/>
        <w:spacing w:after="0" w:line="286" w:lineRule="auto"/>
        <w:rPr>
          <w:sz w:val="20"/>
          <w:szCs w:val="20"/>
          <w:color w:val="auto"/>
        </w:rPr>
      </w:pPr>
      <w:r>
        <w:rPr>
          <w:rFonts w:ascii="Arial" w:cs="Arial" w:eastAsia="Arial" w:hAnsi="Arial"/>
          <w:sz w:val="17"/>
          <w:szCs w:val="17"/>
          <w:color w:val="auto"/>
        </w:rPr>
        <w:t>We also actively evaluate complementary products, technologies and companies for in-licensing, partnership, acquisition and/or investment opportunities. To date, we have not received approval for the sale of any of our drug candidates in any market and, therefore, have not generated any product sales from our drug candidates.</w:t>
      </w:r>
    </w:p>
    <w:p>
      <w:pPr>
        <w:spacing w:after="0" w:line="57" w:lineRule="exact"/>
        <w:rPr>
          <w:sz w:val="20"/>
          <w:szCs w:val="20"/>
          <w:color w:val="auto"/>
        </w:rPr>
      </w:pPr>
    </w:p>
    <w:p>
      <w:pPr>
        <w:jc w:val="both"/>
        <w:ind w:left="60" w:right="59" w:firstLine="492"/>
        <w:spacing w:after="0" w:line="288" w:lineRule="auto"/>
        <w:rPr>
          <w:sz w:val="20"/>
          <w:szCs w:val="20"/>
          <w:color w:val="auto"/>
        </w:rPr>
      </w:pPr>
      <w:r>
        <w:rPr>
          <w:rFonts w:ascii="Arial" w:cs="Arial" w:eastAsia="Arial" w:hAnsi="Arial"/>
          <w:sz w:val="16"/>
          <w:szCs w:val="16"/>
          <w:color w:val="auto"/>
        </w:rPr>
        <w:t>The accompanying unaudited condensed consolidated financial statements were prepared in accordance with U.S. generally accepted accounting principles, or “GAAP”, for interim financial information and with the instructions to Quarterly Report on Form 10-Q and Article 10 of Regulation S-X of the Exchange Act. Accordingly, they may not include all of the information and footnotes required by GAAP for complete financial statements. All adjustments that are, in the opinion of management, of a normal recurring nature and are necessary for a fair presentation of the condensed consolidated financial statements have been included. Nevertheless, these condensed consolidated financial statements should be read in conjunction with the audited consolidated financial statements contained in our Annual Report on Form 10-K for the year ended December 31, 2019. The accompanying condensed December 31, 2019 balance sheet has been derived from these statements. The results of operations for the six months ended June 30, 2020 are not necessarily indicative of the results that may be expected for the entire fiscal year or any other interim period.</w:t>
      </w:r>
    </w:p>
    <w:p>
      <w:pPr>
        <w:spacing w:after="0" w:line="60" w:lineRule="exact"/>
        <w:rPr>
          <w:sz w:val="20"/>
          <w:szCs w:val="20"/>
          <w:color w:val="auto"/>
        </w:rPr>
      </w:pPr>
    </w:p>
    <w:p>
      <w:pPr>
        <w:jc w:val="both"/>
        <w:ind w:left="60" w:right="59" w:firstLine="492"/>
        <w:spacing w:after="0" w:line="272" w:lineRule="auto"/>
        <w:rPr>
          <w:sz w:val="20"/>
          <w:szCs w:val="20"/>
          <w:color w:val="auto"/>
        </w:rPr>
      </w:pPr>
      <w:r>
        <w:rPr>
          <w:rFonts w:ascii="Arial" w:cs="Arial" w:eastAsia="Arial" w:hAnsi="Arial"/>
          <w:sz w:val="17"/>
          <w:szCs w:val="17"/>
          <w:color w:val="auto"/>
        </w:rPr>
        <w:t>In December 2018, the Company created an Australian corporation, TG Therapeutics AUS Pty Ltd. (“TG AUS”), as a wholly-owned subsidiary. This corporation’s functional currency, the Australian dollar, is also its reporting currency, and its financial statements are translated to U.S. dollars, the Company’s reporting currency, prior to consolidation. The activities of TG AUS result in immaterial currency translation adjustments and, thus, are included in Other Income/Expense on the Company’s condensed consolidated statement of operations. The accompanying condensed consolidated financial statements include the accounts of the Company and its subsidiaries, and all intercompany accounts and transactions have been eliminated in consolidation.</w:t>
      </w:r>
    </w:p>
    <w:p>
      <w:pPr>
        <w:spacing w:after="0" w:line="13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85" w:lineRule="exact"/>
        <w:rPr>
          <w:sz w:val="20"/>
          <w:szCs w:val="20"/>
          <w:color w:val="auto"/>
        </w:rPr>
      </w:pPr>
    </w:p>
    <w:p>
      <w:pPr>
        <w:jc w:val="both"/>
        <w:ind w:left="60" w:right="59" w:firstLine="492"/>
        <w:spacing w:after="0" w:line="263" w:lineRule="auto"/>
        <w:rPr>
          <w:sz w:val="20"/>
          <w:szCs w:val="20"/>
          <w:color w:val="auto"/>
        </w:rPr>
      </w:pPr>
      <w:r>
        <w:rPr>
          <w:rFonts w:ascii="Arial" w:cs="Arial" w:eastAsia="Arial" w:hAnsi="Arial"/>
          <w:sz w:val="18"/>
          <w:szCs w:val="18"/>
          <w:color w:val="auto"/>
        </w:rPr>
        <w:t>We have incurred operating losses since our inception, expect to continue to incur operating losses for the foreseeable future, and may never become profitable. As of June 30, 2020, we have an accumulated deficit of approximately $805.2 million.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92"/>
        <w:spacing w:after="0" w:line="254" w:lineRule="auto"/>
        <w:rPr>
          <w:sz w:val="20"/>
          <w:szCs w:val="20"/>
          <w:color w:val="auto"/>
        </w:rPr>
      </w:pPr>
      <w:r>
        <w:rPr>
          <w:rFonts w:ascii="Arial" w:cs="Arial" w:eastAsia="Arial" w:hAnsi="Arial"/>
          <w:sz w:val="18"/>
          <w:szCs w:val="18"/>
          <w:color w:val="auto"/>
        </w:rPr>
        <w:t>Our major sources of cash have been proceeds from the private placement and public offering of equity securities, as well as debt financings. We have not yet commercialized any of our drug candidates and cannot be sure if we will ever be able to do so. Even if we commercialize one or more of our drug candidates, we may not become profitable. Our ability to achieve profitability depends on many factors, including our ability to obtain regulatory approval for our drug candidates; successfully complete any post-approval regulatory obligations; and successfully commercialize our drug candidates alone or in partnership. We may continue to incur substantial operating losses even if we begin to generate revenues from our drug candidates.</w:t>
      </w:r>
    </w:p>
    <w:p>
      <w:pPr>
        <w:spacing w:after="0" w:line="87" w:lineRule="exact"/>
        <w:rPr>
          <w:sz w:val="20"/>
          <w:szCs w:val="20"/>
          <w:color w:val="auto"/>
        </w:rPr>
      </w:pPr>
    </w:p>
    <w:p>
      <w:pPr>
        <w:jc w:val="both"/>
        <w:ind w:left="60" w:right="59" w:firstLine="492"/>
        <w:spacing w:after="0" w:line="293" w:lineRule="auto"/>
        <w:rPr>
          <w:sz w:val="20"/>
          <w:szCs w:val="20"/>
          <w:color w:val="auto"/>
        </w:rPr>
      </w:pPr>
      <w:r>
        <w:rPr>
          <w:rFonts w:ascii="Arial" w:cs="Arial" w:eastAsia="Arial" w:hAnsi="Arial"/>
          <w:sz w:val="16"/>
          <w:szCs w:val="16"/>
          <w:color w:val="auto"/>
        </w:rPr>
        <w:t>As of June 30, 2020, we had $275.6 million in cash and cash equivalents, and investment securities. The Company believes its cash, cash equivalents, and investment securities on hand as of June 30, 2020 will provide sufficient liquidity for more than a twelve-month period from the date of filing this Quarterly Report on Form 10-Q. The actual amount of cash that we will need to operate is subject to many factors, including, but not limited to, the timing, design and conduct of clinical trials for our drug candidates. We are dependent upon significant future financing to provide the cash necessary to execute our current operations, including the commercialization of any of our drug candidates.</w:t>
      </w:r>
    </w:p>
    <w:p>
      <w:pPr>
        <w:spacing w:after="0" w:line="137" w:lineRule="exact"/>
        <w:rPr>
          <w:sz w:val="20"/>
          <w:szCs w:val="20"/>
          <w:color w:val="auto"/>
        </w:rPr>
      </w:pPr>
    </w:p>
    <w:p>
      <w:pPr>
        <w:ind w:left="60" w:right="1659" w:firstLine="492"/>
        <w:spacing w:after="0" w:line="453" w:lineRule="auto"/>
        <w:rPr>
          <w:sz w:val="20"/>
          <w:szCs w:val="20"/>
          <w:color w:val="auto"/>
        </w:rPr>
      </w:pPr>
      <w:r>
        <w:rPr>
          <w:rFonts w:ascii="Arial" w:cs="Arial" w:eastAsia="Arial" w:hAnsi="Arial"/>
          <w:sz w:val="18"/>
          <w:szCs w:val="18"/>
          <w:color w:val="auto"/>
        </w:rPr>
        <w:t xml:space="preserve">Our common stock is listed on the Nasdaq Capital Market and trades under the symbol TGTX. </w:t>
      </w:r>
      <w:r>
        <w:rPr>
          <w:rFonts w:ascii="Arial" w:cs="Arial" w:eastAsia="Arial" w:hAnsi="Arial"/>
          <w:sz w:val="18"/>
          <w:szCs w:val="18"/>
          <w:b w:val="1"/>
          <w:bCs w:val="1"/>
          <w:i w:val="1"/>
          <w:iCs w:val="1"/>
          <w:color w:val="auto"/>
        </w:rPr>
        <w:t>Recently Issued Accounting Standards</w:t>
      </w:r>
    </w:p>
    <w:p>
      <w:pPr>
        <w:spacing w:after="0" w:line="2" w:lineRule="exact"/>
        <w:rPr>
          <w:sz w:val="20"/>
          <w:szCs w:val="20"/>
          <w:color w:val="auto"/>
        </w:rPr>
      </w:pPr>
    </w:p>
    <w:p>
      <w:pPr>
        <w:jc w:val="both"/>
        <w:ind w:left="60" w:right="59" w:firstLine="492"/>
        <w:spacing w:after="0" w:line="271" w:lineRule="auto"/>
        <w:rPr>
          <w:sz w:val="20"/>
          <w:szCs w:val="20"/>
          <w:color w:val="auto"/>
        </w:rPr>
      </w:pPr>
      <w:r>
        <w:rPr>
          <w:rFonts w:ascii="Arial" w:cs="Arial" w:eastAsia="Arial" w:hAnsi="Arial"/>
          <w:sz w:val="17"/>
          <w:szCs w:val="17"/>
          <w:color w:val="auto"/>
        </w:rPr>
        <w:t>In July 2018, the Financial Accounting Standards Board ("FASB") issued Accounting Standards Update (“ASU”) No. 2018-11, “Leases - Targeted Improvements” (“ASU 2018-11”) as an update to ASU 2016-02, Leases (“ASU 2016-02” or “Topic 842”) issued on February 25, 2016. ASU 2016-02 is effective for public business entities for fiscal years beginning January 1, 2019. ASU 2016-02 required companies to adopt the new leases standard at the beginning of the earliest period presented in the financial statements, which is January 1, 2017, using a modified retrospective transition method where lessees must recognize lease assets and liabilities for all leases even though those leases may have expired before the effective date of January 1, 2017. Lessees must also provide the new and enhanced disclosures for each period presented, including the comparative periods.</w:t>
      </w:r>
    </w:p>
    <w:p>
      <w:pPr>
        <w:spacing w:after="0" w:line="151" w:lineRule="exact"/>
        <w:rPr>
          <w:sz w:val="20"/>
          <w:szCs w:val="20"/>
          <w:color w:val="auto"/>
        </w:rPr>
      </w:pPr>
    </w:p>
    <w:p>
      <w:pPr>
        <w:jc w:val="both"/>
        <w:ind w:left="60" w:right="59" w:firstLine="492"/>
        <w:spacing w:after="0" w:line="254" w:lineRule="auto"/>
        <w:rPr>
          <w:sz w:val="20"/>
          <w:szCs w:val="20"/>
          <w:color w:val="auto"/>
        </w:rPr>
      </w:pPr>
      <w:r>
        <w:rPr>
          <w:rFonts w:ascii="Arial" w:cs="Arial" w:eastAsia="Arial" w:hAnsi="Arial"/>
          <w:sz w:val="18"/>
          <w:szCs w:val="18"/>
          <w:color w:val="auto"/>
        </w:rPr>
        <w:t>ASU 2018-11 provides an entity with an additional (and optional) transition method to adopt the new leases standard. Under this new transition method, an entity initially applies the new lease standard at the adoption date and recognizes a cumulative-effect adjustment to the opening balance of retained earnings in the period of adoption. Consequently, an entity’s reporting for the comparative periods presented in the financial statements in which it adopts the new lease standard will continue to be in accordance with Accounting Standard Codification (“ASC”) 840, Leases (“ASC 840”). An entity that elects this additional (and optional) transition method must provide the required ASC 840 disclosures for all periods that continue to be in accordance with ASC 840. The amendments do not change the existing disclosure requirements in ASC 840.</w:t>
      </w:r>
    </w:p>
    <w:p>
      <w:pPr>
        <w:spacing w:after="0" w:line="151" w:lineRule="exact"/>
        <w:rPr>
          <w:sz w:val="20"/>
          <w:szCs w:val="20"/>
          <w:color w:val="auto"/>
        </w:rPr>
      </w:pPr>
    </w:p>
    <w:p>
      <w:pPr>
        <w:jc w:val="both"/>
        <w:ind w:left="60" w:right="59" w:firstLine="492"/>
        <w:spacing w:after="0" w:line="271" w:lineRule="auto"/>
        <w:rPr>
          <w:sz w:val="20"/>
          <w:szCs w:val="20"/>
          <w:color w:val="auto"/>
        </w:rPr>
      </w:pPr>
      <w:r>
        <w:rPr>
          <w:rFonts w:ascii="Arial" w:cs="Arial" w:eastAsia="Arial" w:hAnsi="Arial"/>
          <w:sz w:val="17"/>
          <w:szCs w:val="17"/>
          <w:color w:val="auto"/>
        </w:rPr>
        <w:t>ASU 2018-11 was effective for public business entities for fiscal years beginning after December 15, 2018, and interim periods within those fiscal years, with earlier adoption permitted. The Company adopted ASU 2018-11 on January 1, 2019 using a modified retrospective method and has not restated comparative periods. We elected the package of practical expedients permitted under the transition guidance, which allows us to carryforward our historical lease classification and our assessment on whether a contract is or contains a lease. The adoption of this guidance resulted in the addition of material balances of right of use assets and lease liabilities to our consolidated balance sheets at January 1, 2019, primarily relating to our lease of office space (see Note 8). The impact to our consolidated statements of operations was not material as a result of this standard.</w:t>
      </w:r>
    </w:p>
    <w:p>
      <w:pPr>
        <w:spacing w:after="0" w:line="138" w:lineRule="exact"/>
        <w:rPr>
          <w:sz w:val="20"/>
          <w:szCs w:val="20"/>
          <w:color w:val="auto"/>
        </w:rPr>
      </w:pPr>
    </w:p>
    <w:p>
      <w:pPr>
        <w:jc w:val="both"/>
        <w:ind w:left="60" w:right="59" w:firstLine="492"/>
        <w:spacing w:after="0" w:line="270" w:lineRule="auto"/>
        <w:rPr>
          <w:sz w:val="20"/>
          <w:szCs w:val="20"/>
          <w:color w:val="auto"/>
        </w:rPr>
      </w:pPr>
      <w:r>
        <w:rPr>
          <w:rFonts w:ascii="Arial" w:cs="Arial" w:eastAsia="Arial" w:hAnsi="Arial"/>
          <w:sz w:val="17"/>
          <w:szCs w:val="17"/>
          <w:color w:val="auto"/>
        </w:rPr>
        <w:t>In June 2018, the FASB issued ASU No. 2018-07, “Improvements to Nonemployee Share-Based Payment Accounting” (“ASU 2018-07”). ASU 2018-07 expands the scope of FASB Topic 718, “Compensation – Stock Compensation” (“Topic 718”) to include share-based payment transactions for acquiring goods and services from nonemployees. An entity should only remeasure equity-classified awards for which a measurement date has not been established through a cumulative-effect adjustment to retained earnings as of the beginning of the fiscal year of adoption. Upon transition, the entity is required to measure these nonemployee awards at fair value as of the adoption date. The entity must not remeasure assets that are completed. Disclosures required at transition include the nature of and reason for the change in accounting principle and, if applicable, quantitative information about the cumulative effect of the change on retained earnings or other components of equity.</w:t>
      </w:r>
    </w:p>
    <w:p>
      <w:pPr>
        <w:sectPr>
          <w:pgSz w:w="11900" w:h="16838" w:orient="portrait"/>
          <w:cols w:equalWidth="0" w:num="1">
            <w:col w:w="9019"/>
          </w:cols>
          <w:pgMar w:left="1440" w:top="517" w:right="1440"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92"/>
        <w:spacing w:after="0" w:line="255" w:lineRule="auto"/>
        <w:rPr>
          <w:sz w:val="20"/>
          <w:szCs w:val="20"/>
          <w:color w:val="auto"/>
        </w:rPr>
      </w:pPr>
      <w:r>
        <w:rPr>
          <w:rFonts w:ascii="Arial" w:cs="Arial" w:eastAsia="Arial" w:hAnsi="Arial"/>
          <w:sz w:val="18"/>
          <w:szCs w:val="18"/>
          <w:color w:val="auto"/>
        </w:rPr>
        <w:t>ASU 2018-07 was effective for public business entities for fiscal years beginning after December 15, 2018, including interim periods within that fiscal year. Early adoption was permitted, but no earlier than an entity’s adoption date of ASC Topic 606, “Revenue from Contracts with Customers” (“ASC 606”). The Company adopted ASU 2018-07 on January 1, 2019. The adoption of ASU 2018-07 did not have a material effect on our consolidated financial statements as of January 1, 2019. The adoption of ASU 2018-07 had no impact on nonemployee performance awards as they are measured based on the outcome that is probable.</w:t>
      </w:r>
    </w:p>
    <w:p>
      <w:pPr>
        <w:spacing w:after="0" w:line="165" w:lineRule="exact"/>
        <w:rPr>
          <w:sz w:val="20"/>
          <w:szCs w:val="20"/>
          <w:color w:val="auto"/>
        </w:rPr>
      </w:pPr>
    </w:p>
    <w:p>
      <w:pPr>
        <w:jc w:val="both"/>
        <w:ind w:left="60" w:right="59" w:firstLine="492"/>
        <w:spacing w:after="0" w:line="277" w:lineRule="auto"/>
        <w:rPr>
          <w:sz w:val="20"/>
          <w:szCs w:val="20"/>
          <w:color w:val="auto"/>
        </w:rPr>
      </w:pPr>
      <w:r>
        <w:rPr>
          <w:rFonts w:ascii="Arial" w:cs="Arial" w:eastAsia="Arial" w:hAnsi="Arial"/>
          <w:sz w:val="18"/>
          <w:szCs w:val="18"/>
          <w:color w:val="auto"/>
        </w:rPr>
        <w:t>Other pronouncements issued by the FASB or other authoritative accounting standards with future effective dates are either not applicable or not significant to our condensed consolidated financial statements.</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58" w:lineRule="exact"/>
        <w:rPr>
          <w:sz w:val="20"/>
          <w:szCs w:val="20"/>
          <w:color w:val="auto"/>
        </w:rPr>
      </w:pPr>
    </w:p>
    <w:p>
      <w:pPr>
        <w:jc w:val="both"/>
        <w:ind w:left="60" w:right="59" w:firstLine="492"/>
        <w:spacing w:after="0" w:line="255"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judgments that affect the reported amounts of assets and liabilities and the disclosure of contingent assets and liabilities at the date of the financial statements and the reported amounts of revenues and expenses during the applicable reporting period. On an ongoing basis, we evaluate our estimates and judgments, including those related to accrued expenses and stock-based compensation. Actual results could differ from those estimates. Such differences could be material to the financial statements.</w:t>
      </w:r>
    </w:p>
    <w:p>
      <w:pPr>
        <w:spacing w:after="0" w:line="15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58" w:lineRule="exact"/>
        <w:rPr>
          <w:sz w:val="20"/>
          <w:szCs w:val="20"/>
          <w:color w:val="auto"/>
        </w:rPr>
      </w:pPr>
    </w:p>
    <w:p>
      <w:pPr>
        <w:jc w:val="both"/>
        <w:ind w:left="60" w:right="79" w:firstLine="492"/>
        <w:spacing w:after="0" w:line="277" w:lineRule="auto"/>
        <w:rPr>
          <w:sz w:val="20"/>
          <w:szCs w:val="20"/>
          <w:color w:val="auto"/>
        </w:rPr>
      </w:pPr>
      <w:r>
        <w:rPr>
          <w:rFonts w:ascii="Arial" w:cs="Arial" w:eastAsia="Arial" w:hAnsi="Arial"/>
          <w:sz w:val="18"/>
          <w:szCs w:val="18"/>
          <w:color w:val="auto"/>
        </w:rPr>
        <w:t>We treat liquid investments with original maturities of less than three months when purchased as cash and cash equivalents.</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58" w:lineRule="exact"/>
        <w:rPr>
          <w:sz w:val="20"/>
          <w:szCs w:val="20"/>
          <w:color w:val="auto"/>
        </w:rPr>
      </w:pPr>
    </w:p>
    <w:p>
      <w:pPr>
        <w:jc w:val="both"/>
        <w:ind w:left="60" w:right="59" w:firstLine="492"/>
        <w:spacing w:after="0" w:line="263" w:lineRule="auto"/>
        <w:rPr>
          <w:sz w:val="20"/>
          <w:szCs w:val="20"/>
          <w:color w:val="auto"/>
        </w:rPr>
      </w:pPr>
      <w:r>
        <w:rPr>
          <w:rFonts w:ascii="Arial" w:cs="Arial" w:eastAsia="Arial" w:hAnsi="Arial"/>
          <w:sz w:val="18"/>
          <w:szCs w:val="18"/>
          <w:color w:val="auto"/>
        </w:rPr>
        <w:t>We record cash pledged or held in trust as restricted cash. As of June 30, 2020 and December 31, 2019, we have approximately $1.3 million of restricted cash pledged to secure a line of credit as a security deposit for an Office Agreement (see Note 8).</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158" w:lineRule="exact"/>
        <w:rPr>
          <w:sz w:val="20"/>
          <w:szCs w:val="20"/>
          <w:color w:val="auto"/>
        </w:rPr>
      </w:pPr>
    </w:p>
    <w:p>
      <w:pPr>
        <w:jc w:val="both"/>
        <w:ind w:left="60" w:right="59" w:firstLine="492"/>
        <w:spacing w:after="0" w:line="275" w:lineRule="auto"/>
        <w:rPr>
          <w:sz w:val="20"/>
          <w:szCs w:val="20"/>
          <w:color w:val="auto"/>
        </w:rPr>
      </w:pPr>
      <w:r>
        <w:rPr>
          <w:rFonts w:ascii="Arial" w:cs="Arial" w:eastAsia="Arial" w:hAnsi="Arial"/>
          <w:sz w:val="17"/>
          <w:szCs w:val="17"/>
          <w:color w:val="auto"/>
        </w:rPr>
        <w:t>Investment securities at June 30, 2020 and December 31, 2019 consist of short-term government securities. We classify these securities as held-to-maturity. Held-to-maturity securities are those securities in which we have the ability and intent to hold the security until maturity. Held-to-maturity securities are recorded at amortized cost, adjusted for the amortization or accretion of premiums or discounts. Premiums and discounts are amortized or accreted over the life of the related held-to-maturity security as an adjustment to yield using the effective interest method.</w:t>
      </w:r>
    </w:p>
    <w:p>
      <w:pPr>
        <w:spacing w:after="0" w:line="136" w:lineRule="exact"/>
        <w:rPr>
          <w:sz w:val="20"/>
          <w:szCs w:val="20"/>
          <w:color w:val="auto"/>
        </w:rPr>
      </w:pPr>
    </w:p>
    <w:p>
      <w:pPr>
        <w:jc w:val="both"/>
        <w:ind w:left="60" w:right="59" w:firstLine="492"/>
        <w:spacing w:after="0" w:line="275" w:lineRule="auto"/>
        <w:rPr>
          <w:sz w:val="20"/>
          <w:szCs w:val="20"/>
          <w:color w:val="auto"/>
        </w:rPr>
      </w:pPr>
      <w:r>
        <w:rPr>
          <w:rFonts w:ascii="Arial" w:cs="Arial" w:eastAsia="Arial" w:hAnsi="Arial"/>
          <w:sz w:val="17"/>
          <w:szCs w:val="17"/>
          <w:color w:val="auto"/>
        </w:rPr>
        <w:t>A decline in the market value of any investment security below cost, that is deemed to be other than temporary, results in a reduction in the carrying amount to fair value. The impairment is charged to operations and a new cost basis for the security is established. Other-than-temporary impairment charges are included in interest and other income (expense), net. Unrealized gains, if determined to be temporary, are included in accumulated other comprehensive income in equity. Dividend and interest income are recognized when earned.</w:t>
      </w:r>
    </w:p>
    <w:p>
      <w:pPr>
        <w:spacing w:after="0" w:line="13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Credit Risk</w:t>
      </w:r>
    </w:p>
    <w:p>
      <w:pPr>
        <w:spacing w:after="0" w:line="158" w:lineRule="exact"/>
        <w:rPr>
          <w:sz w:val="20"/>
          <w:szCs w:val="20"/>
          <w:color w:val="auto"/>
        </w:rPr>
      </w:pPr>
    </w:p>
    <w:p>
      <w:pPr>
        <w:jc w:val="both"/>
        <w:ind w:left="60" w:right="59" w:firstLine="492"/>
        <w:spacing w:after="0" w:line="311"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primarily of cash and cash equivalents and short-term investments. The Company maintains its cash and cash equivalents and short-term investments with high-credit quality financial institutions. At times, such amounts may exceed federally-insured limits.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58" w:lineRule="exact"/>
        <w:rPr>
          <w:sz w:val="20"/>
          <w:szCs w:val="20"/>
          <w:color w:val="auto"/>
        </w:rPr>
      </w:pPr>
    </w:p>
    <w:p>
      <w:pPr>
        <w:jc w:val="both"/>
        <w:ind w:left="60" w:right="59" w:firstLine="492"/>
        <w:spacing w:after="0" w:line="259" w:lineRule="auto"/>
        <w:rPr>
          <w:sz w:val="20"/>
          <w:szCs w:val="20"/>
          <w:color w:val="auto"/>
        </w:rPr>
      </w:pPr>
      <w:r>
        <w:rPr>
          <w:rFonts w:ascii="Arial" w:cs="Arial" w:eastAsia="Arial" w:hAnsi="Arial"/>
          <w:sz w:val="18"/>
          <w:szCs w:val="18"/>
          <w:color w:val="auto"/>
        </w:rPr>
        <w:t>The Company recognizes revenue under ASC 606. The core principle of this revenue standard is that a company should recognize revenue to depict the transfer of promised goods or services to customers in an amount that reflects the consideration to which the company expects to be entitled in exchange for those goods or services. The following five steps are applied to achieve that core principle:</w:t>
      </w:r>
    </w:p>
    <w:p>
      <w:pPr>
        <w:spacing w:after="0" w:line="79" w:lineRule="exact"/>
        <w:rPr>
          <w:sz w:val="20"/>
          <w:szCs w:val="20"/>
          <w:color w:val="auto"/>
        </w:rPr>
      </w:pPr>
    </w:p>
    <w:p>
      <w:pPr>
        <w:ind w:left="1040" w:hanging="315"/>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Step 1: Identify the contract with the customer</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Step 2: Identify the performance obligations in the contract</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Step 3: Determine the transaction price</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Step 4: Allocate the transaction price to the performance obligations in the contract</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Step 5: Recognize revenue when the company satisfies a performance obligation</w:t>
      </w:r>
    </w:p>
    <w:p>
      <w:pPr>
        <w:spacing w:after="0" w:line="225" w:lineRule="exact"/>
        <w:rPr>
          <w:sz w:val="20"/>
          <w:szCs w:val="20"/>
          <w:color w:val="auto"/>
        </w:rPr>
      </w:pPr>
    </w:p>
    <w:p>
      <w:pPr>
        <w:jc w:val="both"/>
        <w:ind w:left="60" w:right="59" w:firstLine="492"/>
        <w:spacing w:after="0" w:line="259" w:lineRule="auto"/>
        <w:rPr>
          <w:sz w:val="20"/>
          <w:szCs w:val="20"/>
          <w:color w:val="auto"/>
        </w:rPr>
      </w:pPr>
      <w:r>
        <w:rPr>
          <w:rFonts w:ascii="Arial" w:cs="Arial" w:eastAsia="Arial" w:hAnsi="Arial"/>
          <w:sz w:val="18"/>
          <w:szCs w:val="18"/>
          <w:color w:val="auto"/>
        </w:rPr>
        <w:t>In order to identify the performance obligations in a contract with a customer, a company must assess the promised goods or services in the contract and identify each promised good or service that is distinct. A performance obligation meets ASC 606’s definition of a “distinct” good or service (or bundle of goods or services) if both of the following criteria are met:</w:t>
      </w:r>
    </w:p>
    <w:p>
      <w:pPr>
        <w:spacing w:after="0" w:line="146" w:lineRule="exact"/>
        <w:rPr>
          <w:sz w:val="20"/>
          <w:szCs w:val="20"/>
          <w:color w:val="auto"/>
        </w:rPr>
      </w:pPr>
    </w:p>
    <w:p>
      <w:pPr>
        <w:ind w:left="1040" w:right="79" w:hanging="315"/>
        <w:spacing w:after="0" w:line="308" w:lineRule="auto"/>
        <w:tabs>
          <w:tab w:leader="none" w:pos="10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customer can benefit from the good or service either on its own or together with other resources that are readily available to the customer (i.e., the good or service is capable of being distinct); and</w:t>
      </w:r>
    </w:p>
    <w:p>
      <w:pPr>
        <w:spacing w:after="0" w:line="146" w:lineRule="exact"/>
        <w:rPr>
          <w:rFonts w:ascii="Arial" w:cs="Arial" w:eastAsia="Arial" w:hAnsi="Arial"/>
          <w:sz w:val="17"/>
          <w:szCs w:val="17"/>
          <w:color w:val="auto"/>
        </w:rPr>
      </w:pPr>
    </w:p>
    <w:p>
      <w:pPr>
        <w:jc w:val="both"/>
        <w:ind w:left="1040" w:right="79" w:hanging="315"/>
        <w:spacing w:after="0" w:line="263"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entity’s promise to transfer the good or service to the customer is separately identifiable from other promises in the contract (i.e., the promise to transfer the good or service is distinct within the context of the contract).</w:t>
      </w:r>
    </w:p>
    <w:p>
      <w:pPr>
        <w:spacing w:after="0" w:line="184" w:lineRule="exact"/>
        <w:rPr>
          <w:sz w:val="20"/>
          <w:szCs w:val="20"/>
          <w:color w:val="auto"/>
        </w:rPr>
      </w:pPr>
    </w:p>
    <w:p>
      <w:pPr>
        <w:jc w:val="both"/>
        <w:ind w:left="60" w:right="59" w:firstLine="492"/>
        <w:spacing w:after="0" w:line="277" w:lineRule="auto"/>
        <w:rPr>
          <w:sz w:val="20"/>
          <w:szCs w:val="20"/>
          <w:color w:val="auto"/>
        </w:rPr>
      </w:pPr>
      <w:r>
        <w:rPr>
          <w:rFonts w:ascii="Arial" w:cs="Arial" w:eastAsia="Arial" w:hAnsi="Arial"/>
          <w:sz w:val="18"/>
          <w:szCs w:val="18"/>
          <w:color w:val="auto"/>
        </w:rPr>
        <w:t>If a good or service is not distinct, the good or service is combined with other promised goods or services until a bundle of goods or services is identified that is distinct.</w:t>
      </w:r>
    </w:p>
    <w:p>
      <w:pPr>
        <w:spacing w:after="0" w:line="143" w:lineRule="exact"/>
        <w:rPr>
          <w:sz w:val="20"/>
          <w:szCs w:val="20"/>
          <w:color w:val="auto"/>
        </w:rPr>
      </w:pPr>
    </w:p>
    <w:p>
      <w:pPr>
        <w:jc w:val="both"/>
        <w:ind w:left="60" w:right="59" w:firstLine="492"/>
        <w:spacing w:after="0" w:line="255" w:lineRule="auto"/>
        <w:rPr>
          <w:sz w:val="20"/>
          <w:szCs w:val="20"/>
          <w:color w:val="auto"/>
        </w:rPr>
      </w:pPr>
      <w:r>
        <w:rPr>
          <w:rFonts w:ascii="Arial" w:cs="Arial" w:eastAsia="Arial" w:hAnsi="Arial"/>
          <w:sz w:val="18"/>
          <w:szCs w:val="18"/>
          <w:color w:val="auto"/>
        </w:rPr>
        <w:t>The transaction price is the amount of consideration to which an entity expects to be entitled in exchange for transferring promised goods or services to a customer, excluding amounts collected on behalf of third parties (for example, some sales taxes). The consideration promised in a contract with a customer may include fixed amounts, variable amounts, or both. Variable consideration is included in the transaction price only to the extent that it is probable that a significant reversal in the amount of cumulative revenue recognized will not occur when the uncertainty associated with the variable consideration is subsequently resolved.</w:t>
      </w:r>
    </w:p>
    <w:p>
      <w:pPr>
        <w:spacing w:after="0" w:line="152" w:lineRule="exact"/>
        <w:rPr>
          <w:sz w:val="20"/>
          <w:szCs w:val="20"/>
          <w:color w:val="auto"/>
        </w:rPr>
      </w:pPr>
    </w:p>
    <w:p>
      <w:pPr>
        <w:jc w:val="both"/>
        <w:ind w:left="60" w:right="59" w:firstLine="492"/>
        <w:spacing w:after="0" w:line="263" w:lineRule="auto"/>
        <w:rPr>
          <w:sz w:val="20"/>
          <w:szCs w:val="20"/>
          <w:color w:val="auto"/>
        </w:rPr>
      </w:pPr>
      <w:r>
        <w:rPr>
          <w:rFonts w:ascii="Arial" w:cs="Arial" w:eastAsia="Arial" w:hAnsi="Arial"/>
          <w:sz w:val="18"/>
          <w:szCs w:val="18"/>
          <w:color w:val="auto"/>
        </w:rPr>
        <w:t>The transaction price is allocated to each performance obligation on a relative standalone selling price basis. The transaction price allocated to each performance obligation is recognized when that performance obligation is satisfied, at a point in time or over time as appropriate.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98" w:lineRule="exact"/>
        <w:rPr>
          <w:sz w:val="20"/>
          <w:szCs w:val="20"/>
          <w:color w:val="auto"/>
        </w:rPr>
      </w:pPr>
    </w:p>
    <w:p>
      <w:pPr>
        <w:jc w:val="both"/>
        <w:ind w:left="60" w:right="59" w:firstLine="492"/>
        <w:spacing w:after="0" w:line="285" w:lineRule="auto"/>
        <w:rPr>
          <w:sz w:val="20"/>
          <w:szCs w:val="20"/>
          <w:color w:val="auto"/>
        </w:rPr>
      </w:pPr>
      <w:r>
        <w:rPr>
          <w:rFonts w:ascii="Arial" w:cs="Arial" w:eastAsia="Arial" w:hAnsi="Arial"/>
          <w:sz w:val="16"/>
          <w:szCs w:val="16"/>
          <w:color w:val="auto"/>
        </w:rPr>
        <w:t>Generally, research and development costs are expensed as incurred. Nonrefundable advance payments for goods or services that will be used or rendered for future research and development activities are deferred and amortized over the period that the goods are delivered or the related services are performed, subject to an assessment of recoverability. We make estimates of costs incurred in relation to external clinical research organizations, or “CROs,” and clinical site costs. We analyze the progress of clinical trials, including levels of patient enrollment, invoices received and contracted costs when evaluating the adequacy of the amount expensed and the related prepaid asset and accrued liability. Significant judgments and estimates must be made and used in determining the accrued balance and expense in any accounting period. We review and accrue CRO expenses and clinical trial study expenses based on work performed and rely upon estimates of those costs applicable to the stage of completion of a study. Accrued CRO costs are subject to revisions as such trials progress to completion. Revisions are charged to expense in the period in which the facts that give rise to the revision become known. With respect to clinical site costs, the financial terms of these agreements are subject to negotiation and vary from contract to contract. Payments under these contracts may be uneven, and depend on factors such as the achievement of certain events, the successful recruitment of patients, the completion of portions of the clinical trial or similar conditions. The objective of our policy is to match the recording of expenses in our financial statements to the actual services received and efforts expended. As such, expense accruals related to clinical site costs are recognized based on our estimate of the degree of completion of the event or events specified in the specific clinical study or trial contract.</w:t>
      </w:r>
    </w:p>
    <w:p>
      <w:pPr>
        <w:spacing w:after="0" w:line="136" w:lineRule="exact"/>
        <w:rPr>
          <w:sz w:val="20"/>
          <w:szCs w:val="20"/>
          <w:color w:val="auto"/>
        </w:rPr>
      </w:pPr>
    </w:p>
    <w:p>
      <w:pPr>
        <w:jc w:val="both"/>
        <w:ind w:left="60" w:right="59" w:firstLine="492"/>
        <w:spacing w:after="0" w:line="257" w:lineRule="auto"/>
        <w:rPr>
          <w:sz w:val="20"/>
          <w:szCs w:val="20"/>
          <w:color w:val="auto"/>
        </w:rPr>
      </w:pPr>
      <w:r>
        <w:rPr>
          <w:rFonts w:ascii="Arial" w:cs="Arial" w:eastAsia="Arial" w:hAnsi="Arial"/>
          <w:sz w:val="18"/>
          <w:szCs w:val="18"/>
          <w:color w:val="auto"/>
        </w:rPr>
        <w:t>Prepaid research and development in our condensed consolidated balance sheets includes, among other things, certain costs to third party service providers related to development and manufacturing services as well as clinical development. These agreements often require payments in advance of services performed or goods received. Accordingly, as of June 30, 2020 and December 31, 2019, we recorded approximately $3.8 million and $8.1 million, respectively, in prepaid research and development related to such advance agreements.</w:t>
      </w:r>
    </w:p>
    <w:p>
      <w:pPr>
        <w:spacing w:after="0" w:line="14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Taxes</w:t>
      </w:r>
    </w:p>
    <w:p>
      <w:pPr>
        <w:spacing w:after="0" w:line="198" w:lineRule="exact"/>
        <w:rPr>
          <w:sz w:val="20"/>
          <w:szCs w:val="20"/>
          <w:color w:val="auto"/>
        </w:rPr>
      </w:pPr>
    </w:p>
    <w:p>
      <w:pPr>
        <w:jc w:val="both"/>
        <w:ind w:left="60" w:right="59" w:firstLine="492"/>
        <w:spacing w:after="0" w:line="291" w:lineRule="auto"/>
        <w:rPr>
          <w:sz w:val="20"/>
          <w:szCs w:val="20"/>
          <w:color w:val="auto"/>
        </w:rPr>
      </w:pPr>
      <w:r>
        <w:rPr>
          <w:rFonts w:ascii="Arial" w:cs="Arial" w:eastAsia="Arial" w:hAnsi="Arial"/>
          <w:sz w:val="16"/>
          <w:szCs w:val="16"/>
          <w:color w:val="auto"/>
        </w:rPr>
        <w:t>Income taxes are accounted for under the asset and liability method. Deferred tax assets and liabilities are recognized for the future tax consequences attributable to temporary differences between the financial statement carrying amounts of existing assets and liabilities and their respective tax bases, operating losses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operations in the period that includes the enactment date. If the likelihood of realizing the deferred tax assets or liability is less than “more likely than not,” a valuation allowance is then created.</w:t>
      </w:r>
    </w:p>
    <w:p>
      <w:pPr>
        <w:spacing w:after="0" w:line="126" w:lineRule="exact"/>
        <w:rPr>
          <w:sz w:val="20"/>
          <w:szCs w:val="20"/>
          <w:color w:val="auto"/>
        </w:rPr>
      </w:pPr>
    </w:p>
    <w:p>
      <w:pPr>
        <w:jc w:val="both"/>
        <w:ind w:left="60" w:right="59" w:firstLine="492"/>
        <w:spacing w:after="0" w:line="275" w:lineRule="auto"/>
        <w:rPr>
          <w:sz w:val="20"/>
          <w:szCs w:val="20"/>
          <w:color w:val="auto"/>
        </w:rPr>
      </w:pPr>
      <w:r>
        <w:rPr>
          <w:rFonts w:ascii="Arial" w:cs="Arial" w:eastAsia="Arial" w:hAnsi="Arial"/>
          <w:sz w:val="17"/>
          <w:szCs w:val="17"/>
          <w:color w:val="auto"/>
        </w:rPr>
        <w:t>We, and our subsidiaries, file income tax returns in the U.S. Federal jurisdiction and in various states, as well as in Australia. We have tax net operating loss carryforwards that are subject to examination for a number of years beyond the year in which they were generated for tax purposes. Since a portion of these net operating loss carryforwards may be utilized in the future, many of these net operating loss carryforwards will remain subject to examination. We recognize interest and penalties related to uncertain income tax positions in income tax expense.</w:t>
      </w:r>
    </w:p>
    <w:p>
      <w:pPr>
        <w:spacing w:after="0" w:line="13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Coronavirus Aid, Relief and Economic Security Act (“CARES Act”)</w:t>
      </w:r>
    </w:p>
    <w:p>
      <w:pPr>
        <w:spacing w:after="0" w:line="198" w:lineRule="exact"/>
        <w:rPr>
          <w:sz w:val="20"/>
          <w:szCs w:val="20"/>
          <w:color w:val="auto"/>
        </w:rPr>
      </w:pPr>
    </w:p>
    <w:p>
      <w:pPr>
        <w:jc w:val="both"/>
        <w:ind w:left="60" w:right="59" w:firstLine="492"/>
        <w:spacing w:after="0" w:line="254" w:lineRule="auto"/>
        <w:rPr>
          <w:sz w:val="20"/>
          <w:szCs w:val="20"/>
          <w:color w:val="auto"/>
        </w:rPr>
      </w:pPr>
      <w:r>
        <w:rPr>
          <w:rFonts w:ascii="Arial" w:cs="Arial" w:eastAsia="Arial" w:hAnsi="Arial"/>
          <w:sz w:val="18"/>
          <w:szCs w:val="18"/>
          <w:color w:val="auto"/>
        </w:rPr>
        <w:t>In response to the COVID-19 pandemic, the Coronavirus Aid, Relief and Economic Security Act (“CARES Act”) was signed into law on March 27, 2020. The CARES Act, among other things, includes tax provisions relating to refundable payroll tax credits, deferment of employer’s social security payments, net operating loss utilization and carryback periods, modifications to the net interest deduction limitations and technical corrections to tax depreciation methods for qualified improvement property. At this time, the Company does not believe that the CARES Act will have a material impact on the Company’s income tax provision for 2020. The Company will continue to evaluate the impact of the CARES Act on its financial position, results of operations and cash flows.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98" w:lineRule="exact"/>
        <w:rPr>
          <w:sz w:val="20"/>
          <w:szCs w:val="20"/>
          <w:color w:val="auto"/>
        </w:rPr>
      </w:pPr>
    </w:p>
    <w:p>
      <w:pPr>
        <w:jc w:val="both"/>
        <w:ind w:left="60" w:right="59" w:firstLine="492"/>
        <w:spacing w:after="0" w:line="301" w:lineRule="auto"/>
        <w:rPr>
          <w:sz w:val="20"/>
          <w:szCs w:val="20"/>
          <w:color w:val="auto"/>
        </w:rPr>
      </w:pPr>
      <w:r>
        <w:rPr>
          <w:rFonts w:ascii="Arial" w:cs="Arial" w:eastAsia="Arial" w:hAnsi="Arial"/>
          <w:sz w:val="16"/>
          <w:szCs w:val="16"/>
          <w:color w:val="auto"/>
        </w:rPr>
        <w:t>We recognize all stock-based payments to employees and non-employee directors (as compensation for service) as noncash compensation expense in the condensed consolidated financial statements based on the fair values of such payments. Stock-based compensation expense recognized each period is based on the value of the portion of stock-based payment awards that is ultimately expected to vest during the period. Forfeitures are recognized as they occur.</w:t>
      </w:r>
    </w:p>
    <w:p>
      <w:pPr>
        <w:spacing w:after="0" w:line="117" w:lineRule="exact"/>
        <w:rPr>
          <w:sz w:val="20"/>
          <w:szCs w:val="20"/>
          <w:color w:val="auto"/>
        </w:rPr>
      </w:pPr>
    </w:p>
    <w:p>
      <w:pPr>
        <w:jc w:val="both"/>
        <w:ind w:left="60" w:right="59" w:firstLine="492"/>
        <w:spacing w:after="0" w:line="259" w:lineRule="auto"/>
        <w:rPr>
          <w:sz w:val="20"/>
          <w:szCs w:val="20"/>
          <w:color w:val="auto"/>
        </w:rPr>
      </w:pPr>
      <w:r>
        <w:rPr>
          <w:rFonts w:ascii="Arial" w:cs="Arial" w:eastAsia="Arial" w:hAnsi="Arial"/>
          <w:sz w:val="18"/>
          <w:szCs w:val="18"/>
          <w:color w:val="auto"/>
        </w:rPr>
        <w:t>In addition, because some of the options, restricted stock and warrants issued to employees, consultants and other third parties vest upon achievement of certain milestones, the total expense is uncertain. Compensation expense for such awards that vest upon the achievement of milestones is recognized when the achievement of such milestones becomes probable.</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Basic and Diluted Net Loss Per Common Share</w:t>
      </w:r>
    </w:p>
    <w:p>
      <w:pPr>
        <w:spacing w:after="0" w:line="198" w:lineRule="exact"/>
        <w:rPr>
          <w:sz w:val="20"/>
          <w:szCs w:val="20"/>
          <w:color w:val="auto"/>
        </w:rPr>
      </w:pPr>
    </w:p>
    <w:p>
      <w:pPr>
        <w:jc w:val="both"/>
        <w:ind w:left="60" w:right="59" w:firstLine="492"/>
        <w:spacing w:after="0" w:line="254" w:lineRule="auto"/>
        <w:rPr>
          <w:sz w:val="20"/>
          <w:szCs w:val="20"/>
          <w:color w:val="auto"/>
        </w:rPr>
      </w:pPr>
      <w:r>
        <w:rPr>
          <w:rFonts w:ascii="Arial" w:cs="Arial" w:eastAsia="Arial" w:hAnsi="Arial"/>
          <w:sz w:val="18"/>
          <w:szCs w:val="18"/>
          <w:color w:val="auto"/>
        </w:rPr>
        <w:t>Basic net loss per share of our common stock is calculated by dividing net loss applicable to the common stock by the weighted-average number of our common stock outstanding for the period. Diluted net loss per share of common stock is the same as basic net loss per share of common stock since potentially dilutive securities from stock options, stock warrants and convertible preferred stock would have an antidilutive effect either because we incurred a net loss during the period presented or because such potentially dilutive securities were out of the money and the Company realized net income during the period presented. The cumulative amounts of potentially dilutive securities excluded from the calculation were 10,535,748 securities and 7,844,712 securities for the three and six month periods ended June 30, 2020 and 2019, respectively.</w:t>
      </w:r>
    </w:p>
    <w:p>
      <w:pPr>
        <w:spacing w:after="0" w:line="151" w:lineRule="exact"/>
        <w:rPr>
          <w:sz w:val="20"/>
          <w:szCs w:val="20"/>
          <w:color w:val="auto"/>
        </w:rPr>
      </w:pPr>
    </w:p>
    <w:p>
      <w:pPr>
        <w:jc w:val="both"/>
        <w:ind w:left="60" w:right="59" w:firstLine="492"/>
        <w:spacing w:after="0" w:line="263" w:lineRule="auto"/>
        <w:rPr>
          <w:sz w:val="20"/>
          <w:szCs w:val="20"/>
          <w:color w:val="auto"/>
        </w:rPr>
      </w:pPr>
      <w:r>
        <w:rPr>
          <w:rFonts w:ascii="Arial" w:cs="Arial" w:eastAsia="Arial" w:hAnsi="Arial"/>
          <w:sz w:val="18"/>
          <w:szCs w:val="18"/>
          <w:color w:val="auto"/>
        </w:rPr>
        <w:t>The following outstanding shares of potentially dilutive securities were excluded from the computation of net loss per share attributable to common stockholders for the periods presented because including them would have been antidilutive:</w:t>
      </w:r>
    </w:p>
    <w:p>
      <w:pPr>
        <w:spacing w:after="0" w:line="13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24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4"/>
              </w:rPr>
              <w:t>Three and Six Months Ended</w:t>
            </w:r>
          </w:p>
        </w:tc>
      </w:tr>
      <w:tr>
        <w:trPr>
          <w:trHeight w:val="171"/>
        </w:trPr>
        <w:tc>
          <w:tcPr>
            <w:tcW w:w="6460" w:type="dxa"/>
            <w:vAlign w:val="bottom"/>
          </w:tcPr>
          <w:p>
            <w:pPr>
              <w:spacing w:after="0"/>
              <w:rPr>
                <w:sz w:val="14"/>
                <w:szCs w:val="14"/>
                <w:color w:val="auto"/>
              </w:rPr>
            </w:pPr>
          </w:p>
        </w:tc>
        <w:tc>
          <w:tcPr>
            <w:tcW w:w="1400" w:type="dxa"/>
            <w:vAlign w:val="bottom"/>
            <w:tcBorders>
              <w:bottom w:val="single" w:sz="8" w:color="auto"/>
            </w:tcBorders>
            <w:gridSpan w:val="3"/>
          </w:tcPr>
          <w:p>
            <w:pPr>
              <w:jc w:val="center"/>
              <w:ind w:left="697"/>
              <w:spacing w:after="0"/>
              <w:rPr>
                <w:sz w:val="20"/>
                <w:szCs w:val="20"/>
                <w:color w:val="auto"/>
              </w:rPr>
            </w:pPr>
            <w:r>
              <w:rPr>
                <w:rFonts w:ascii="Arial" w:cs="Arial" w:eastAsia="Arial" w:hAnsi="Arial"/>
                <w:sz w:val="14"/>
                <w:szCs w:val="14"/>
                <w:b w:val="1"/>
                <w:bCs w:val="1"/>
                <w:color w:val="auto"/>
                <w:w w:val="89"/>
              </w:rPr>
              <w:t>June 30,</w:t>
            </w:r>
          </w:p>
        </w:tc>
        <w:tc>
          <w:tcPr>
            <w:tcW w:w="8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46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ind w:right="257"/>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r>
      <w:tr>
        <w:trPr>
          <w:trHeight w:val="210"/>
        </w:trPr>
        <w:tc>
          <w:tcPr>
            <w:tcW w:w="6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Unvested restricted stock</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7,732,615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5,137,196</w:t>
            </w:r>
          </w:p>
        </w:tc>
        <w:tc>
          <w:tcPr>
            <w:tcW w:w="200" w:type="dxa"/>
            <w:vAlign w:val="bottom"/>
            <w:shd w:val="clear" w:color="auto" w:fill="CCEEFF"/>
          </w:tcPr>
          <w:p>
            <w:pPr>
              <w:spacing w:after="0"/>
              <w:rPr>
                <w:sz w:val="18"/>
                <w:szCs w:val="18"/>
                <w:color w:val="auto"/>
              </w:rPr>
            </w:pPr>
          </w:p>
        </w:tc>
      </w:tr>
      <w:tr>
        <w:trPr>
          <w:trHeight w:val="216"/>
        </w:trPr>
        <w:tc>
          <w:tcPr>
            <w:tcW w:w="6460" w:type="dxa"/>
            <w:vAlign w:val="bottom"/>
          </w:tcPr>
          <w:p>
            <w:pPr>
              <w:ind w:left="40"/>
              <w:spacing w:after="0"/>
              <w:rPr>
                <w:sz w:val="20"/>
                <w:szCs w:val="20"/>
                <w:color w:val="auto"/>
              </w:rPr>
            </w:pPr>
            <w:r>
              <w:rPr>
                <w:rFonts w:ascii="Arial" w:cs="Arial" w:eastAsia="Arial" w:hAnsi="Arial"/>
                <w:sz w:val="18"/>
                <w:szCs w:val="18"/>
                <w:color w:val="auto"/>
              </w:rPr>
              <w:t>Options</w:t>
            </w:r>
          </w:p>
        </w:tc>
        <w:tc>
          <w:tcPr>
            <w:tcW w:w="960" w:type="dxa"/>
            <w:vAlign w:val="bottom"/>
          </w:tcPr>
          <w:p>
            <w:pPr>
              <w:jc w:val="right"/>
              <w:spacing w:after="0"/>
              <w:rPr>
                <w:sz w:val="20"/>
                <w:szCs w:val="20"/>
                <w:color w:val="auto"/>
              </w:rPr>
            </w:pPr>
            <w:r>
              <w:rPr>
                <w:rFonts w:ascii="Arial" w:cs="Arial" w:eastAsia="Arial" w:hAnsi="Arial"/>
                <w:sz w:val="18"/>
                <w:szCs w:val="18"/>
                <w:color w:val="auto"/>
              </w:rPr>
              <w:t>2,638,480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2"/>
              </w:rPr>
              <w:t>2,543,710</w:t>
            </w:r>
          </w:p>
        </w:tc>
        <w:tc>
          <w:tcPr>
            <w:tcW w:w="200" w:type="dxa"/>
            <w:vAlign w:val="bottom"/>
          </w:tcPr>
          <w:p>
            <w:pPr>
              <w:spacing w:after="0"/>
              <w:rPr>
                <w:sz w:val="18"/>
                <w:szCs w:val="18"/>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147,058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147,058</w:t>
            </w:r>
          </w:p>
        </w:tc>
        <w:tc>
          <w:tcPr>
            <w:tcW w:w="200" w:type="dxa"/>
            <w:vAlign w:val="bottom"/>
            <w:shd w:val="clear" w:color="auto" w:fill="CCEEFF"/>
          </w:tcPr>
          <w:p>
            <w:pPr>
              <w:spacing w:after="0"/>
              <w:rPr>
                <w:sz w:val="18"/>
                <w:szCs w:val="18"/>
                <w:color w:val="auto"/>
              </w:rPr>
            </w:pPr>
          </w:p>
        </w:tc>
      </w:tr>
      <w:tr>
        <w:trPr>
          <w:trHeight w:val="216"/>
        </w:trPr>
        <w:tc>
          <w:tcPr>
            <w:tcW w:w="64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Shares issuable upon note conversion</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17,595</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16,748</w:t>
            </w:r>
          </w:p>
        </w:tc>
        <w:tc>
          <w:tcPr>
            <w:tcW w:w="200" w:type="dxa"/>
            <w:vAlign w:val="bottom"/>
            <w:tcBorders>
              <w:bottom w:val="single" w:sz="8" w:color="CCEEFF"/>
            </w:tcBorders>
          </w:tcPr>
          <w:p>
            <w:pPr>
              <w:spacing w:after="0"/>
              <w:rPr>
                <w:sz w:val="18"/>
                <w:szCs w:val="18"/>
                <w:color w:val="auto"/>
              </w:rPr>
            </w:pPr>
          </w:p>
        </w:tc>
      </w:tr>
      <w:tr>
        <w:trPr>
          <w:trHeight w:val="210"/>
        </w:trPr>
        <w:tc>
          <w:tcPr>
            <w:tcW w:w="6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10,535,748</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7,844,712</w:t>
            </w:r>
          </w:p>
        </w:tc>
        <w:tc>
          <w:tcPr>
            <w:tcW w:w="200" w:type="dxa"/>
            <w:vAlign w:val="bottom"/>
            <w:tcBorders>
              <w:bottom w:val="single" w:sz="8" w:color="CCEEFF"/>
            </w:tcBorders>
            <w:shd w:val="clear" w:color="auto" w:fill="CCEEFF"/>
          </w:tcPr>
          <w:p>
            <w:pPr>
              <w:spacing w:after="0"/>
              <w:rPr>
                <w:sz w:val="18"/>
                <w:szCs w:val="18"/>
                <w:color w:val="auto"/>
              </w:rPr>
            </w:pPr>
          </w:p>
        </w:tc>
      </w:tr>
      <w:tr>
        <w:trPr>
          <w:trHeight w:val="20"/>
        </w:trPr>
        <w:tc>
          <w:tcPr>
            <w:tcW w:w="64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Long-Lived Assets and Goodwill</w:t>
      </w:r>
    </w:p>
    <w:p>
      <w:pPr>
        <w:spacing w:after="0" w:line="198" w:lineRule="exact"/>
        <w:rPr>
          <w:sz w:val="20"/>
          <w:szCs w:val="20"/>
          <w:color w:val="auto"/>
        </w:rPr>
      </w:pPr>
    </w:p>
    <w:p>
      <w:pPr>
        <w:jc w:val="both"/>
        <w:ind w:left="60" w:right="59" w:firstLine="492"/>
        <w:spacing w:after="0" w:line="255" w:lineRule="auto"/>
        <w:rPr>
          <w:sz w:val="20"/>
          <w:szCs w:val="20"/>
          <w:color w:val="auto"/>
        </w:rPr>
      </w:pPr>
      <w:r>
        <w:rPr>
          <w:rFonts w:ascii="Arial" w:cs="Arial" w:eastAsia="Arial" w:hAnsi="Arial"/>
          <w:sz w:val="18"/>
          <w:szCs w:val="18"/>
          <w:color w:val="auto"/>
        </w:rPr>
        <w:t>Long-lived assets are reviewed for potential impairment when circumstances indicate that the carrying value of long-lived tangible and intangible assets with finite lives may not be recoverable. Management’s policy in determining whether an impairment indicator exists, a triggering event, comprises measurable operating performance criteria as well as qualitative measures. If an analysis is necessitated by the occurrence of a triggering event, we make certain assumptions in determining the impairment amount. If the carrying amount of an asset exceeds its estimated future cash flows, an impairment charge is recognized.</w:t>
      </w:r>
    </w:p>
    <w:p>
      <w:pPr>
        <w:spacing w:after="0" w:line="152" w:lineRule="exact"/>
        <w:rPr>
          <w:sz w:val="20"/>
          <w:szCs w:val="20"/>
          <w:color w:val="auto"/>
        </w:rPr>
      </w:pPr>
    </w:p>
    <w:p>
      <w:pPr>
        <w:jc w:val="both"/>
        <w:ind w:left="60" w:right="59" w:firstLine="492"/>
        <w:spacing w:after="0" w:line="253" w:lineRule="auto"/>
        <w:rPr>
          <w:sz w:val="20"/>
          <w:szCs w:val="20"/>
          <w:color w:val="auto"/>
        </w:rPr>
      </w:pPr>
      <w:r>
        <w:rPr>
          <w:rFonts w:ascii="Arial" w:cs="Arial" w:eastAsia="Arial" w:hAnsi="Arial"/>
          <w:sz w:val="18"/>
          <w:szCs w:val="18"/>
          <w:color w:val="auto"/>
        </w:rPr>
        <w:t>Goodwill is reviewed for impairment annually, or earlier when events arise that could indicate that an impairment exists. We test for goodwill impairment using a two-step process. The first step compares the fair value of the reporting unit with the unit’s carrying value, including goodwill. When the carrying value of the reporting unit is greater than fair value, the unit’s goodwill may be impaired, and the second step must be completed to measure the amount of the goodwill impairment charge, if any. In the second step, the implied fair value of the reporting unit’s goodwill is compared with the carrying amount of the unit’s goodwill. If the carrying amount is greater than the implied fair value, the carrying value of the goodwill must be written down to its implied fair value. We will continue to perform impairment tests annually, at December 31, and whenever events or changes in circumstances suggest that the carrying value of an asset may not be recoverable.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2 CASH AND CASH EQUIVALENTS</w:t>
      </w:r>
    </w:p>
    <w:p>
      <w:pPr>
        <w:spacing w:after="0" w:line="202" w:lineRule="exact"/>
        <w:rPr>
          <w:sz w:val="20"/>
          <w:szCs w:val="20"/>
          <w:color w:val="auto"/>
        </w:rPr>
      </w:pPr>
    </w:p>
    <w:p>
      <w:pPr>
        <w:ind w:left="540"/>
        <w:spacing w:after="0"/>
        <w:rPr>
          <w:sz w:val="20"/>
          <w:szCs w:val="20"/>
          <w:color w:val="auto"/>
        </w:rPr>
      </w:pPr>
      <w:r>
        <w:rPr>
          <w:rFonts w:ascii="Arial" w:cs="Arial" w:eastAsia="Arial" w:hAnsi="Arial"/>
          <w:sz w:val="17"/>
          <w:szCs w:val="17"/>
          <w:color w:val="auto"/>
        </w:rPr>
        <w:t>The following tables summarize our cash and cash equivalents at June 30, 2020 and December 31, 2019:</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w:t>
            </w: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682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2019</w:t>
            </w:r>
          </w:p>
        </w:tc>
      </w:tr>
      <w:tr>
        <w:trPr>
          <w:trHeight w:val="210"/>
        </w:trPr>
        <w:tc>
          <w:tcPr>
            <w:tcW w:w="6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Checking and bank deposits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245,054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110,135</w:t>
            </w:r>
          </w:p>
        </w:tc>
      </w:tr>
      <w:tr>
        <w:trPr>
          <w:trHeight w:val="216"/>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Money market funds</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15,458</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2,502</w:t>
            </w:r>
          </w:p>
        </w:tc>
      </w:tr>
      <w:tr>
        <w:trPr>
          <w:trHeight w:val="210"/>
        </w:trPr>
        <w:tc>
          <w:tcPr>
            <w:tcW w:w="6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260,512</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112,637</w:t>
            </w:r>
          </w:p>
        </w:tc>
      </w:tr>
      <w:tr>
        <w:trPr>
          <w:trHeight w:val="20"/>
        </w:trPr>
        <w:tc>
          <w:tcPr>
            <w:tcW w:w="6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INVESTMENT SECURITIES</w:t>
      </w:r>
    </w:p>
    <w:p>
      <w:pPr>
        <w:spacing w:after="0" w:line="189" w:lineRule="exact"/>
        <w:rPr>
          <w:sz w:val="20"/>
          <w:szCs w:val="20"/>
          <w:color w:val="auto"/>
        </w:rPr>
      </w:pPr>
    </w:p>
    <w:p>
      <w:pPr>
        <w:jc w:val="both"/>
        <w:ind w:left="60" w:right="79" w:firstLine="492"/>
        <w:spacing w:after="0" w:line="277" w:lineRule="auto"/>
        <w:rPr>
          <w:sz w:val="20"/>
          <w:szCs w:val="20"/>
          <w:color w:val="auto"/>
        </w:rPr>
      </w:pPr>
      <w:r>
        <w:rPr>
          <w:rFonts w:ascii="Arial" w:cs="Arial" w:eastAsia="Arial" w:hAnsi="Arial"/>
          <w:sz w:val="18"/>
          <w:szCs w:val="18"/>
          <w:color w:val="auto"/>
        </w:rPr>
        <w:t>Our investments as of June 30, 2020 and December 31, 2019 are classified as held-to-maturity. Held-to-maturity investments are recorded at amortized cost.</w:t>
      </w:r>
    </w:p>
    <w:p>
      <w:pPr>
        <w:spacing w:after="0" w:line="14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tables summarize our investment securities at June 30, 2020 and December 31, 2019:</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7"/>
          </w:tcPr>
          <w:p>
            <w:pPr>
              <w:jc w:val="right"/>
              <w:ind w:right="164"/>
              <w:spacing w:after="0"/>
              <w:rPr>
                <w:sz w:val="20"/>
                <w:szCs w:val="20"/>
                <w:color w:val="auto"/>
              </w:rPr>
            </w:pPr>
            <w:r>
              <w:rPr>
                <w:rFonts w:ascii="Arial" w:cs="Arial" w:eastAsia="Arial" w:hAnsi="Arial"/>
                <w:sz w:val="14"/>
                <w:szCs w:val="14"/>
                <w:b w:val="1"/>
                <w:bCs w:val="1"/>
                <w:color w:val="auto"/>
              </w:rPr>
              <w:t>June 30, 2020</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gridSpan w:val="4"/>
          </w:tcPr>
          <w:p>
            <w:pPr>
              <w:ind w:left="80"/>
              <w:spacing w:after="0" w:line="119" w:lineRule="exact"/>
              <w:rPr>
                <w:sz w:val="20"/>
                <w:szCs w:val="20"/>
                <w:color w:val="auto"/>
              </w:rPr>
            </w:pPr>
            <w:r>
              <w:rPr>
                <w:rFonts w:ascii="Arial" w:cs="Arial" w:eastAsia="Arial" w:hAnsi="Arial"/>
                <w:sz w:val="13"/>
                <w:szCs w:val="13"/>
                <w:b w:val="1"/>
                <w:bCs w:val="1"/>
                <w:color w:val="auto"/>
              </w:rPr>
              <w:t>Amortized</w:t>
            </w:r>
          </w:p>
        </w:tc>
        <w:tc>
          <w:tcPr>
            <w:tcW w:w="100" w:type="dxa"/>
            <w:vAlign w:val="bottom"/>
          </w:tcPr>
          <w:p>
            <w:pPr>
              <w:spacing w:after="0"/>
              <w:rPr>
                <w:sz w:val="10"/>
                <w:szCs w:val="10"/>
                <w:color w:val="auto"/>
              </w:rPr>
            </w:pPr>
          </w:p>
        </w:tc>
        <w:tc>
          <w:tcPr>
            <w:tcW w:w="880" w:type="dxa"/>
            <w:vAlign w:val="bottom"/>
            <w:gridSpan w:val="5"/>
          </w:tcPr>
          <w:p>
            <w:pPr>
              <w:ind w:left="260"/>
              <w:spacing w:after="0" w:line="119" w:lineRule="exact"/>
              <w:rPr>
                <w:sz w:val="20"/>
                <w:szCs w:val="20"/>
                <w:color w:val="auto"/>
              </w:rPr>
            </w:pPr>
            <w:r>
              <w:rPr>
                <w:rFonts w:ascii="Arial" w:cs="Arial" w:eastAsia="Arial" w:hAnsi="Arial"/>
                <w:sz w:val="13"/>
                <w:szCs w:val="13"/>
                <w:b w:val="1"/>
                <w:bCs w:val="1"/>
                <w:color w:val="auto"/>
              </w:rPr>
              <w:t>Gross</w:t>
            </w:r>
          </w:p>
        </w:tc>
        <w:tc>
          <w:tcPr>
            <w:tcW w:w="100" w:type="dxa"/>
            <w:vAlign w:val="bottom"/>
          </w:tcPr>
          <w:p>
            <w:pPr>
              <w:spacing w:after="0"/>
              <w:rPr>
                <w:sz w:val="10"/>
                <w:szCs w:val="10"/>
                <w:color w:val="auto"/>
              </w:rPr>
            </w:pPr>
          </w:p>
        </w:tc>
        <w:tc>
          <w:tcPr>
            <w:tcW w:w="920" w:type="dxa"/>
            <w:vAlign w:val="bottom"/>
            <w:gridSpan w:val="5"/>
          </w:tcPr>
          <w:p>
            <w:pPr>
              <w:ind w:left="260"/>
              <w:spacing w:after="0" w:line="119" w:lineRule="exact"/>
              <w:rPr>
                <w:sz w:val="20"/>
                <w:szCs w:val="20"/>
                <w:color w:val="auto"/>
              </w:rPr>
            </w:pPr>
            <w:r>
              <w:rPr>
                <w:rFonts w:ascii="Arial" w:cs="Arial" w:eastAsia="Arial" w:hAnsi="Arial"/>
                <w:sz w:val="13"/>
                <w:szCs w:val="13"/>
                <w:b w:val="1"/>
                <w:bCs w:val="1"/>
                <w:color w:val="auto"/>
              </w:rPr>
              <w:t>Gross</w:t>
            </w:r>
          </w:p>
        </w:tc>
        <w:tc>
          <w:tcPr>
            <w:tcW w:w="60" w:type="dxa"/>
            <w:vAlign w:val="bottom"/>
          </w:tcPr>
          <w:p>
            <w:pPr>
              <w:spacing w:after="0"/>
              <w:rPr>
                <w:sz w:val="10"/>
                <w:szCs w:val="10"/>
                <w:color w:val="auto"/>
              </w:rPr>
            </w:pPr>
          </w:p>
        </w:tc>
        <w:tc>
          <w:tcPr>
            <w:tcW w:w="7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cost, as</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5"/>
          </w:tcPr>
          <w:p>
            <w:pPr>
              <w:ind w:left="80"/>
              <w:spacing w:after="0" w:line="149" w:lineRule="exact"/>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2"/>
                <w:szCs w:val="12"/>
                <w:color w:val="auto"/>
              </w:rPr>
            </w:pPr>
          </w:p>
        </w:tc>
        <w:tc>
          <w:tcPr>
            <w:tcW w:w="920" w:type="dxa"/>
            <w:vAlign w:val="bottom"/>
            <w:gridSpan w:val="5"/>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unrealized</w:t>
            </w:r>
          </w:p>
        </w:tc>
        <w:tc>
          <w:tcPr>
            <w:tcW w:w="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200" w:type="dxa"/>
            <w:vAlign w:val="bottom"/>
            <w:gridSpan w:val="2"/>
          </w:tcPr>
          <w:p>
            <w:pPr>
              <w:ind w:left="2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14"/>
                <w:szCs w:val="1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adjusted</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gridSpan w:val="6"/>
          </w:tcPr>
          <w:p>
            <w:pPr>
              <w:ind w:left="100"/>
              <w:spacing w:after="0"/>
              <w:rPr>
                <w:sz w:val="20"/>
                <w:szCs w:val="20"/>
                <w:color w:val="auto"/>
              </w:rPr>
            </w:pPr>
            <w:r>
              <w:rPr>
                <w:rFonts w:ascii="Arial" w:cs="Arial" w:eastAsia="Arial" w:hAnsi="Arial"/>
                <w:sz w:val="14"/>
                <w:szCs w:val="14"/>
                <w:b w:val="1"/>
                <w:bCs w:val="1"/>
                <w:color w:val="auto"/>
                <w:w w:val="94"/>
              </w:rPr>
              <w:t>holding gains</w:t>
            </w:r>
          </w:p>
        </w:tc>
        <w:tc>
          <w:tcPr>
            <w:tcW w:w="1020" w:type="dxa"/>
            <w:vAlign w:val="bottom"/>
            <w:gridSpan w:val="6"/>
          </w:tcPr>
          <w:p>
            <w:pPr>
              <w:jc w:val="center"/>
              <w:spacing w:after="0"/>
              <w:rPr>
                <w:sz w:val="20"/>
                <w:szCs w:val="20"/>
                <w:color w:val="auto"/>
              </w:rPr>
            </w:pPr>
            <w:r>
              <w:rPr>
                <w:rFonts w:ascii="Arial" w:cs="Arial" w:eastAsia="Arial" w:hAnsi="Arial"/>
                <w:sz w:val="14"/>
                <w:szCs w:val="14"/>
                <w:b w:val="1"/>
                <w:bCs w:val="1"/>
                <w:color w:val="auto"/>
                <w:w w:val="85"/>
              </w:rPr>
              <w:t>holding losses</w:t>
            </w:r>
          </w:p>
        </w:tc>
        <w:tc>
          <w:tcPr>
            <w:tcW w:w="6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1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80" w:type="dxa"/>
            <w:vAlign w:val="bottom"/>
          </w:tcPr>
          <w:p>
            <w:pPr>
              <w:spacing w:after="0" w:line="201" w:lineRule="exact"/>
              <w:rPr>
                <w:sz w:val="20"/>
                <w:szCs w:val="20"/>
                <w:color w:val="auto"/>
              </w:rPr>
            </w:pPr>
            <w:r>
              <w:rPr>
                <w:rFonts w:ascii="Arial" w:cs="Arial" w:eastAsia="Arial" w:hAnsi="Arial"/>
                <w:sz w:val="18"/>
                <w:szCs w:val="18"/>
                <w:color w:val="auto"/>
                <w:w w:val="90"/>
              </w:rPr>
              <w:t>Obligations of domestic governmental agencies (maturing between July</w:t>
            </w: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2020 and September 2020) (held-to-maturity)</w:t>
            </w: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$ 15,058</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26</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gridSpan w:val="2"/>
          </w:tcPr>
          <w:p>
            <w:pPr>
              <w:jc w:val="right"/>
              <w:ind w:right="424"/>
              <w:spacing w:after="0"/>
              <w:rPr>
                <w:sz w:val="20"/>
                <w:szCs w:val="20"/>
                <w:color w:val="auto"/>
              </w:rPr>
            </w:pPr>
            <w:r>
              <w:rPr>
                <w:rFonts w:ascii="Arial" w:cs="Arial" w:eastAsia="Arial" w:hAnsi="Arial"/>
                <w:sz w:val="18"/>
                <w:szCs w:val="18"/>
                <w:color w:val="auto"/>
              </w:rPr>
              <w:t>$</w:t>
            </w:r>
          </w:p>
        </w:tc>
        <w:tc>
          <w:tcPr>
            <w:tcW w:w="340" w:type="dxa"/>
            <w:vAlign w:val="bottom"/>
            <w:gridSpan w:val="4"/>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9"/>
              </w:rPr>
              <w:t>$ 15,084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short-term investment securities</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$ 15,058</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26</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ind w:right="424"/>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$ 15,084</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7"/>
          </w:tcPr>
          <w:p>
            <w:pPr>
              <w:jc w:val="center"/>
              <w:ind w:left="7"/>
              <w:spacing w:after="0"/>
              <w:rPr>
                <w:sz w:val="20"/>
                <w:szCs w:val="20"/>
                <w:color w:val="auto"/>
              </w:rPr>
            </w:pPr>
            <w:r>
              <w:rPr>
                <w:rFonts w:ascii="Arial" w:cs="Arial" w:eastAsia="Arial" w:hAnsi="Arial"/>
                <w:sz w:val="14"/>
                <w:szCs w:val="14"/>
                <w:b w:val="1"/>
                <w:bCs w:val="1"/>
                <w:color w:val="auto"/>
                <w:w w:val="91"/>
              </w:rPr>
              <w:t>December 31, 2019</w:t>
            </w: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180" w:type="dxa"/>
            <w:vAlign w:val="bottom"/>
          </w:tcPr>
          <w:p>
            <w:pPr>
              <w:spacing w:after="0"/>
              <w:rPr>
                <w:sz w:val="10"/>
                <w:szCs w:val="10"/>
                <w:color w:val="auto"/>
              </w:rPr>
            </w:pPr>
          </w:p>
        </w:tc>
        <w:tc>
          <w:tcPr>
            <w:tcW w:w="84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Amortized</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ind w:right="107"/>
              <w:spacing w:after="0" w:line="119" w:lineRule="exact"/>
              <w:rPr>
                <w:sz w:val="20"/>
                <w:szCs w:val="20"/>
                <w:color w:val="auto"/>
              </w:rPr>
            </w:pPr>
            <w:r>
              <w:rPr>
                <w:rFonts w:ascii="Arial" w:cs="Arial" w:eastAsia="Arial" w:hAnsi="Arial"/>
                <w:sz w:val="13"/>
                <w:szCs w:val="13"/>
                <w:b w:val="1"/>
                <w:bCs w:val="1"/>
                <w:color w:val="auto"/>
              </w:rPr>
              <w:t>Gross</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ind w:right="104"/>
              <w:spacing w:after="0" w:line="119" w:lineRule="exact"/>
              <w:rPr>
                <w:sz w:val="20"/>
                <w:szCs w:val="20"/>
                <w:color w:val="auto"/>
              </w:rPr>
            </w:pPr>
            <w:r>
              <w:rPr>
                <w:rFonts w:ascii="Arial" w:cs="Arial" w:eastAsia="Arial" w:hAnsi="Arial"/>
                <w:sz w:val="13"/>
                <w:szCs w:val="13"/>
                <w:b w:val="1"/>
                <w:bCs w:val="1"/>
                <w:color w:val="auto"/>
              </w:rPr>
              <w:t>Gross</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w w:val="94"/>
              </w:rPr>
              <w:t>Estimated fair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840" w:type="dxa"/>
            <w:vAlign w:val="bottom"/>
            <w:gridSpan w:val="3"/>
          </w:tcPr>
          <w:p>
            <w:pPr>
              <w:jc w:val="right"/>
              <w:ind w:right="280"/>
              <w:spacing w:after="0" w:line="149" w:lineRule="exact"/>
              <w:rPr>
                <w:sz w:val="20"/>
                <w:szCs w:val="20"/>
                <w:color w:val="auto"/>
              </w:rPr>
            </w:pPr>
            <w:r>
              <w:rPr>
                <w:rFonts w:ascii="Arial" w:cs="Arial" w:eastAsia="Arial" w:hAnsi="Arial"/>
                <w:sz w:val="14"/>
                <w:szCs w:val="14"/>
                <w:b w:val="1"/>
                <w:bCs w:val="1"/>
                <w:color w:val="auto"/>
              </w:rPr>
              <w:t>cost, as</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9"/>
              </w:rPr>
              <w:t>unrealized</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9"/>
              </w:rPr>
              <w:t>unrealized</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8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adjusted</w:t>
            </w:r>
          </w:p>
        </w:tc>
        <w:tc>
          <w:tcPr>
            <w:tcW w:w="2100" w:type="dxa"/>
            <w:vAlign w:val="bottom"/>
            <w:gridSpan w:val="14"/>
          </w:tcPr>
          <w:p>
            <w:pPr>
              <w:spacing w:after="0"/>
              <w:rPr>
                <w:sz w:val="20"/>
                <w:szCs w:val="20"/>
                <w:color w:val="auto"/>
              </w:rPr>
            </w:pPr>
            <w:r>
              <w:rPr>
                <w:rFonts w:ascii="Arial" w:cs="Arial" w:eastAsia="Arial" w:hAnsi="Arial"/>
                <w:sz w:val="14"/>
                <w:szCs w:val="14"/>
                <w:b w:val="1"/>
                <w:bCs w:val="1"/>
                <w:color w:val="auto"/>
              </w:rPr>
              <w:t>holding gains  holding losses</w:t>
            </w:r>
          </w:p>
        </w:tc>
        <w:tc>
          <w:tcPr>
            <w:tcW w:w="60" w:type="dxa"/>
            <w:vAlign w:val="bottom"/>
          </w:tcPr>
          <w:p>
            <w:pPr>
              <w:spacing w:after="0"/>
              <w:rPr>
                <w:sz w:val="14"/>
                <w:szCs w:val="14"/>
                <w:color w:val="auto"/>
              </w:rPr>
            </w:pPr>
          </w:p>
        </w:tc>
        <w:tc>
          <w:tcPr>
            <w:tcW w:w="720" w:type="dxa"/>
            <w:vAlign w:val="bottom"/>
            <w:gridSpan w:val="2"/>
          </w:tcPr>
          <w:p>
            <w:pPr>
              <w:ind w:left="10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0"/>
        </w:trPr>
        <w:tc>
          <w:tcPr>
            <w:tcW w:w="52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200" w:type="dxa"/>
            <w:vAlign w:val="bottom"/>
            <w:gridSpan w:val="2"/>
          </w:tcPr>
          <w:p>
            <w:pPr>
              <w:ind w:left="20"/>
              <w:spacing w:after="0" w:line="201" w:lineRule="exact"/>
              <w:rPr>
                <w:sz w:val="20"/>
                <w:szCs w:val="20"/>
                <w:color w:val="auto"/>
              </w:rPr>
            </w:pPr>
            <w:r>
              <w:rPr>
                <w:rFonts w:ascii="Arial" w:cs="Arial" w:eastAsia="Arial" w:hAnsi="Arial"/>
                <w:sz w:val="18"/>
                <w:szCs w:val="18"/>
                <w:color w:val="auto"/>
                <w:w w:val="96"/>
              </w:rPr>
              <w:t>Obligations of domestic governmental agencies (maturing between</w:t>
            </w: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January 2020 and September 2020) (held-to-maturity)</w:t>
            </w:r>
          </w:p>
        </w:tc>
        <w:tc>
          <w:tcPr>
            <w:tcW w:w="700" w:type="dxa"/>
            <w:vAlign w:val="bottom"/>
            <w:gridSpan w:val="2"/>
          </w:tcPr>
          <w:p>
            <w:pPr>
              <w:spacing w:after="0"/>
              <w:rPr>
                <w:sz w:val="20"/>
                <w:szCs w:val="20"/>
                <w:color w:val="auto"/>
              </w:rPr>
            </w:pPr>
            <w:r>
              <w:rPr>
                <w:rFonts w:ascii="Arial" w:cs="Arial" w:eastAsia="Arial" w:hAnsi="Arial"/>
                <w:sz w:val="18"/>
                <w:szCs w:val="18"/>
                <w:color w:val="auto"/>
                <w:w w:val="96"/>
              </w:rPr>
              <w:t>$ 27,798</w:t>
            </w:r>
          </w:p>
        </w:tc>
        <w:tc>
          <w:tcPr>
            <w:tcW w:w="140" w:type="dxa"/>
            <w:vAlign w:val="bottom"/>
          </w:tcPr>
          <w:p>
            <w:pPr>
              <w:spacing w:after="0"/>
              <w:rPr>
                <w:sz w:val="20"/>
                <w:szCs w:val="20"/>
                <w:color w:val="auto"/>
              </w:rPr>
            </w:pP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300" w:type="dxa"/>
            <w:vAlign w:val="bottom"/>
            <w:gridSpan w:val="4"/>
          </w:tcPr>
          <w:p>
            <w:pPr>
              <w:jc w:val="center"/>
              <w:ind w:left="9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4"/>
          </w:tcPr>
          <w:p>
            <w:pPr>
              <w:ind w:left="2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27,826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518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short-term investment securities</w:t>
            </w:r>
          </w:p>
        </w:tc>
        <w:tc>
          <w:tcPr>
            <w:tcW w:w="70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6"/>
              </w:rPr>
              <w:t>$ 27,798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27,826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 FAIR VALUE MEASUREMENTS</w:t>
      </w:r>
    </w:p>
    <w:p>
      <w:pPr>
        <w:spacing w:after="0" w:line="189" w:lineRule="exact"/>
        <w:rPr>
          <w:sz w:val="20"/>
          <w:szCs w:val="20"/>
          <w:color w:val="auto"/>
        </w:rPr>
      </w:pPr>
    </w:p>
    <w:p>
      <w:pPr>
        <w:jc w:val="both"/>
        <w:ind w:left="60" w:right="59" w:firstLine="492"/>
        <w:spacing w:after="0" w:line="259" w:lineRule="auto"/>
        <w:rPr>
          <w:sz w:val="20"/>
          <w:szCs w:val="20"/>
          <w:color w:val="auto"/>
        </w:rPr>
      </w:pPr>
      <w:r>
        <w:rPr>
          <w:rFonts w:ascii="Arial" w:cs="Arial" w:eastAsia="Arial" w:hAnsi="Arial"/>
          <w:sz w:val="18"/>
          <w:szCs w:val="18"/>
          <w:color w:val="auto"/>
        </w:rPr>
        <w:t>We measure certain financial assets and liabilities at fair value on a recurring basis in the condensed consolidated financial statements. The fair value hierarchy ranks the quality and reliability of inputs, or assumptions, used in the determination of fair value and requires financial assets and liabilities carried at fair value to be classified and disclosed in one of the following three categories:</w:t>
      </w:r>
    </w:p>
    <w:p>
      <w:pPr>
        <w:spacing w:after="0" w:line="160" w:lineRule="exact"/>
        <w:rPr>
          <w:sz w:val="20"/>
          <w:szCs w:val="20"/>
          <w:color w:val="auto"/>
        </w:rPr>
      </w:pPr>
    </w:p>
    <w:p>
      <w:pPr>
        <w:ind w:left="1040" w:hanging="315"/>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1 quoted prices in active markets for identical assets and liabilities;</w:t>
      </w:r>
    </w:p>
    <w:p>
      <w:pPr>
        <w:spacing w:after="0" w:line="23" w:lineRule="exact"/>
        <w:rPr>
          <w:rFonts w:ascii="Arial" w:cs="Arial" w:eastAsia="Arial" w:hAnsi="Arial"/>
          <w:sz w:val="18"/>
          <w:szCs w:val="18"/>
          <w:color w:val="auto"/>
        </w:rPr>
      </w:pPr>
    </w:p>
    <w:p>
      <w:pPr>
        <w:ind w:left="1040" w:hanging="315"/>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2 inputs other than Level 1 quoted prices that are directly or indirectly observable; and</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3 unobservable inputs that are not corroborated by market data.</w:t>
      </w:r>
    </w:p>
    <w:p>
      <w:pPr>
        <w:spacing w:after="0" w:line="170" w:lineRule="exact"/>
        <w:rPr>
          <w:sz w:val="20"/>
          <w:szCs w:val="20"/>
          <w:color w:val="auto"/>
        </w:rPr>
      </w:pPr>
    </w:p>
    <w:p>
      <w:pPr>
        <w:ind w:left="60" w:right="79" w:firstLine="492"/>
        <w:spacing w:after="0" w:line="277" w:lineRule="auto"/>
        <w:rPr>
          <w:sz w:val="20"/>
          <w:szCs w:val="20"/>
          <w:color w:val="auto"/>
        </w:rPr>
      </w:pPr>
      <w:r>
        <w:rPr>
          <w:rFonts w:ascii="Arial" w:cs="Arial" w:eastAsia="Arial" w:hAnsi="Arial"/>
          <w:sz w:val="18"/>
          <w:szCs w:val="18"/>
          <w:color w:val="auto"/>
        </w:rPr>
        <w:t>As of June 30, 2020 and December 31, 2019, the fair values of cash and cash equivalents, restricted cash, and notes and interest payable, approximate their carrying values.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92"/>
        <w:spacing w:after="0" w:line="254" w:lineRule="auto"/>
        <w:rPr>
          <w:sz w:val="20"/>
          <w:szCs w:val="20"/>
          <w:color w:val="auto"/>
        </w:rPr>
      </w:pPr>
      <w:r>
        <w:rPr>
          <w:rFonts w:ascii="Arial" w:cs="Arial" w:eastAsia="Arial" w:hAnsi="Arial"/>
          <w:sz w:val="18"/>
          <w:szCs w:val="18"/>
          <w:color w:val="auto"/>
        </w:rPr>
        <w:t>At the time of our merger (we were then known as Manhattan Pharmaceuticals, Inc.) with Ariston Pharmaceuticals, Inc. (“Ariston”) in March 2010, Ariston issued $15.5 million of five-year 5% notes payable (the “5% Notes”) in satisfaction of several note payable issuances. The 5% Notes and accrued and unpaid interest thereon are convertible at the option of the holder into common stock at the conversion price of $1,125 per share. Ariston agreed to make quarterly payments on the 5% Notes equal to 50% of the net product cash flow received from the exploitation or commercialization of Ariston’s product candidates, AST-726 and AST-915. We have no obligations under the 5% Notes aside from (a) 50% of the net product cash flows from Ariston’s product candidates, if any, payable to noteholders; and (b) the conversion feature, discussed above.</w:t>
      </w:r>
    </w:p>
    <w:p>
      <w:pPr>
        <w:spacing w:after="0" w:line="124" w:lineRule="exact"/>
        <w:rPr>
          <w:sz w:val="20"/>
          <w:szCs w:val="20"/>
          <w:color w:val="auto"/>
        </w:rPr>
      </w:pPr>
    </w:p>
    <w:p>
      <w:pPr>
        <w:jc w:val="both"/>
        <w:ind w:left="60" w:right="59" w:firstLine="492"/>
        <w:spacing w:after="0" w:line="263" w:lineRule="auto"/>
        <w:rPr>
          <w:sz w:val="20"/>
          <w:szCs w:val="20"/>
          <w:color w:val="auto"/>
        </w:rPr>
      </w:pPr>
      <w:r>
        <w:rPr>
          <w:rFonts w:ascii="Arial" w:cs="Arial" w:eastAsia="Arial" w:hAnsi="Arial"/>
          <w:sz w:val="18"/>
          <w:szCs w:val="18"/>
          <w:color w:val="auto"/>
        </w:rPr>
        <w:t>The cumulative liability to the Ariston subsidiary including accrued and unpaid interest of the 5% Notes was approximately $19.8 million at June 30, 2020 and $19.3 million at December 31, 2019. No payments have been made on the 5% Notes since the merger and through June 30, 2020.</w:t>
      </w:r>
    </w:p>
    <w:p>
      <w:pPr>
        <w:spacing w:after="0" w:line="116" w:lineRule="exact"/>
        <w:rPr>
          <w:sz w:val="20"/>
          <w:szCs w:val="20"/>
          <w:color w:val="auto"/>
        </w:rPr>
      </w:pPr>
    </w:p>
    <w:p>
      <w:pPr>
        <w:jc w:val="both"/>
        <w:ind w:left="60" w:right="59" w:firstLine="492"/>
        <w:spacing w:after="0" w:line="263" w:lineRule="auto"/>
        <w:rPr>
          <w:sz w:val="20"/>
          <w:szCs w:val="20"/>
          <w:color w:val="auto"/>
        </w:rPr>
      </w:pPr>
      <w:r>
        <w:rPr>
          <w:rFonts w:ascii="Arial" w:cs="Arial" w:eastAsia="Arial" w:hAnsi="Arial"/>
          <w:sz w:val="18"/>
          <w:szCs w:val="18"/>
          <w:color w:val="auto"/>
        </w:rPr>
        <w:t>In December 2011, we elected the fair value option for valuing the 5% Notes. The fair value option was elected in order to reflect in our financial statements the assumptions that market participants use in evaluating these financial instruments.</w:t>
      </w:r>
    </w:p>
    <w:p>
      <w:pPr>
        <w:spacing w:after="0" w:line="103" w:lineRule="exact"/>
        <w:rPr>
          <w:sz w:val="20"/>
          <w:szCs w:val="20"/>
          <w:color w:val="auto"/>
        </w:rPr>
      </w:pPr>
    </w:p>
    <w:p>
      <w:pPr>
        <w:jc w:val="both"/>
        <w:ind w:left="60" w:right="59" w:firstLine="492"/>
        <w:spacing w:after="0" w:line="291" w:lineRule="auto"/>
        <w:rPr>
          <w:sz w:val="20"/>
          <w:szCs w:val="20"/>
          <w:color w:val="auto"/>
        </w:rPr>
      </w:pPr>
      <w:r>
        <w:rPr>
          <w:rFonts w:ascii="Arial" w:cs="Arial" w:eastAsia="Arial" w:hAnsi="Arial"/>
          <w:sz w:val="16"/>
          <w:szCs w:val="16"/>
          <w:color w:val="auto"/>
        </w:rPr>
        <w:t>As of December 31, 2013, as a result of expiring intellectual property rights and other factors, it was determined that net product cash flows from AST-726 were unlikely. As we have no other obligations under the 5% Notes aside from the net product cash flows and the conversion feature, the conversion feature was used to estimate the 5% Notes’ fair value as of June 30, 2020 and December 31, 2019. The assumptions, assessments and projections of future revenues are subject to uncertainties, difficult to predict, and require significant judgment. The use of different assumptions, applying different judgment to inherently subjective matters and changes in future market conditions could result in significantly different estimates of fair value and the differences could be material to our condensed consolidated financial statements.</w:t>
      </w:r>
    </w:p>
    <w:p>
      <w:pPr>
        <w:spacing w:after="0" w:line="99"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 following tables provide the fair value measurements of applicable financial liabilities as of June 30, 2020 and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 2019:</w:t>
      </w:r>
    </w:p>
    <w:p>
      <w:pPr>
        <w:spacing w:after="0" w:line="148"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40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3480" w:type="dxa"/>
            <w:vAlign w:val="bottom"/>
            <w:tcBorders>
              <w:bottom w:val="single" w:sz="8" w:color="auto"/>
            </w:tcBorders>
            <w:gridSpan w:val="7"/>
          </w:tcPr>
          <w:p>
            <w:pPr>
              <w:ind w:left="180"/>
              <w:spacing w:after="0"/>
              <w:rPr>
                <w:sz w:val="20"/>
                <w:szCs w:val="20"/>
                <w:color w:val="auto"/>
              </w:rPr>
            </w:pPr>
            <w:r>
              <w:rPr>
                <w:rFonts w:ascii="Arial" w:cs="Arial" w:eastAsia="Arial" w:hAnsi="Arial"/>
                <w:sz w:val="14"/>
                <w:szCs w:val="14"/>
                <w:b w:val="1"/>
                <w:bCs w:val="1"/>
                <w:color w:val="auto"/>
                <w:w w:val="97"/>
              </w:rPr>
              <w:t>Financial liabilities at fair value as of June 30, 2020</w:t>
            </w:r>
          </w:p>
        </w:tc>
        <w:tc>
          <w:tcPr>
            <w:tcW w:w="0" w:type="dxa"/>
            <w:vAlign w:val="bottom"/>
          </w:tcPr>
          <w:p>
            <w:pPr>
              <w:spacing w:after="0"/>
              <w:rPr>
                <w:sz w:val="1"/>
                <w:szCs w:val="1"/>
                <w:color w:val="auto"/>
              </w:rPr>
            </w:pPr>
          </w:p>
        </w:tc>
      </w:tr>
      <w:tr>
        <w:trPr>
          <w:trHeight w:val="142"/>
        </w:trPr>
        <w:tc>
          <w:tcPr>
            <w:tcW w:w="5400" w:type="dxa"/>
            <w:vAlign w:val="bottom"/>
            <w:vMerge w:val="continue"/>
          </w:tcPr>
          <w:p>
            <w:pPr>
              <w:spacing w:after="0"/>
              <w:rPr>
                <w:sz w:val="12"/>
                <w:szCs w:val="12"/>
                <w:color w:val="auto"/>
              </w:rPr>
            </w:pPr>
          </w:p>
        </w:tc>
        <w:tc>
          <w:tcPr>
            <w:tcW w:w="740" w:type="dxa"/>
            <w:vAlign w:val="bottom"/>
            <w:tcBorders>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2"/>
                <w:szCs w:val="12"/>
                <w:color w:val="auto"/>
              </w:rPr>
            </w:pPr>
          </w:p>
        </w:tc>
        <w:tc>
          <w:tcPr>
            <w:tcW w:w="740" w:type="dxa"/>
            <w:vAlign w:val="bottom"/>
            <w:tcBorders>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2"/>
                <w:szCs w:val="12"/>
                <w:color w:val="auto"/>
              </w:rPr>
            </w:pPr>
          </w:p>
        </w:tc>
        <w:tc>
          <w:tcPr>
            <w:tcW w:w="74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2"/>
                <w:szCs w:val="12"/>
                <w:color w:val="auto"/>
              </w:rPr>
            </w:pPr>
          </w:p>
        </w:tc>
        <w:tc>
          <w:tcPr>
            <w:tcW w:w="760" w:type="dxa"/>
            <w:vAlign w:val="bottom"/>
            <w:tcBorders>
              <w:bottom w:val="single" w:sz="8" w:color="auto"/>
            </w:tcBorders>
          </w:tcPr>
          <w:p>
            <w:pPr>
              <w:ind w:left="240"/>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bl>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5% Notes</w:t>
            </w: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r>
      <w:tr>
        <w:trPr>
          <w:trHeight w:val="210"/>
        </w:trPr>
        <w:tc>
          <w:tcPr>
            <w:tcW w:w="5400" w:type="dxa"/>
            <w:vAlign w:val="bottom"/>
          </w:tcPr>
          <w:p>
            <w:pPr>
              <w:ind w:left="2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gridSpan w:val="2"/>
          </w:tcPr>
          <w:p>
            <w:pPr>
              <w:ind w:lef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gridSpan w:val="2"/>
          </w:tcPr>
          <w:p>
            <w:pPr>
              <w:ind w:lef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w:t>
            </w:r>
          </w:p>
        </w:tc>
      </w:tr>
      <w:tr>
        <w:trPr>
          <w:trHeight w:val="20"/>
        </w:trPr>
        <w:tc>
          <w:tcPr>
            <w:tcW w:w="5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r>
      <w:tr>
        <w:trPr>
          <w:trHeight w:val="358"/>
        </w:trPr>
        <w:tc>
          <w:tcPr>
            <w:tcW w:w="54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16"/>
          </w:tcPr>
          <w:p>
            <w:pPr>
              <w:spacing w:after="0"/>
              <w:rPr>
                <w:sz w:val="20"/>
                <w:szCs w:val="20"/>
                <w:color w:val="auto"/>
              </w:rPr>
            </w:pPr>
            <w:r>
              <w:rPr>
                <w:rFonts w:ascii="Arial" w:cs="Arial" w:eastAsia="Arial" w:hAnsi="Arial"/>
                <w:sz w:val="14"/>
                <w:szCs w:val="14"/>
                <w:b w:val="1"/>
                <w:bCs w:val="1"/>
                <w:color w:val="auto"/>
                <w:w w:val="92"/>
              </w:rPr>
              <w:t>Financial liabilities at fair value as of December 31, 2019</w:t>
            </w:r>
          </w:p>
        </w:tc>
      </w:tr>
      <w:tr>
        <w:trPr>
          <w:trHeight w:val="142"/>
        </w:trPr>
        <w:tc>
          <w:tcPr>
            <w:tcW w:w="5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Level 3</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Total</w:t>
            </w:r>
          </w:p>
        </w:tc>
      </w:tr>
      <w:tr>
        <w:trPr>
          <w:trHeight w:val="209"/>
        </w:trPr>
        <w:tc>
          <w:tcPr>
            <w:tcW w:w="54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r>
      <w:tr>
        <w:trPr>
          <w:trHeight w:val="216"/>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5% Notes</w:t>
            </w: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320" w:type="dxa"/>
            <w:vAlign w:val="bottom"/>
            <w:gridSpan w:val="3"/>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r>
      <w:tr>
        <w:trPr>
          <w:trHeight w:val="209"/>
        </w:trPr>
        <w:tc>
          <w:tcPr>
            <w:tcW w:w="5400" w:type="dxa"/>
            <w:vAlign w:val="bottom"/>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w:t>
            </w:r>
          </w:p>
        </w:tc>
      </w:tr>
      <w:tr>
        <w:trPr>
          <w:trHeight w:val="20"/>
        </w:trPr>
        <w:tc>
          <w:tcPr>
            <w:tcW w:w="54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Level 3 amounts above represent the fair value of the 5% Notes and related accrued interest.</w:t>
      </w:r>
    </w:p>
    <w:p>
      <w:pPr>
        <w:spacing w:after="0" w:line="185" w:lineRule="exact"/>
        <w:rPr>
          <w:sz w:val="20"/>
          <w:szCs w:val="20"/>
          <w:color w:val="auto"/>
        </w:rPr>
      </w:pPr>
    </w:p>
    <w:p>
      <w:pPr>
        <w:jc w:val="both"/>
        <w:ind w:left="60" w:right="59" w:firstLine="492"/>
        <w:spacing w:after="0" w:line="263" w:lineRule="auto"/>
        <w:rPr>
          <w:sz w:val="20"/>
          <w:szCs w:val="20"/>
          <w:color w:val="auto"/>
        </w:rPr>
      </w:pPr>
      <w:r>
        <w:rPr>
          <w:rFonts w:ascii="Arial" w:cs="Arial" w:eastAsia="Arial" w:hAnsi="Arial"/>
          <w:sz w:val="18"/>
          <w:szCs w:val="18"/>
          <w:color w:val="auto"/>
        </w:rPr>
        <w:t>The Company’s financial instruments include cash, cash equivalents consisting of money market funds, accounts payable and debt. Cash, cash equivalents, accounts payable and debt are stated at their respective historical carrying amounts, which approximate fair value due to their short-term nature.</w:t>
      </w:r>
    </w:p>
    <w:p>
      <w:pPr>
        <w:spacing w:after="0" w:line="143"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 following table summarizes the changes in Level 3 instruments during the three months ended June 30, 2020:</w:t>
      </w: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167"/>
        </w:trPr>
        <w:tc>
          <w:tcPr>
            <w:tcW w:w="782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216"/>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r>
      <w:tr>
        <w:trPr>
          <w:trHeight w:val="216"/>
        </w:trPr>
        <w:tc>
          <w:tcPr>
            <w:tcW w:w="7820" w:type="dxa"/>
            <w:vAlign w:val="bottom"/>
          </w:tcPr>
          <w:p>
            <w:pPr>
              <w:ind w:left="120"/>
              <w:spacing w:after="0"/>
              <w:rPr>
                <w:sz w:val="20"/>
                <w:szCs w:val="20"/>
                <w:color w:val="auto"/>
              </w:rPr>
            </w:pPr>
            <w:r>
              <w:rPr>
                <w:rFonts w:ascii="Arial" w:cs="Arial" w:eastAsia="Arial" w:hAnsi="Arial"/>
                <w:sz w:val="18"/>
                <w:szCs w:val="18"/>
                <w:color w:val="auto"/>
              </w:rPr>
              <w:t>Interest accrued on face value of 5% Notes</w:t>
            </w:r>
          </w:p>
        </w:tc>
        <w:tc>
          <w:tcPr>
            <w:tcW w:w="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484</w:t>
            </w:r>
          </w:p>
        </w:tc>
      </w:tr>
      <w:tr>
        <w:trPr>
          <w:trHeight w:val="216"/>
        </w:trPr>
        <w:tc>
          <w:tcPr>
            <w:tcW w:w="7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 in fair value of Level 3 liabilities</w:t>
            </w:r>
          </w:p>
        </w:tc>
        <w:tc>
          <w:tcPr>
            <w:tcW w:w="4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w:t>
            </w:r>
          </w:p>
        </w:tc>
      </w:tr>
      <w:tr>
        <w:trPr>
          <w:trHeight w:val="210"/>
        </w:trPr>
        <w:tc>
          <w:tcPr>
            <w:tcW w:w="7820" w:type="dxa"/>
            <w:vAlign w:val="bottom"/>
          </w:tcPr>
          <w:p>
            <w:pPr>
              <w:ind w:left="20"/>
              <w:spacing w:after="0"/>
              <w:rPr>
                <w:sz w:val="20"/>
                <w:szCs w:val="20"/>
                <w:color w:val="auto"/>
              </w:rPr>
            </w:pPr>
            <w:r>
              <w:rPr>
                <w:rFonts w:ascii="Arial" w:cs="Arial" w:eastAsia="Arial" w:hAnsi="Arial"/>
                <w:sz w:val="18"/>
                <w:szCs w:val="18"/>
                <w:color w:val="auto"/>
              </w:rPr>
              <w:t>Balance at June 30, 2020</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w:t>
            </w:r>
          </w:p>
        </w:tc>
      </w:tr>
      <w:tr>
        <w:trPr>
          <w:trHeight w:val="20"/>
        </w:trPr>
        <w:tc>
          <w:tcPr>
            <w:tcW w:w="78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419" w:firstLine="492"/>
        <w:spacing w:after="0" w:line="277" w:lineRule="auto"/>
        <w:rPr>
          <w:sz w:val="20"/>
          <w:szCs w:val="20"/>
          <w:color w:val="auto"/>
        </w:rPr>
      </w:pPr>
      <w:r>
        <w:rPr>
          <w:rFonts w:ascii="Arial" w:cs="Arial" w:eastAsia="Arial" w:hAnsi="Arial"/>
          <w:sz w:val="18"/>
          <w:szCs w:val="18"/>
          <w:color w:val="auto"/>
        </w:rPr>
        <w:t>The change in the fair value of the Level 3 liabilities is reported in other (income) expense in the accompanying condensed consolidated statements of operations.</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5 STOCKHOLDERS’ EQUITY</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Preferred Stock</w:t>
      </w:r>
    </w:p>
    <w:p>
      <w:pPr>
        <w:spacing w:after="0" w:line="185" w:lineRule="exact"/>
        <w:rPr>
          <w:sz w:val="20"/>
          <w:szCs w:val="20"/>
          <w:color w:val="auto"/>
        </w:rPr>
      </w:pPr>
    </w:p>
    <w:p>
      <w:pPr>
        <w:jc w:val="both"/>
        <w:ind w:left="60" w:right="59" w:firstLine="492"/>
        <w:spacing w:after="0" w:line="255" w:lineRule="auto"/>
        <w:rPr>
          <w:sz w:val="20"/>
          <w:szCs w:val="20"/>
          <w:color w:val="auto"/>
        </w:rPr>
      </w:pPr>
      <w:r>
        <w:rPr>
          <w:rFonts w:ascii="Arial" w:cs="Arial" w:eastAsia="Arial" w:hAnsi="Arial"/>
          <w:sz w:val="18"/>
          <w:szCs w:val="18"/>
          <w:color w:val="auto"/>
        </w:rPr>
        <w:t>Our amended and restated certificate of incorporation authorizes the issuance of up to 10,000,000 shares of preferred stock, $0.001 par value, with rights senior to those of our common stock, issuable in one or more series. Upon issuance, we can determine the rights, preferences, privileges and restrictions thereof.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common stock.</w:t>
      </w:r>
    </w:p>
    <w:p>
      <w:pPr>
        <w:spacing w:after="0" w:line="15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Common Stock</w:t>
      </w:r>
    </w:p>
    <w:p>
      <w:pPr>
        <w:spacing w:after="0" w:line="198" w:lineRule="exact"/>
        <w:rPr>
          <w:sz w:val="20"/>
          <w:szCs w:val="20"/>
          <w:color w:val="auto"/>
        </w:rPr>
      </w:pPr>
    </w:p>
    <w:p>
      <w:pPr>
        <w:jc w:val="both"/>
        <w:ind w:left="60" w:right="79" w:firstLine="492"/>
        <w:spacing w:after="0" w:line="277" w:lineRule="auto"/>
        <w:rPr>
          <w:sz w:val="20"/>
          <w:szCs w:val="20"/>
          <w:color w:val="auto"/>
        </w:rPr>
      </w:pPr>
      <w:r>
        <w:rPr>
          <w:rFonts w:ascii="Arial" w:cs="Arial" w:eastAsia="Arial" w:hAnsi="Arial"/>
          <w:sz w:val="18"/>
          <w:szCs w:val="18"/>
          <w:color w:val="auto"/>
        </w:rPr>
        <w:t>Our amended and restated certificate of incorporation authorizes the issuance of up to 150,000,000 shares of $0.001 par value common stock.</w:t>
      </w:r>
    </w:p>
    <w:p>
      <w:pPr>
        <w:spacing w:after="0" w:line="130" w:lineRule="exact"/>
        <w:rPr>
          <w:sz w:val="20"/>
          <w:szCs w:val="20"/>
          <w:color w:val="auto"/>
        </w:rPr>
      </w:pPr>
    </w:p>
    <w:p>
      <w:pPr>
        <w:jc w:val="both"/>
        <w:ind w:left="60" w:right="59" w:firstLine="492"/>
        <w:spacing w:after="0" w:line="291" w:lineRule="auto"/>
        <w:rPr>
          <w:sz w:val="20"/>
          <w:szCs w:val="20"/>
          <w:color w:val="auto"/>
        </w:rPr>
      </w:pPr>
      <w:r>
        <w:rPr>
          <w:rFonts w:ascii="Arial" w:cs="Arial" w:eastAsia="Arial" w:hAnsi="Arial"/>
          <w:sz w:val="16"/>
          <w:szCs w:val="16"/>
          <w:color w:val="auto"/>
        </w:rPr>
        <w:t>On September 5, 2019, we filed an automatic “shelf registration” statement on Form S-3 (the “2019 WKSI Shelf”) as a “well-known seasoned issuer” as defined in Rule 405 under the Securities Act, which registered an unlimited and indeterminate amount of debt or equity securities for future issuance and sale. The 2019 WKSI Shelf was declared effective in September 2019. In connection with the 2019 WKSI Shelf, we entered into an At-the-Market Issuance Sales Agreement (the “2020 ATM”) with Jefferies LLC, Cantor Fitzgerald &amp; Co. and B. Riley FBR, Inc. (each a “2020 Agent” and collectively, the “2020 Agents”), relating to the sale of shares of our common stock. Under the 2020 ATM, we pay the 2020 Agents a commission rate of up to 3.0% of the gross proceeds from the sale of any shares of common stock.</w:t>
      </w:r>
    </w:p>
    <w:p>
      <w:pPr>
        <w:spacing w:after="0" w:line="126" w:lineRule="exact"/>
        <w:rPr>
          <w:sz w:val="20"/>
          <w:szCs w:val="20"/>
          <w:color w:val="auto"/>
        </w:rPr>
      </w:pPr>
    </w:p>
    <w:p>
      <w:pPr>
        <w:jc w:val="both"/>
        <w:ind w:left="60" w:right="59" w:firstLine="492"/>
        <w:spacing w:after="0" w:line="311" w:lineRule="auto"/>
        <w:rPr>
          <w:sz w:val="20"/>
          <w:szCs w:val="20"/>
          <w:color w:val="auto"/>
        </w:rPr>
      </w:pPr>
      <w:r>
        <w:rPr>
          <w:rFonts w:ascii="Arial" w:cs="Arial" w:eastAsia="Arial" w:hAnsi="Arial"/>
          <w:sz w:val="16"/>
          <w:szCs w:val="16"/>
          <w:color w:val="auto"/>
        </w:rPr>
        <w:t>During the six months ended June 30, 2020, we sold an aggregate of 4,535,608 shares of common stock pursuant to the 2020 ATM for total gross proceeds of approximately $77.4 million at an average selling price of $17.07 per share, resulting in net proceeds of approximately $76.0 million after deducting commissions and other transactions costs.</w:t>
      </w:r>
    </w:p>
    <w:p>
      <w:pPr>
        <w:spacing w:after="0" w:line="122" w:lineRule="exact"/>
        <w:rPr>
          <w:sz w:val="20"/>
          <w:szCs w:val="20"/>
          <w:color w:val="auto"/>
        </w:rPr>
      </w:pPr>
    </w:p>
    <w:p>
      <w:pPr>
        <w:jc w:val="both"/>
        <w:ind w:left="60" w:right="59" w:firstLine="492"/>
        <w:spacing w:after="0" w:line="257" w:lineRule="auto"/>
        <w:rPr>
          <w:sz w:val="20"/>
          <w:szCs w:val="20"/>
          <w:color w:val="auto"/>
        </w:rPr>
      </w:pPr>
      <w:r>
        <w:rPr>
          <w:rFonts w:ascii="Arial" w:cs="Arial" w:eastAsia="Arial" w:hAnsi="Arial"/>
          <w:sz w:val="18"/>
          <w:szCs w:val="18"/>
          <w:color w:val="auto"/>
        </w:rPr>
        <w:t>In May 2020, we completed an underwritten public offering of 8,500,000 shares of our common stock (plus an underwriter option to purchase up to an additional 1,275,000 shares of common stock, which was exercised) at a price of $18 per share. Net proceeds from this offering, including the overallotment, were approximately $165.1 million, net of underwriting discounts and offering expenses of approximately $10.6 million plus professional fees of $0.3 million, for total offering costs of $10.9 million.</w:t>
      </w:r>
    </w:p>
    <w:p>
      <w:pPr>
        <w:spacing w:after="0" w:line="188" w:lineRule="exact"/>
        <w:rPr>
          <w:sz w:val="20"/>
          <w:szCs w:val="20"/>
          <w:color w:val="auto"/>
        </w:rPr>
      </w:pPr>
    </w:p>
    <w:p>
      <w:pPr>
        <w:jc w:val="both"/>
        <w:ind w:left="60" w:right="59" w:firstLine="492"/>
        <w:spacing w:after="0" w:line="279" w:lineRule="auto"/>
        <w:rPr>
          <w:sz w:val="20"/>
          <w:szCs w:val="20"/>
          <w:color w:val="auto"/>
        </w:rPr>
      </w:pPr>
      <w:r>
        <w:rPr>
          <w:rFonts w:ascii="Arial" w:cs="Arial" w:eastAsia="Arial" w:hAnsi="Arial"/>
          <w:sz w:val="17"/>
          <w:szCs w:val="17"/>
          <w:color w:val="auto"/>
        </w:rPr>
        <w:t>The 2019 WKSI Shelf is currently our only active shelf-registration statement. We may offer any combination of the securities registered under the 2019 WKSI Shelf from time to time in response to market conditions or other circumstances if we believe such a plan of financing is in the best interests of our stockholders. We believe that the 2019 WKSI provides us with the flexibility to raise additional capital to finance our operations as needed.</w:t>
      </w:r>
    </w:p>
    <w:p>
      <w:pPr>
        <w:spacing w:after="0" w:line="13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85" w:lineRule="exact"/>
        <w:rPr>
          <w:sz w:val="20"/>
          <w:szCs w:val="20"/>
          <w:color w:val="auto"/>
        </w:rPr>
      </w:pPr>
    </w:p>
    <w:p>
      <w:pPr>
        <w:jc w:val="both"/>
        <w:ind w:left="60" w:right="59" w:firstLine="492"/>
        <w:spacing w:after="0" w:line="259" w:lineRule="auto"/>
        <w:rPr>
          <w:sz w:val="20"/>
          <w:szCs w:val="20"/>
          <w:color w:val="auto"/>
        </w:rPr>
      </w:pPr>
      <w:r>
        <w:rPr>
          <w:rFonts w:ascii="Arial" w:cs="Arial" w:eastAsia="Arial" w:hAnsi="Arial"/>
          <w:sz w:val="18"/>
          <w:szCs w:val="18"/>
          <w:color w:val="auto"/>
        </w:rPr>
        <w:t>The TG Therapeutics, Inc. Amended and Restated 2012 Incentive Plan (the “2012 Incentive Plan”) was approved by stockholders in June 2020. Pursuant to this amendment, 8,000,000 shares were added to the 2012 Incentive Plan. As of June 30, 2020, 9,232,615 shares of restricted stock and 2,638,480 options were outstanding and up to an additional 5,804,913 shares may be issued under the 2012 Incentive Plan.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Stock Options</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summarizes stock option activity for the six months ended June 30, 2020:</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Weighted-</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1"/>
              </w:rPr>
              <w:t>Weighted-</w:t>
            </w:r>
          </w:p>
        </w:tc>
        <w:tc>
          <w:tcPr>
            <w:tcW w:w="9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84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9"/>
              </w:rPr>
              <w:t>Number of</w:t>
            </w:r>
          </w:p>
        </w:tc>
        <w:tc>
          <w:tcPr>
            <w:tcW w:w="12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80" w:type="dxa"/>
            <w:vAlign w:val="bottom"/>
          </w:tcPr>
          <w:p>
            <w:pPr>
              <w:spacing w:after="0"/>
              <w:rPr>
                <w:sz w:val="12"/>
                <w:szCs w:val="12"/>
                <w:color w:val="auto"/>
              </w:rPr>
            </w:pPr>
          </w:p>
        </w:tc>
        <w:tc>
          <w:tcPr>
            <w:tcW w:w="96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9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Term</w:t>
            </w:r>
          </w:p>
        </w:tc>
        <w:tc>
          <w:tcPr>
            <w:tcW w:w="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12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shares</w:t>
            </w:r>
          </w:p>
        </w:tc>
        <w:tc>
          <w:tcPr>
            <w:tcW w:w="10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7"/>
              </w:rPr>
              <w:t>exercise price</w:t>
            </w: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(in years)</w:t>
            </w: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w w:val="91"/>
              </w:rPr>
              <w:t>intrinsic value</w:t>
            </w:r>
          </w:p>
        </w:tc>
        <w:tc>
          <w:tcPr>
            <w:tcW w:w="0" w:type="dxa"/>
            <w:vAlign w:val="bottom"/>
          </w:tcPr>
          <w:p>
            <w:pPr>
              <w:spacing w:after="0"/>
              <w:rPr>
                <w:sz w:val="1"/>
                <w:szCs w:val="1"/>
                <w:color w:val="auto"/>
              </w:rPr>
            </w:pPr>
          </w:p>
        </w:tc>
      </w:tr>
      <w:tr>
        <w:trPr>
          <w:trHeight w:val="209"/>
        </w:trPr>
        <w:tc>
          <w:tcPr>
            <w:tcW w:w="51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31, 2019</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2,605,730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11,706,110</w:t>
            </w:r>
          </w:p>
        </w:tc>
        <w:tc>
          <w:tcPr>
            <w:tcW w:w="0" w:type="dxa"/>
            <w:vAlign w:val="bottom"/>
          </w:tcPr>
          <w:p>
            <w:pPr>
              <w:spacing w:after="0"/>
              <w:rPr>
                <w:sz w:val="1"/>
                <w:szCs w:val="1"/>
                <w:color w:val="auto"/>
              </w:rPr>
            </w:pPr>
          </w:p>
        </w:tc>
      </w:tr>
      <w:tr>
        <w:trPr>
          <w:trHeight w:val="216"/>
        </w:trPr>
        <w:tc>
          <w:tcPr>
            <w:tcW w:w="5120" w:type="dxa"/>
            <w:vAlign w:val="bottom"/>
          </w:tcPr>
          <w:p>
            <w:pPr>
              <w:ind w:left="20"/>
              <w:spacing w:after="0"/>
              <w:rPr>
                <w:sz w:val="20"/>
                <w:szCs w:val="20"/>
                <w:color w:val="auto"/>
              </w:rPr>
            </w:pPr>
            <w:r>
              <w:rPr>
                <w:rFonts w:ascii="Arial" w:cs="Arial" w:eastAsia="Arial" w:hAnsi="Arial"/>
                <w:sz w:val="18"/>
                <w:szCs w:val="18"/>
                <w:color w:val="auto"/>
              </w:rPr>
              <w:t>Granted</w:t>
            </w:r>
          </w:p>
        </w:tc>
        <w:tc>
          <w:tcPr>
            <w:tcW w:w="820" w:type="dxa"/>
            <w:vAlign w:val="bottom"/>
          </w:tcPr>
          <w:p>
            <w:pPr>
              <w:jc w:val="right"/>
              <w:spacing w:after="0"/>
              <w:rPr>
                <w:sz w:val="20"/>
                <w:szCs w:val="20"/>
                <w:color w:val="auto"/>
              </w:rPr>
            </w:pPr>
            <w:r>
              <w:rPr>
                <w:rFonts w:ascii="Arial" w:cs="Arial" w:eastAsia="Arial" w:hAnsi="Arial"/>
                <w:sz w:val="18"/>
                <w:szCs w:val="18"/>
                <w:color w:val="auto"/>
              </w:rPr>
              <w:t>75,000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8.21</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(23,500)</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20"/>
              <w:spacing w:after="0"/>
              <w:rPr>
                <w:sz w:val="20"/>
                <w:szCs w:val="20"/>
                <w:color w:val="auto"/>
              </w:rPr>
            </w:pPr>
            <w:r>
              <w:rPr>
                <w:rFonts w:ascii="Arial" w:cs="Arial" w:eastAsia="Arial" w:hAnsi="Arial"/>
                <w:sz w:val="18"/>
                <w:szCs w:val="18"/>
                <w:color w:val="auto"/>
              </w:rPr>
              <w:t>Forfeited</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(18,750)</w:t>
            </w:r>
          </w:p>
        </w:tc>
        <w:tc>
          <w:tcPr>
            <w:tcW w:w="1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4.10</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Expired</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120" w:type="dxa"/>
            <w:vAlign w:val="bottom"/>
          </w:tcPr>
          <w:p>
            <w:pPr>
              <w:ind w:left="20"/>
              <w:spacing w:after="0"/>
              <w:rPr>
                <w:sz w:val="20"/>
                <w:szCs w:val="20"/>
                <w:color w:val="auto"/>
              </w:rPr>
            </w:pPr>
            <w:r>
              <w:rPr>
                <w:rFonts w:ascii="Arial" w:cs="Arial" w:eastAsia="Arial" w:hAnsi="Arial"/>
                <w:sz w:val="18"/>
                <w:szCs w:val="18"/>
                <w:color w:val="auto"/>
              </w:rPr>
              <w:t>Outstanding at June 30, 2020</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2,638,480</w:t>
            </w:r>
          </w:p>
        </w:tc>
        <w:tc>
          <w:tcPr>
            <w:tcW w:w="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7.14</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8.54</w:t>
            </w:r>
          </w:p>
        </w:tc>
        <w:tc>
          <w:tcPr>
            <w:tcW w:w="16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7"/>
              </w:rPr>
              <w:t>33,882,315</w:t>
            </w:r>
          </w:p>
        </w:tc>
        <w:tc>
          <w:tcPr>
            <w:tcW w:w="0" w:type="dxa"/>
            <w:vAlign w:val="bottom"/>
          </w:tcPr>
          <w:p>
            <w:pPr>
              <w:spacing w:after="0"/>
              <w:rPr>
                <w:sz w:val="1"/>
                <w:szCs w:val="1"/>
                <w:color w:val="auto"/>
              </w:rPr>
            </w:pPr>
          </w:p>
        </w:tc>
      </w:tr>
      <w:tr>
        <w:trPr>
          <w:trHeight w:val="197"/>
        </w:trPr>
        <w:tc>
          <w:tcPr>
            <w:tcW w:w="51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59" w:firstLine="492"/>
        <w:spacing w:after="0" w:line="272" w:lineRule="auto"/>
        <w:rPr>
          <w:sz w:val="20"/>
          <w:szCs w:val="20"/>
          <w:color w:val="auto"/>
        </w:rPr>
      </w:pPr>
      <w:r>
        <w:rPr>
          <w:rFonts w:ascii="Arial" w:cs="Arial" w:eastAsia="Arial" w:hAnsi="Arial"/>
          <w:sz w:val="17"/>
          <w:szCs w:val="17"/>
          <w:color w:val="auto"/>
        </w:rPr>
        <w:t>Total expense associated with the stock options was approximately $0.4 million and $0.8 million during the three months ended June 30, 2020 and 2019, respectively, and $4.3 million and $1.5 million during the six months ended June 30, 2020 and 2019, respectively. As of June 30, 2020, there was approximately $3.1 million of total unrecognized compensation cost related to unvested time-based stock options, which is expected to be recognized over a weighted-average period of 1.5 years. As of June 30, 2020, the stock options outstanding include options granted to both employees and non-employees which are both time-based and milestone-based. Stock-based compensation for milestone-based options will be recorded if and when a milestone occurs.</w:t>
      </w:r>
    </w:p>
    <w:p>
      <w:pPr>
        <w:spacing w:after="0" w:line="137" w:lineRule="exact"/>
        <w:rPr>
          <w:sz w:val="20"/>
          <w:szCs w:val="20"/>
          <w:color w:val="auto"/>
        </w:rPr>
      </w:pPr>
    </w:p>
    <w:p>
      <w:pPr>
        <w:jc w:val="both"/>
        <w:ind w:left="60" w:right="79" w:firstLine="492"/>
        <w:spacing w:after="0" w:line="308" w:lineRule="auto"/>
        <w:rPr>
          <w:sz w:val="20"/>
          <w:szCs w:val="20"/>
          <w:color w:val="auto"/>
        </w:rPr>
      </w:pPr>
      <w:r>
        <w:rPr>
          <w:rFonts w:ascii="Arial" w:cs="Arial" w:eastAsia="Arial" w:hAnsi="Arial"/>
          <w:sz w:val="17"/>
          <w:szCs w:val="17"/>
          <w:color w:val="auto"/>
        </w:rPr>
        <w:t>The fair value of the Company’s option awards granted during the six months ended June 30, 2020 and 2019 were estimated on the grant date using the Black-Scholes option-pricing model using the assumptions below.</w:t>
      </w:r>
    </w:p>
    <w:p>
      <w:pPr>
        <w:spacing w:after="0" w:line="273"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460" w:type="dxa"/>
            <w:vAlign w:val="bottom"/>
          </w:tcPr>
          <w:p>
            <w:pPr>
              <w:spacing w:after="0"/>
              <w:rPr>
                <w:sz w:val="14"/>
                <w:szCs w:val="14"/>
                <w:color w:val="auto"/>
              </w:rPr>
            </w:pPr>
          </w:p>
        </w:tc>
        <w:tc>
          <w:tcPr>
            <w:tcW w:w="3080" w:type="dxa"/>
            <w:vAlign w:val="bottom"/>
            <w:tcBorders>
              <w:bottom w:val="single" w:sz="8" w:color="auto"/>
            </w:tcBorders>
            <w:gridSpan w:val="4"/>
          </w:tcPr>
          <w:p>
            <w:pPr>
              <w:ind w:left="1060"/>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42"/>
        </w:trPr>
        <w:tc>
          <w:tcPr>
            <w:tcW w:w="5460" w:type="dxa"/>
            <w:vAlign w:val="bottom"/>
            <w:tcBorders>
              <w:bottom w:val="single" w:sz="8" w:color="CCEEFF"/>
            </w:tcBorders>
          </w:tcPr>
          <w:p>
            <w:pPr>
              <w:spacing w:after="0"/>
              <w:rPr>
                <w:sz w:val="12"/>
                <w:szCs w:val="12"/>
                <w:color w:val="auto"/>
              </w:rPr>
            </w:pPr>
          </w:p>
        </w:tc>
        <w:tc>
          <w:tcPr>
            <w:tcW w:w="140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June 30, 2020</w:t>
            </w:r>
          </w:p>
        </w:tc>
        <w:tc>
          <w:tcPr>
            <w:tcW w:w="2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420" w:type="dxa"/>
            <w:vAlign w:val="bottom"/>
            <w:tcBorders>
              <w:bottom w:val="single" w:sz="8" w:color="auto"/>
            </w:tcBorders>
          </w:tcPr>
          <w:p>
            <w:pPr>
              <w:ind w:left="360"/>
              <w:spacing w:after="0" w:line="142" w:lineRule="exact"/>
              <w:rPr>
                <w:sz w:val="20"/>
                <w:szCs w:val="20"/>
                <w:color w:val="auto"/>
              </w:rPr>
            </w:pPr>
            <w:r>
              <w:rPr>
                <w:rFonts w:ascii="Arial" w:cs="Arial" w:eastAsia="Arial" w:hAnsi="Arial"/>
                <w:sz w:val="14"/>
                <w:szCs w:val="14"/>
                <w:b w:val="1"/>
                <w:bCs w:val="1"/>
                <w:color w:val="auto"/>
              </w:rPr>
              <w:t>June 30, 2019</w:t>
            </w:r>
          </w:p>
        </w:tc>
        <w:tc>
          <w:tcPr>
            <w:tcW w:w="14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r>
      <w:tr>
        <w:trPr>
          <w:trHeight w:val="21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186.91-191.05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center"/>
              <w:ind w:left="34"/>
              <w:spacing w:after="0"/>
              <w:rPr>
                <w:sz w:val="20"/>
                <w:szCs w:val="20"/>
                <w:color w:val="auto"/>
              </w:rPr>
            </w:pPr>
            <w:r>
              <w:rPr>
                <w:rFonts w:ascii="Arial" w:cs="Arial" w:eastAsia="Arial" w:hAnsi="Arial"/>
                <w:sz w:val="18"/>
                <w:szCs w:val="18"/>
                <w:color w:val="auto"/>
                <w:w w:val="91"/>
              </w:rPr>
              <w:t>172.99-291.61</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400" w:type="dxa"/>
            <w:vAlign w:val="bottom"/>
          </w:tcPr>
          <w:p>
            <w:pPr>
              <w:jc w:val="right"/>
              <w:spacing w:after="0"/>
              <w:rPr>
                <w:sz w:val="20"/>
                <w:szCs w:val="20"/>
                <w:color w:val="auto"/>
              </w:rPr>
            </w:pPr>
            <w:r>
              <w:rPr>
                <w:rFonts w:ascii="Arial" w:cs="Arial" w:eastAsia="Arial" w:hAnsi="Arial"/>
                <w:sz w:val="18"/>
                <w:szCs w:val="18"/>
                <w:color w:val="auto"/>
              </w:rPr>
              <w:t>5.0-6.25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center"/>
              <w:ind w:left="54"/>
              <w:spacing w:after="0"/>
              <w:rPr>
                <w:sz w:val="20"/>
                <w:szCs w:val="20"/>
                <w:color w:val="auto"/>
              </w:rPr>
            </w:pPr>
            <w:r>
              <w:rPr>
                <w:rFonts w:ascii="Arial" w:cs="Arial" w:eastAsia="Arial" w:hAnsi="Arial"/>
                <w:sz w:val="18"/>
                <w:szCs w:val="18"/>
                <w:color w:val="auto"/>
                <w:w w:val="90"/>
              </w:rPr>
              <w:t>5.0-6.25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Risk-free rate</w:t>
            </w:r>
          </w:p>
        </w:tc>
        <w:tc>
          <w:tcPr>
            <w:tcW w:w="16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0.34-0.54 %</w:t>
            </w:r>
          </w:p>
        </w:tc>
        <w:tc>
          <w:tcPr>
            <w:tcW w:w="1420" w:type="dxa"/>
            <w:vAlign w:val="bottom"/>
            <w:shd w:val="clear" w:color="auto" w:fill="CCEEFF"/>
          </w:tcPr>
          <w:p>
            <w:pPr>
              <w:jc w:val="center"/>
              <w:ind w:left="34"/>
              <w:spacing w:after="0"/>
              <w:rPr>
                <w:sz w:val="20"/>
                <w:szCs w:val="20"/>
                <w:color w:val="auto"/>
              </w:rPr>
            </w:pPr>
            <w:r>
              <w:rPr>
                <w:rFonts w:ascii="Arial" w:cs="Arial" w:eastAsia="Arial" w:hAnsi="Arial"/>
                <w:sz w:val="18"/>
                <w:szCs w:val="18"/>
                <w:color w:val="auto"/>
                <w:w w:val="91"/>
              </w:rPr>
              <w:t>1.96-2.49</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400" w:type="dxa"/>
            <w:vAlign w:val="bottom"/>
          </w:tcPr>
          <w:p>
            <w:pPr>
              <w:jc w:val="right"/>
              <w:ind w:right="516"/>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center"/>
              <w:ind w:left="34"/>
              <w:spacing w:after="0"/>
              <w:rPr>
                <w:sz w:val="20"/>
                <w:szCs w:val="20"/>
                <w:color w:val="auto"/>
              </w:rPr>
            </w:pPr>
            <w:r>
              <w:rPr>
                <w:rFonts w:ascii="Arial" w:cs="Arial" w:eastAsia="Arial" w:hAnsi="Arial"/>
                <w:sz w:val="18"/>
                <w:szCs w:val="18"/>
                <w:color w:val="auto"/>
                <w:w w:val="99"/>
              </w:rPr>
              <w:t>—</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Restricted Stock</w:t>
      </w:r>
    </w:p>
    <w:p>
      <w:pPr>
        <w:spacing w:after="0" w:line="185" w:lineRule="exact"/>
        <w:rPr>
          <w:sz w:val="20"/>
          <w:szCs w:val="20"/>
          <w:color w:val="auto"/>
        </w:rPr>
      </w:pPr>
    </w:p>
    <w:p>
      <w:pPr>
        <w:jc w:val="both"/>
        <w:ind w:left="60" w:right="59" w:firstLine="492"/>
        <w:spacing w:after="0" w:line="277" w:lineRule="auto"/>
        <w:rPr>
          <w:sz w:val="20"/>
          <w:szCs w:val="20"/>
          <w:color w:val="auto"/>
        </w:rPr>
      </w:pPr>
      <w:r>
        <w:rPr>
          <w:rFonts w:ascii="Arial" w:cs="Arial" w:eastAsia="Arial" w:hAnsi="Arial"/>
          <w:sz w:val="18"/>
          <w:szCs w:val="18"/>
          <w:color w:val="auto"/>
        </w:rPr>
        <w:t>Certain employees, directors and consultants have been awarded restricted stock. The restricted stock vesting consists of milestone and time-based vesting.</w:t>
      </w:r>
    </w:p>
    <w:p>
      <w:pPr>
        <w:spacing w:after="0" w:line="13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summarizes restricted share activity for the six months ended June 30, 2020:</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Weighted Average</w:t>
            </w: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91"/>
              </w:rPr>
              <w:t>Number of Shares</w:t>
            </w:r>
          </w:p>
        </w:tc>
        <w:tc>
          <w:tcPr>
            <w:tcW w:w="120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71"/>
        </w:trPr>
        <w:tc>
          <w:tcPr>
            <w:tcW w:w="344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3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2019</w:t>
            </w:r>
          </w:p>
        </w:tc>
        <w:tc>
          <w:tcPr>
            <w:tcW w:w="30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7,091,789</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ind w:left="20"/>
              <w:spacing w:after="0"/>
              <w:rPr>
                <w:sz w:val="20"/>
                <w:szCs w:val="20"/>
                <w:color w:val="auto"/>
              </w:rPr>
            </w:pPr>
            <w:r>
              <w:rPr>
                <w:rFonts w:ascii="Arial" w:cs="Arial" w:eastAsia="Arial" w:hAnsi="Arial"/>
                <w:sz w:val="18"/>
                <w:szCs w:val="18"/>
                <w:color w:val="auto"/>
              </w:rPr>
              <w:t>Granted</w:t>
            </w:r>
          </w:p>
        </w:tc>
        <w:tc>
          <w:tcPr>
            <w:tcW w:w="4120" w:type="dxa"/>
            <w:vAlign w:val="bottom"/>
            <w:gridSpan w:val="2"/>
          </w:tcPr>
          <w:p>
            <w:pPr>
              <w:jc w:val="right"/>
              <w:spacing w:after="0"/>
              <w:rPr>
                <w:sz w:val="20"/>
                <w:szCs w:val="20"/>
                <w:color w:val="auto"/>
              </w:rPr>
            </w:pPr>
            <w:r>
              <w:rPr>
                <w:rFonts w:ascii="Arial" w:cs="Arial" w:eastAsia="Arial" w:hAnsi="Arial"/>
                <w:sz w:val="18"/>
                <w:szCs w:val="18"/>
                <w:color w:val="auto"/>
              </w:rPr>
              <w:t>2,982,829</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42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(790,337)</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ind w:left="20"/>
              <w:spacing w:after="0"/>
              <w:rPr>
                <w:sz w:val="20"/>
                <w:szCs w:val="20"/>
                <w:color w:val="auto"/>
              </w:rPr>
            </w:pPr>
            <w:r>
              <w:rPr>
                <w:rFonts w:ascii="Arial" w:cs="Arial" w:eastAsia="Arial" w:hAnsi="Arial"/>
                <w:sz w:val="18"/>
                <w:szCs w:val="18"/>
                <w:color w:val="auto"/>
              </w:rPr>
              <w:t>Forfeited</w:t>
            </w:r>
          </w:p>
        </w:tc>
        <w:tc>
          <w:tcPr>
            <w:tcW w:w="4280" w:type="dxa"/>
            <w:vAlign w:val="bottom"/>
            <w:gridSpan w:val="3"/>
          </w:tcPr>
          <w:p>
            <w:pPr>
              <w:jc w:val="right"/>
              <w:ind w:right="140"/>
              <w:spacing w:after="0"/>
              <w:rPr>
                <w:sz w:val="20"/>
                <w:szCs w:val="20"/>
                <w:color w:val="auto"/>
              </w:rPr>
            </w:pPr>
            <w:r>
              <w:rPr>
                <w:rFonts w:ascii="Arial" w:cs="Arial" w:eastAsia="Arial" w:hAnsi="Arial"/>
                <w:sz w:val="18"/>
                <w:szCs w:val="18"/>
                <w:color w:val="auto"/>
              </w:rPr>
              <w:t>(51,666)</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June 30, 2020</w:t>
            </w:r>
          </w:p>
        </w:tc>
        <w:tc>
          <w:tcPr>
            <w:tcW w:w="300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9,232,615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3000" w:type="dxa"/>
            <w:vAlign w:val="bottom"/>
            <w:vMerge w:val="restart"/>
          </w:tcPr>
          <w:p>
            <w:pPr>
              <w:jc w:val="right"/>
              <w:ind w:right="1790"/>
              <w:spacing w:after="0"/>
              <w:rPr>
                <w:sz w:val="20"/>
                <w:szCs w:val="20"/>
                <w:color w:val="auto"/>
              </w:rPr>
            </w:pPr>
            <w:r>
              <w:rPr>
                <w:rFonts w:ascii="Arial" w:cs="Arial" w:eastAsia="Arial" w:hAnsi="Arial"/>
                <w:sz w:val="18"/>
                <w:szCs w:val="18"/>
                <w:color w:val="auto"/>
              </w:rPr>
              <w:t>18</w:t>
            </w: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440" w:type="dxa"/>
            <w:vAlign w:val="bottom"/>
          </w:tcPr>
          <w:p>
            <w:pPr>
              <w:spacing w:after="0"/>
              <w:rPr>
                <w:sz w:val="24"/>
                <w:szCs w:val="24"/>
                <w:color w:val="auto"/>
              </w:rPr>
            </w:pPr>
          </w:p>
        </w:tc>
        <w:tc>
          <w:tcPr>
            <w:tcW w:w="300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44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92"/>
        <w:spacing w:after="0" w:line="271" w:lineRule="auto"/>
        <w:rPr>
          <w:sz w:val="20"/>
          <w:szCs w:val="20"/>
          <w:color w:val="auto"/>
        </w:rPr>
      </w:pPr>
      <w:r>
        <w:rPr>
          <w:rFonts w:ascii="Arial" w:cs="Arial" w:eastAsia="Arial" w:hAnsi="Arial"/>
          <w:sz w:val="17"/>
          <w:szCs w:val="17"/>
          <w:color w:val="auto"/>
        </w:rPr>
        <w:t>Total expense associated with restricted stock grants was approximately $7.0 million and $1.0 million during the three months ended June 30, 2020 and 2019, respectively, and $14.1 million and $2.1 million during the six months ended June 30, 2020 and 2019, respectively. As of June 30, 2020, there was approximately $31.0 million of total unrecognized compensation cost related to unvested time-based restricted stock, which is expected to be recognized over a weighted-average period of 1.1 years. This amount does not include, as of June 30, 2020, 4,559,040 shares of restricted stock outstanding which are milestone-based and vest upon certain corporate milestones. Until the measurement date is reached for milestone awards, the total amount of compensation expense remains uncertain. We record compensation expense based on the fair value of the award at the grant date.</w:t>
      </w:r>
    </w:p>
    <w:p>
      <w:pPr>
        <w:spacing w:after="0" w:line="151"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85" w:lineRule="exact"/>
        <w:rPr>
          <w:sz w:val="20"/>
          <w:szCs w:val="20"/>
          <w:color w:val="auto"/>
        </w:rPr>
      </w:pPr>
    </w:p>
    <w:p>
      <w:pPr>
        <w:jc w:val="both"/>
        <w:ind w:left="60" w:right="79" w:firstLine="492"/>
        <w:spacing w:after="0" w:line="277" w:lineRule="auto"/>
        <w:rPr>
          <w:sz w:val="20"/>
          <w:szCs w:val="20"/>
          <w:color w:val="auto"/>
        </w:rPr>
      </w:pPr>
      <w:r>
        <w:rPr>
          <w:rFonts w:ascii="Arial" w:cs="Arial" w:eastAsia="Arial" w:hAnsi="Arial"/>
          <w:sz w:val="18"/>
          <w:szCs w:val="18"/>
          <w:color w:val="auto"/>
        </w:rPr>
        <w:t>The following table summarizes stock-based compensation expense information about restricted stock and stock options for the three and six months ended June 30, 2020:</w:t>
      </w:r>
    </w:p>
    <w:p>
      <w:pPr>
        <w:spacing w:after="0" w:line="27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40" w:type="dxa"/>
            <w:vAlign w:val="bottom"/>
            <w:gridSpan w:val="8"/>
          </w:tcPr>
          <w:p>
            <w:pPr>
              <w:spacing w:after="0"/>
              <w:rPr>
                <w:sz w:val="20"/>
                <w:szCs w:val="20"/>
                <w:color w:val="auto"/>
              </w:rPr>
            </w:pPr>
            <w:r>
              <w:rPr>
                <w:rFonts w:ascii="Arial" w:cs="Arial" w:eastAsia="Arial" w:hAnsi="Arial"/>
                <w:sz w:val="14"/>
                <w:szCs w:val="14"/>
                <w:b w:val="1"/>
                <w:bCs w:val="1"/>
                <w:color w:val="auto"/>
                <w:w w:val="90"/>
              </w:rPr>
              <w:t>Three months and Six months ended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June 30,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ind w:right="156"/>
              <w:spacing w:after="0" w:line="149" w:lineRule="exact"/>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80" w:type="dxa"/>
            <w:vAlign w:val="bottom"/>
            <w:tcBorders>
              <w:bottom w:val="single" w:sz="8" w:color="CCEEFF"/>
            </w:tcBorders>
            <w:gridSpan w:val="3"/>
          </w:tcPr>
          <w:p>
            <w:pPr>
              <w:ind w:left="20"/>
              <w:spacing w:after="0"/>
              <w:rPr>
                <w:sz w:val="20"/>
                <w:szCs w:val="20"/>
                <w:color w:val="auto"/>
              </w:rPr>
            </w:pPr>
            <w:r>
              <w:rPr>
                <w:rFonts w:ascii="Arial" w:cs="Arial" w:eastAsia="Arial" w:hAnsi="Arial"/>
                <w:sz w:val="14"/>
                <w:szCs w:val="14"/>
                <w:color w:val="auto"/>
              </w:rPr>
              <w:t>(in thousands)</w:t>
            </w:r>
          </w:p>
        </w:tc>
        <w:tc>
          <w:tcPr>
            <w:tcW w:w="7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8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 associated with restricted stock</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Stock-based compensation expense associated with option grants</w:t>
            </w:r>
          </w:p>
        </w:tc>
        <w:tc>
          <w:tcPr>
            <w:tcW w:w="7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7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7,370</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80" w:type="dxa"/>
            <w:vAlign w:val="bottom"/>
            <w:gridSpan w:val="3"/>
            <w:vMerge w:val="restart"/>
          </w:tcPr>
          <w:p>
            <w:pPr>
              <w:ind w:left="20"/>
              <w:spacing w:after="0"/>
              <w:rPr>
                <w:sz w:val="20"/>
                <w:szCs w:val="20"/>
                <w:color w:val="auto"/>
              </w:rPr>
            </w:pPr>
            <w:r>
              <w:rPr>
                <w:rFonts w:ascii="Arial" w:cs="Arial" w:eastAsia="Arial" w:hAnsi="Arial"/>
                <w:sz w:val="18"/>
                <w:szCs w:val="18"/>
                <w:color w:val="auto"/>
              </w:rPr>
              <w:t>Warrants</w:t>
            </w: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880" w:type="dxa"/>
            <w:vAlign w:val="bottom"/>
            <w:gridSpan w:val="3"/>
            <w:vMerge w:val="continue"/>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28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6920" w:type="dxa"/>
            <w:vAlign w:val="bottom"/>
            <w:gridSpan w:val="6"/>
          </w:tcPr>
          <w:p>
            <w:pPr>
              <w:ind w:left="480"/>
              <w:spacing w:after="0"/>
              <w:rPr>
                <w:sz w:val="20"/>
                <w:szCs w:val="20"/>
                <w:color w:val="auto"/>
              </w:rPr>
            </w:pPr>
            <w:r>
              <w:rPr>
                <w:rFonts w:ascii="Arial" w:cs="Arial" w:eastAsia="Arial" w:hAnsi="Arial"/>
                <w:sz w:val="18"/>
                <w:szCs w:val="18"/>
                <w:color w:val="auto"/>
                <w:w w:val="91"/>
              </w:rPr>
              <w:t>The following table summarizes warrant activity for the six months ended June 30, 2020:</w:t>
            </w: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4"/>
              </w:rPr>
              <w:t>Weighted-</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8"/>
              </w:rPr>
              <w:t>average exercise</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ind w:right="56"/>
              <w:spacing w:after="0"/>
              <w:rPr>
                <w:sz w:val="20"/>
                <w:szCs w:val="20"/>
                <w:color w:val="auto"/>
              </w:rPr>
            </w:pPr>
            <w:r>
              <w:rPr>
                <w:rFonts w:ascii="Arial" w:cs="Arial" w:eastAsia="Arial" w:hAnsi="Arial"/>
                <w:sz w:val="14"/>
                <w:szCs w:val="14"/>
                <w:b w:val="1"/>
                <w:bCs w:val="1"/>
                <w:color w:val="auto"/>
                <w:w w:val="89"/>
              </w:rPr>
              <w:t>Aggregate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780" w:type="dxa"/>
            <w:vAlign w:val="bottom"/>
            <w:gridSpan w:val="2"/>
          </w:tcPr>
          <w:p>
            <w:pPr>
              <w:ind w:left="60"/>
              <w:spacing w:after="0"/>
              <w:rPr>
                <w:sz w:val="20"/>
                <w:szCs w:val="20"/>
                <w:color w:val="auto"/>
              </w:rPr>
            </w:pPr>
            <w:r>
              <w:rPr>
                <w:rFonts w:ascii="Arial" w:cs="Arial" w:eastAsia="Arial" w:hAnsi="Arial"/>
                <w:sz w:val="14"/>
                <w:szCs w:val="14"/>
                <w:b w:val="1"/>
                <w:bCs w:val="1"/>
                <w:color w:val="auto"/>
              </w:rPr>
              <w:t>Warrants</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5"/>
              </w:rPr>
              <w:t>price</w:t>
            </w:r>
          </w:p>
        </w:tc>
        <w:tc>
          <w:tcPr>
            <w:tcW w:w="40" w:type="dxa"/>
            <w:vAlign w:val="bottom"/>
          </w:tcPr>
          <w:p>
            <w:pPr>
              <w:spacing w:after="0"/>
              <w:rPr>
                <w:sz w:val="17"/>
                <w:szCs w:val="17"/>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intrinsic value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at December 31, 2019</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147,058</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2"/>
              </w:rPr>
              <w:t>$ 1,032,347</w:t>
            </w: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Issued</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Expired</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at June 30, 2020</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147,058</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6"/>
              </w:rPr>
              <w:t>$ 2,264,693</w:t>
            </w: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52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39" w:firstLine="492"/>
        <w:spacing w:after="0" w:line="461" w:lineRule="auto"/>
        <w:rPr>
          <w:sz w:val="20"/>
          <w:szCs w:val="20"/>
          <w:color w:val="auto"/>
        </w:rPr>
      </w:pPr>
      <w:r>
        <w:rPr>
          <w:rFonts w:ascii="Arial" w:cs="Arial" w:eastAsia="Arial" w:hAnsi="Arial"/>
          <w:sz w:val="18"/>
          <w:szCs w:val="18"/>
          <w:color w:val="auto"/>
        </w:rPr>
        <w:t xml:space="preserve">There was no stock compensation expense related to warrants during the six months ended June 30, 2020 and 2019. </w:t>
      </w:r>
      <w:r>
        <w:rPr>
          <w:rFonts w:ascii="Arial" w:cs="Arial" w:eastAsia="Arial" w:hAnsi="Arial"/>
          <w:sz w:val="18"/>
          <w:szCs w:val="18"/>
          <w:b w:val="1"/>
          <w:bCs w:val="1"/>
          <w:color w:val="auto"/>
        </w:rPr>
        <w:t>NOTE 6 OTHER LIABILITIES</w:t>
      </w:r>
    </w:p>
    <w:p>
      <w:pPr>
        <w:spacing w:after="0" w:line="1" w:lineRule="exact"/>
        <w:rPr>
          <w:sz w:val="20"/>
          <w:szCs w:val="20"/>
          <w:color w:val="auto"/>
        </w:rPr>
      </w:pPr>
    </w:p>
    <w:p>
      <w:pPr>
        <w:jc w:val="both"/>
        <w:ind w:left="60" w:right="79" w:firstLine="492"/>
        <w:spacing w:after="0" w:line="277" w:lineRule="auto"/>
        <w:rPr>
          <w:sz w:val="20"/>
          <w:szCs w:val="20"/>
          <w:color w:val="auto"/>
        </w:rPr>
      </w:pPr>
      <w:r>
        <w:rPr>
          <w:rFonts w:ascii="Arial" w:cs="Arial" w:eastAsia="Arial" w:hAnsi="Arial"/>
          <w:sz w:val="18"/>
          <w:szCs w:val="18"/>
          <w:color w:val="auto"/>
        </w:rPr>
        <w:t>The following is a summary of notes payable included in other current liabilities on the Company’s condensed consolidated balance sheets:</w:t>
      </w:r>
    </w:p>
    <w:p>
      <w:pPr>
        <w:spacing w:after="0" w:line="13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20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June 30, 2020</w:t>
            </w: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December 31, 2019</w:t>
            </w:r>
          </w:p>
        </w:tc>
        <w:tc>
          <w:tcPr>
            <w:tcW w:w="5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200" w:type="dxa"/>
            <w:vAlign w:val="bottom"/>
          </w:tcPr>
          <w:p>
            <w:pPr>
              <w:spacing w:after="0"/>
              <w:rPr>
                <w:sz w:val="10"/>
                <w:szCs w:val="10"/>
                <w:color w:val="auto"/>
              </w:rPr>
            </w:pPr>
          </w:p>
        </w:tc>
        <w:tc>
          <w:tcPr>
            <w:tcW w:w="6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8"/>
              </w:rPr>
              <w:t>Current</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Non-</w:t>
            </w: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8"/>
              </w:rPr>
              <w:t>Current</w:t>
            </w:r>
          </w:p>
        </w:tc>
        <w:tc>
          <w:tcPr>
            <w:tcW w:w="120" w:type="dxa"/>
            <w:vAlign w:val="bottom"/>
          </w:tcPr>
          <w:p>
            <w:pPr>
              <w:spacing w:after="0"/>
              <w:rPr>
                <w:sz w:val="10"/>
                <w:szCs w:val="10"/>
                <w:color w:val="auto"/>
              </w:rPr>
            </w:pPr>
          </w:p>
        </w:tc>
        <w:tc>
          <w:tcPr>
            <w:tcW w:w="68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Non-</w:t>
            </w: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current</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8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current</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6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portion,</w:t>
            </w:r>
          </w:p>
        </w:tc>
        <w:tc>
          <w:tcPr>
            <w:tcW w:w="160" w:type="dxa"/>
            <w:vAlign w:val="bottom"/>
          </w:tcPr>
          <w:p>
            <w:pPr>
              <w:spacing w:after="0"/>
              <w:rPr>
                <w:sz w:val="12"/>
                <w:szCs w:val="12"/>
                <w:color w:val="auto"/>
              </w:rPr>
            </w:pPr>
          </w:p>
        </w:tc>
        <w:tc>
          <w:tcPr>
            <w:tcW w:w="8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portion,</w:t>
            </w:r>
          </w:p>
        </w:tc>
        <w:tc>
          <w:tcPr>
            <w:tcW w:w="120" w:type="dxa"/>
            <w:vAlign w:val="bottom"/>
          </w:tcPr>
          <w:p>
            <w:pPr>
              <w:spacing w:after="0"/>
              <w:rPr>
                <w:sz w:val="12"/>
                <w:szCs w:val="12"/>
                <w:color w:val="auto"/>
              </w:rPr>
            </w:pPr>
          </w:p>
        </w:tc>
        <w:tc>
          <w:tcPr>
            <w:tcW w:w="6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Total</w:t>
            </w:r>
          </w:p>
        </w:tc>
        <w:tc>
          <w:tcPr>
            <w:tcW w:w="8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portion,</w:t>
            </w:r>
          </w:p>
        </w:tc>
        <w:tc>
          <w:tcPr>
            <w:tcW w:w="8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portion,</w:t>
            </w:r>
          </w:p>
        </w:tc>
        <w:tc>
          <w:tcPr>
            <w:tcW w:w="140" w:type="dxa"/>
            <w:vAlign w:val="bottom"/>
          </w:tcPr>
          <w:p>
            <w:pPr>
              <w:spacing w:after="0"/>
              <w:rPr>
                <w:sz w:val="12"/>
                <w:szCs w:val="12"/>
                <w:color w:val="auto"/>
              </w:rPr>
            </w:pPr>
          </w:p>
        </w:tc>
        <w:tc>
          <w:tcPr>
            <w:tcW w:w="5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center"/>
              <w:ind w:right="35"/>
              <w:spacing w:after="0"/>
              <w:rPr>
                <w:sz w:val="20"/>
                <w:szCs w:val="20"/>
                <w:color w:val="auto"/>
              </w:rPr>
            </w:pPr>
            <w:r>
              <w:rPr>
                <w:rFonts w:ascii="Arial" w:cs="Arial" w:eastAsia="Arial" w:hAnsi="Arial"/>
                <w:sz w:val="14"/>
                <w:szCs w:val="14"/>
                <w:b w:val="1"/>
                <w:bCs w:val="1"/>
                <w:color w:val="auto"/>
                <w:w w:val="85"/>
              </w:rPr>
              <w:t>net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net</w:t>
            </w:r>
          </w:p>
        </w:tc>
        <w:tc>
          <w:tcPr>
            <w:tcW w:w="12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net</w:t>
            </w:r>
          </w:p>
        </w:tc>
        <w:tc>
          <w:tcPr>
            <w:tcW w:w="120" w:type="dxa"/>
            <w:vAlign w:val="bottom"/>
          </w:tcPr>
          <w:p>
            <w:pPr>
              <w:spacing w:after="0"/>
              <w:rPr>
                <w:sz w:val="14"/>
                <w:szCs w:val="14"/>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net</w:t>
            </w:r>
          </w:p>
        </w:tc>
        <w:tc>
          <w:tcPr>
            <w:tcW w:w="14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Convertible 5% Notes Payable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00" w:type="dxa"/>
            <w:vAlign w:val="bottom"/>
          </w:tcPr>
          <w:p>
            <w:pPr>
              <w:ind w:left="100"/>
              <w:spacing w:after="0"/>
              <w:rPr>
                <w:sz w:val="20"/>
                <w:szCs w:val="20"/>
                <w:color w:val="auto"/>
              </w:rPr>
            </w:pPr>
            <w:r>
              <w:rPr>
                <w:rFonts w:ascii="Arial" w:cs="Arial" w:eastAsia="Arial" w:hAnsi="Arial"/>
                <w:sz w:val="18"/>
                <w:szCs w:val="18"/>
                <w:color w:val="auto"/>
              </w:rPr>
              <w:t>Totals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4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jc w:val="right"/>
              <w:ind w:right="195"/>
              <w:spacing w:after="0"/>
              <w:rPr>
                <w:sz w:val="20"/>
                <w:szCs w:val="20"/>
                <w:color w:val="auto"/>
              </w:rPr>
            </w:pPr>
            <w:r>
              <w:rPr>
                <w:rFonts w:ascii="Arial" w:cs="Arial" w:eastAsia="Arial" w:hAnsi="Arial"/>
                <w:sz w:val="18"/>
                <w:szCs w:val="18"/>
                <w:color w:val="auto"/>
                <w:w w:val="99"/>
              </w:rPr>
              <w:t>19</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4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Convertible 5% Notes Payable</w:t>
      </w:r>
    </w:p>
    <w:p>
      <w:pPr>
        <w:spacing w:after="0" w:line="198" w:lineRule="exact"/>
        <w:rPr>
          <w:sz w:val="20"/>
          <w:szCs w:val="20"/>
          <w:color w:val="auto"/>
        </w:rPr>
      </w:pPr>
    </w:p>
    <w:p>
      <w:pPr>
        <w:jc w:val="both"/>
        <w:ind w:left="60" w:right="79" w:firstLine="492"/>
        <w:spacing w:after="0" w:line="257" w:lineRule="auto"/>
        <w:rPr>
          <w:sz w:val="20"/>
          <w:szCs w:val="20"/>
          <w:color w:val="auto"/>
        </w:rPr>
      </w:pPr>
      <w:r>
        <w:rPr>
          <w:rFonts w:ascii="Arial" w:cs="Arial" w:eastAsia="Arial" w:hAnsi="Arial"/>
          <w:sz w:val="18"/>
          <w:szCs w:val="18"/>
          <w:color w:val="auto"/>
        </w:rPr>
        <w:t>The 5% Notes and accrued and unpaid interest thereon are convertible at the option of the holder into common stock at the conversion price of $1,125 per share. We have no obligation under the 5% Notes aside from (a) 50% of the net product cash flows from Ariston’s product candidates, if any, payable to noteholders; and (b) the conversion feature, discussed above. Interest accrues monthly, is added to principal on an annual basis, every March 8, and is payable at maturity, which was March 8, 2015 (see Note 4 for further details).</w:t>
      </w:r>
    </w:p>
    <w:p>
      <w:pPr>
        <w:spacing w:after="0" w:line="147" w:lineRule="exact"/>
        <w:rPr>
          <w:sz w:val="20"/>
          <w:szCs w:val="20"/>
          <w:color w:val="auto"/>
        </w:rPr>
      </w:pPr>
    </w:p>
    <w:p>
      <w:pPr>
        <w:jc w:val="both"/>
        <w:ind w:left="60" w:right="79" w:firstLine="492"/>
        <w:spacing w:after="0" w:line="263" w:lineRule="auto"/>
        <w:rPr>
          <w:sz w:val="20"/>
          <w:szCs w:val="20"/>
          <w:color w:val="auto"/>
        </w:rPr>
      </w:pPr>
      <w:r>
        <w:rPr>
          <w:rFonts w:ascii="Arial" w:cs="Arial" w:eastAsia="Arial" w:hAnsi="Arial"/>
          <w:sz w:val="18"/>
          <w:szCs w:val="18"/>
          <w:color w:val="auto"/>
        </w:rPr>
        <w:t>The cumulative liability including accrued and unpaid interest of these notes was approximately $19.8 million at June 30, 2020 and $19.3 million at December 31, 2019. No payments have been made on the 5% Notes as of June 30, 2020.</w:t>
      </w:r>
    </w:p>
    <w:p>
      <w:pPr>
        <w:spacing w:after="0" w:line="143" w:lineRule="exact"/>
        <w:rPr>
          <w:sz w:val="20"/>
          <w:szCs w:val="20"/>
          <w:color w:val="auto"/>
        </w:rPr>
      </w:pPr>
    </w:p>
    <w:p>
      <w:pPr>
        <w:jc w:val="both"/>
        <w:ind w:left="60" w:right="59" w:firstLine="492"/>
        <w:spacing w:after="0" w:line="263" w:lineRule="auto"/>
        <w:rPr>
          <w:sz w:val="20"/>
          <w:szCs w:val="20"/>
          <w:color w:val="auto"/>
        </w:rPr>
      </w:pPr>
      <w:r>
        <w:rPr>
          <w:rFonts w:ascii="Arial" w:cs="Arial" w:eastAsia="Arial" w:hAnsi="Arial"/>
          <w:sz w:val="18"/>
          <w:szCs w:val="18"/>
          <w:color w:val="auto"/>
        </w:rPr>
        <w:t>In December 2011, we elected the fair value option for valuing the 5% Notes. The fair value option was elected in order to reflect in our financial statements the assumptions that market participants use in evaluating these financial instruments (see Note 4 for further details).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Current Liabilities</w:t>
      </w:r>
    </w:p>
    <w:p>
      <w:pPr>
        <w:spacing w:after="0" w:line="185" w:lineRule="exact"/>
        <w:rPr>
          <w:sz w:val="20"/>
          <w:szCs w:val="20"/>
          <w:color w:val="auto"/>
        </w:rPr>
      </w:pPr>
    </w:p>
    <w:p>
      <w:pPr>
        <w:jc w:val="both"/>
        <w:ind w:left="60" w:right="59" w:firstLine="492"/>
        <w:spacing w:after="0" w:line="269" w:lineRule="auto"/>
        <w:rPr>
          <w:sz w:val="20"/>
          <w:szCs w:val="20"/>
          <w:color w:val="auto"/>
        </w:rPr>
      </w:pPr>
      <w:r>
        <w:rPr>
          <w:rFonts w:ascii="Arial" w:cs="Arial" w:eastAsia="Arial" w:hAnsi="Arial"/>
          <w:sz w:val="17"/>
          <w:szCs w:val="17"/>
          <w:color w:val="auto"/>
        </w:rPr>
        <w:t>In 2018, we entered into an agreement with a contract manufacturer for the clinical and potential commercial supply of one of our product candidates. As part of this agreement, the contract manufacturer agreed to defer payment of certain costs and expenses under the agreement in exchange for the payment of an administrative fee. We have incurred expenses related to this agreement of approximately $51.8 million as of June 30, 2020, which include service fees, raw material costs and administrative fees. Payments of $27.0 million have been made to the contract manufacturer as of June 30, 2020. Accordingly, as of June 30, 2020, $24.8 million is included in other current liabilities in the Company’s unaudited condensed consolidated balance sheet. As of June 30, 2020, there are no long-term liabilities in the Company’s unaudited condensed consolidated balance sheet related to this agreement. We will incur an administrative fee of six percent (6%) per year starting from the date of invoice issuance. For the six months ended June 30, 2020, we have accrued $2.2 million in administrative fees in connection with these costs, which has been included in interest expense in the Company’s unaudited condensed consolidated statements of operations.</w:t>
      </w:r>
    </w:p>
    <w:p>
      <w:pPr>
        <w:spacing w:after="0" w:line="13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 LONG-TERM DEBT</w:t>
      </w:r>
    </w:p>
    <w:p>
      <w:pPr>
        <w:spacing w:after="0" w:line="202" w:lineRule="exact"/>
        <w:rPr>
          <w:sz w:val="20"/>
          <w:szCs w:val="20"/>
          <w:color w:val="auto"/>
        </w:rPr>
      </w:pPr>
    </w:p>
    <w:p>
      <w:pPr>
        <w:jc w:val="both"/>
        <w:ind w:left="60" w:right="59" w:firstLine="492"/>
        <w:spacing w:after="0" w:line="291" w:lineRule="auto"/>
        <w:rPr>
          <w:sz w:val="20"/>
          <w:szCs w:val="20"/>
          <w:color w:val="auto"/>
        </w:rPr>
      </w:pPr>
      <w:r>
        <w:rPr>
          <w:rFonts w:ascii="Arial" w:cs="Arial" w:eastAsia="Arial" w:hAnsi="Arial"/>
          <w:sz w:val="16"/>
          <w:szCs w:val="16"/>
          <w:color w:val="auto"/>
        </w:rPr>
        <w:t>On February 28, 2019 (the “Closing Date”), we entered into a term loan facility of up to $60.0 million (“Term Loan”) with Hercules Capital, Inc. (“Hercules”), the proceeds of which were used for research and development programs and for general corporate purposes. The Term Loan is governed by a loan and security agreement, dated February 28, 2019 (the “Loan Agreement”), which provides for up to four separate advances. The first advance of $30.0 million was drawn on the Closing Date. Two additional advances of $10.0 million may be drawn at our option, but are subject to the clinical trial milestones identified in the Term Loan, and the fourth advance of $10.0 million, available in minimum increments of $5.0 million, is available through December 15, 2020 subject to the approval of Hercules’ investment committee.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92"/>
        <w:spacing w:after="0" w:line="285" w:lineRule="auto"/>
        <w:rPr>
          <w:sz w:val="20"/>
          <w:szCs w:val="20"/>
          <w:color w:val="auto"/>
        </w:rPr>
      </w:pPr>
      <w:r>
        <w:rPr>
          <w:rFonts w:ascii="Arial" w:cs="Arial" w:eastAsia="Arial" w:hAnsi="Arial"/>
          <w:sz w:val="16"/>
          <w:szCs w:val="16"/>
          <w:color w:val="auto"/>
        </w:rPr>
        <w:t>The Term Loan will mature on March 1, 2022 (the “Loan Maturity Date”). Each advance accrues interest at a per annum rate of interest equal to the greater of either (i) the “prime rate” as reported in The Wall Street Journal plus 4.75%, and (ii) 10.25%. The Term Loan provides for interest-only payments until October 1, 2020. The interest-only period may be extended to April 1, 2021 if, on or before September 30, 2020, we achieve either the third milestone or we have raised at least $150.0 million in unrestricted net cash proceeds from one or more equity financings, subordinated indebtedness and/or upfront proceeds from business development transactions permitted under the Loan Agreement, in each case after February 7, 2019, and prior to September 30, 2020 (“Milestone IV”). Thereafter, amortization payments will be payable monthly in eighteen installments (or, if the period requiring interest-only payments has been extended to April 1, 2021, in twelve installments) of principal and interest (subject to recalculation upon a change in prime rates). As a result of the Company having raised in excess of $150 million before the required timeline in the Loan Agreement, the interest-only period has been extended to April 1, 2021. At our option upon seven business days’ prior written notice to Hercules, we may prepay all or any portion greater than or equal to $5.0 million of the outstanding advances by paying the entire principal balance (or portion thereof), all accrued and unpaid interest, subject to a prepayment charge of 3.0%, if such advance is prepaid in any of the first twelve months following the Closing Date; 1.5%, if such advance is prepaid after twelve months following the Closing Date but on or prior to twenty-four months following the Closing Date; and 0% thereafter. In addition, a final payment equal to 3.5% of the aggregate principal amount of the loan extended by Hercules is due on the maturity date. Amounts outstanding during an event of default shall be payable on demand and accrue interest at an additional rate of 4.0% per annum of the past due amount outstanding.</w:t>
      </w:r>
    </w:p>
    <w:p>
      <w:pPr>
        <w:spacing w:after="0" w:line="144" w:lineRule="exact"/>
        <w:rPr>
          <w:sz w:val="20"/>
          <w:szCs w:val="20"/>
          <w:color w:val="auto"/>
        </w:rPr>
      </w:pPr>
    </w:p>
    <w:p>
      <w:pPr>
        <w:jc w:val="both"/>
        <w:ind w:left="60" w:right="59" w:firstLine="492"/>
        <w:spacing w:after="0" w:line="257" w:lineRule="auto"/>
        <w:rPr>
          <w:sz w:val="20"/>
          <w:szCs w:val="20"/>
          <w:color w:val="auto"/>
        </w:rPr>
      </w:pPr>
      <w:r>
        <w:rPr>
          <w:rFonts w:ascii="Arial" w:cs="Arial" w:eastAsia="Arial" w:hAnsi="Arial"/>
          <w:sz w:val="18"/>
          <w:szCs w:val="18"/>
          <w:color w:val="auto"/>
        </w:rPr>
        <w:t>The Term Loan is secured by a lien on substantially all of our assets, other than intellectual property, and contains customary covenants and representations, including a liquidity covenant, financial reporting covenant and limitations on dividends, indebtedness, collateral, investments, distributions, transfers, mergers or acquisitions, taxes, corporate changes, deposit accounts, and subsidiaries. As of June 30, 2020 and through the filing date of this report, the Company has been in compliance with all covenants.</w:t>
      </w:r>
    </w:p>
    <w:p>
      <w:pPr>
        <w:spacing w:after="0" w:line="147"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 events of default under the Loan Agreement include, without limitation, and subject to customary grace periods,</w:t>
      </w:r>
    </w:p>
    <w:p>
      <w:pPr>
        <w:spacing w:after="0" w:line="46" w:lineRule="exact"/>
        <w:rPr>
          <w:sz w:val="20"/>
          <w:szCs w:val="20"/>
          <w:color w:val="auto"/>
        </w:rPr>
      </w:pPr>
    </w:p>
    <w:p>
      <w:pPr>
        <w:jc w:val="both"/>
        <w:ind w:left="60" w:right="59" w:hanging="10"/>
        <w:spacing w:after="0" w:line="290" w:lineRule="auto"/>
        <w:tabs>
          <w:tab w:leader="none" w:pos="331"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failure to make any payments of principal or interest under the Loan Agreement, promissory notes or other loan documents, (2) our breach or default in the performance of any covenant under the Loan Agreement, (3) the occurrence of a material adverse effect, (4) a false or misleading representation or warranty in any material respect, (5) our insolvency or bankruptcy, (6) certain attachments or judgments on our assets, or (7) the occurrence of any material default under certain agreements or obligations involving indebtedness in excess of $750,000. If an event of default occurs, Hercules is entitled to take enforcement action, including acceleration of amounts due under the Loan Agreement.</w:t>
      </w:r>
    </w:p>
    <w:p>
      <w:pPr>
        <w:spacing w:after="0" w:line="123" w:lineRule="exact"/>
        <w:rPr>
          <w:sz w:val="20"/>
          <w:szCs w:val="20"/>
          <w:color w:val="auto"/>
        </w:rPr>
      </w:pPr>
    </w:p>
    <w:p>
      <w:pPr>
        <w:jc w:val="both"/>
        <w:ind w:left="60" w:right="59" w:firstLine="492"/>
        <w:spacing w:after="0" w:line="270" w:lineRule="auto"/>
        <w:rPr>
          <w:sz w:val="20"/>
          <w:szCs w:val="20"/>
          <w:color w:val="auto"/>
        </w:rPr>
      </w:pPr>
      <w:r>
        <w:rPr>
          <w:rFonts w:ascii="Arial" w:cs="Arial" w:eastAsia="Arial" w:hAnsi="Arial"/>
          <w:sz w:val="17"/>
          <w:szCs w:val="17"/>
          <w:color w:val="auto"/>
        </w:rPr>
        <w:t>The Loan Agreement also contains warrant coverage of 2% of the total amount funded. A warrant (the “Hercules Warrant”) was issued to Hercules to purchase 147,058 shares of common stock with an exercise price of $4.08. The Hercules Warrant is exercisable for seven years from the date of issuance. Hercules may exercise the Hercules Warrant either by (a) cash or check or (b) through a net issuance conversion. The shares will be registered and freely tradeable within six months of issuance. We accounted for the Hercules Warrant as an equity instrument since it was indexed to our common shares and met the criteria for classification in shareholders’ (deficit) equity. The relative fair value of the Hercules Warrant on the date of issuance was approximately $1.0 million and was treated as debt issuance costs and as an offset to the Term Loan. This amount will be amortized to interest expense using the straight-line method, which approximates the effective interest method, over the life of the Term Loan.</w:t>
      </w:r>
    </w:p>
    <w:p>
      <w:pPr>
        <w:spacing w:after="0" w:line="154" w:lineRule="exact"/>
        <w:rPr>
          <w:sz w:val="20"/>
          <w:szCs w:val="20"/>
          <w:color w:val="auto"/>
        </w:rPr>
      </w:pPr>
    </w:p>
    <w:p>
      <w:pPr>
        <w:jc w:val="both"/>
        <w:ind w:left="60" w:right="79" w:firstLine="492"/>
        <w:spacing w:after="0" w:line="277" w:lineRule="auto"/>
        <w:rPr>
          <w:sz w:val="20"/>
          <w:szCs w:val="20"/>
          <w:color w:val="auto"/>
        </w:rPr>
      </w:pPr>
      <w:r>
        <w:rPr>
          <w:rFonts w:ascii="Arial" w:cs="Arial" w:eastAsia="Arial" w:hAnsi="Arial"/>
          <w:sz w:val="18"/>
          <w:szCs w:val="18"/>
          <w:color w:val="auto"/>
        </w:rPr>
        <w:t>The Company estimated the fair value of the Warrant using the Black-Scholes model based on the following key assumptions:</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 Price</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80" w:type="dxa"/>
            <w:vAlign w:val="bottom"/>
            <w:shd w:val="clear" w:color="auto" w:fill="CCEEFF"/>
          </w:tcPr>
          <w:p>
            <w:pPr>
              <w:spacing w:after="0"/>
              <w:rPr>
                <w:sz w:val="18"/>
                <w:szCs w:val="18"/>
                <w:color w:val="auto"/>
              </w:rPr>
            </w:pPr>
          </w:p>
        </w:tc>
      </w:tr>
      <w:tr>
        <w:trPr>
          <w:trHeight w:val="216"/>
        </w:trPr>
        <w:tc>
          <w:tcPr>
            <w:tcW w:w="5340" w:type="dxa"/>
            <w:vAlign w:val="bottom"/>
          </w:tcPr>
          <w:p>
            <w:pPr>
              <w:ind w:left="20"/>
              <w:spacing w:after="0"/>
              <w:rPr>
                <w:sz w:val="20"/>
                <w:szCs w:val="20"/>
                <w:color w:val="auto"/>
              </w:rPr>
            </w:pPr>
            <w:r>
              <w:rPr>
                <w:rFonts w:ascii="Arial" w:cs="Arial" w:eastAsia="Arial" w:hAnsi="Arial"/>
                <w:sz w:val="18"/>
                <w:szCs w:val="18"/>
                <w:color w:val="auto"/>
              </w:rPr>
              <w:t>Common share price on date of issuance</w:t>
            </w:r>
          </w:p>
        </w:tc>
        <w:tc>
          <w:tcPr>
            <w:tcW w:w="25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6.80</w:t>
            </w:r>
          </w:p>
        </w:tc>
        <w:tc>
          <w:tcPr>
            <w:tcW w:w="180" w:type="dxa"/>
            <w:vAlign w:val="bottom"/>
          </w:tcPr>
          <w:p>
            <w:pPr>
              <w:spacing w:after="0"/>
              <w:rPr>
                <w:sz w:val="18"/>
                <w:szCs w:val="18"/>
                <w:color w:val="auto"/>
              </w:rPr>
            </w:pPr>
          </w:p>
        </w:tc>
      </w:tr>
      <w:tr>
        <w:trPr>
          <w:trHeight w:val="216"/>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Volatility</w:t>
            </w:r>
          </w:p>
        </w:tc>
        <w:tc>
          <w:tcPr>
            <w:tcW w:w="25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16"/>
        </w:trPr>
        <w:tc>
          <w:tcPr>
            <w:tcW w:w="534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25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2.63</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16"/>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25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5340" w:type="dxa"/>
            <w:vAlign w:val="bottom"/>
          </w:tcPr>
          <w:p>
            <w:pPr>
              <w:ind w:left="20"/>
              <w:spacing w:after="0"/>
              <w:rPr>
                <w:sz w:val="20"/>
                <w:szCs w:val="20"/>
                <w:color w:val="auto"/>
              </w:rPr>
            </w:pPr>
            <w:r>
              <w:rPr>
                <w:rFonts w:ascii="Arial" w:cs="Arial" w:eastAsia="Arial" w:hAnsi="Arial"/>
                <w:sz w:val="18"/>
                <w:szCs w:val="18"/>
                <w:color w:val="auto"/>
              </w:rPr>
              <w:t>Contractual term (in years)</w:t>
            </w:r>
          </w:p>
        </w:tc>
        <w:tc>
          <w:tcPr>
            <w:tcW w:w="25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0"/>
              </w:rPr>
              <w:t>7.00 years</w:t>
            </w:r>
          </w:p>
        </w:tc>
        <w:tc>
          <w:tcPr>
            <w:tcW w:w="18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92"/>
        <w:spacing w:after="0" w:line="272" w:lineRule="auto"/>
        <w:rPr>
          <w:sz w:val="20"/>
          <w:szCs w:val="20"/>
          <w:color w:val="auto"/>
        </w:rPr>
      </w:pPr>
      <w:r>
        <w:rPr>
          <w:rFonts w:ascii="Arial" w:cs="Arial" w:eastAsia="Arial" w:hAnsi="Arial"/>
          <w:sz w:val="17"/>
          <w:szCs w:val="17"/>
          <w:color w:val="auto"/>
        </w:rPr>
        <w:t>The Company incurred financing expenses of $2.8 million (including the fair value of the Hercules Warrant) related to the Hercules Loan Agreement which are recorded as debt issuance costs and as an offset to long-term debt on the Company’s unaudited condensed consolidated balance sheet. The debt issuance costs are being amortized over the term of the debt using the straight-line method, which approximates the effective interest method, and are included in interest expense in the Company’s unaudited condensed consolidated statements of operations. Amortization of debt issuance costs was $0.2 million and $0.5 million for the three and six months ended June 30, 2020, respectively. At June 30, 2020, the remaining unamortized balance of debt issuance costs was $1.5 million.</w:t>
      </w:r>
    </w:p>
    <w:p>
      <w:pPr>
        <w:spacing w:after="0" w:line="15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Long-term debt as of June 30, 2020 is as follows:</w:t>
      </w:r>
    </w:p>
    <w:p>
      <w:pPr>
        <w:spacing w:after="0" w:line="17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ind w:right="194"/>
              <w:spacing w:after="0"/>
              <w:rPr>
                <w:sz w:val="20"/>
                <w:szCs w:val="20"/>
                <w:color w:val="auto"/>
              </w:rPr>
            </w:pPr>
            <w:r>
              <w:rPr>
                <w:rFonts w:ascii="Arial" w:cs="Arial" w:eastAsia="Arial" w:hAnsi="Arial"/>
                <w:sz w:val="14"/>
                <w:szCs w:val="14"/>
                <w:b w:val="1"/>
                <w:bCs w:val="1"/>
                <w:color w:val="auto"/>
              </w:rPr>
              <w:t>June 30,</w:t>
            </w:r>
          </w:p>
        </w:tc>
      </w:tr>
      <w:tr>
        <w:trPr>
          <w:trHeight w:val="171"/>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2020</w:t>
            </w:r>
          </w:p>
        </w:tc>
      </w:tr>
      <w:tr>
        <w:trPr>
          <w:trHeight w:val="20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r>
      <w:tr>
        <w:trPr>
          <w:trHeight w:val="216"/>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End of term fee</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w:t>
            </w:r>
          </w:p>
        </w:tc>
      </w:tr>
      <w:tr>
        <w:trPr>
          <w:trHeight w:val="210"/>
        </w:trPr>
        <w:tc>
          <w:tcPr>
            <w:tcW w:w="7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30,975</w:t>
            </w:r>
          </w:p>
        </w:tc>
      </w:tr>
      <w:tr>
        <w:trPr>
          <w:trHeight w:val="216"/>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unamortized debt issuance costs</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(1,542)</w:t>
            </w:r>
          </w:p>
        </w:tc>
      </w:tr>
      <w:tr>
        <w:trPr>
          <w:trHeight w:val="209"/>
        </w:trPr>
        <w:tc>
          <w:tcPr>
            <w:tcW w:w="7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29,433</w:t>
            </w:r>
          </w:p>
        </w:tc>
      </w:tr>
      <w:tr>
        <w:trPr>
          <w:trHeight w:val="216"/>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portion</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(7,200)</w:t>
            </w:r>
          </w:p>
        </w:tc>
      </w:tr>
      <w:tr>
        <w:trPr>
          <w:trHeight w:val="21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non-current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22,233</w:t>
            </w:r>
          </w:p>
        </w:tc>
      </w:tr>
      <w:tr>
        <w:trPr>
          <w:trHeight w:val="20"/>
        </w:trPr>
        <w:tc>
          <w:tcPr>
            <w:tcW w:w="7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8 LEASES</w:t>
      </w:r>
    </w:p>
    <w:p>
      <w:pPr>
        <w:spacing w:after="0" w:line="189" w:lineRule="exact"/>
        <w:rPr>
          <w:sz w:val="20"/>
          <w:szCs w:val="20"/>
          <w:color w:val="auto"/>
        </w:rPr>
      </w:pPr>
    </w:p>
    <w:p>
      <w:pPr>
        <w:jc w:val="both"/>
        <w:ind w:left="60" w:right="59" w:firstLine="492"/>
        <w:spacing w:after="0" w:line="254" w:lineRule="auto"/>
        <w:rPr>
          <w:sz w:val="20"/>
          <w:szCs w:val="20"/>
          <w:color w:val="auto"/>
        </w:rPr>
      </w:pPr>
      <w:r>
        <w:rPr>
          <w:rFonts w:ascii="Arial" w:cs="Arial" w:eastAsia="Arial" w:hAnsi="Arial"/>
          <w:sz w:val="18"/>
          <w:szCs w:val="18"/>
          <w:color w:val="auto"/>
        </w:rPr>
        <w:t>In October 2014, we entered into an agreement (the “Office Agreement”) with Fortress Biotech, Inc. (“FBIO”) to occupy approximately 45% of the 24,000 square feet of New York City office space leased by FBIO. The Office Agreement requires us to pay our respective share of the average annual rent and other costs of the 15-year lease. We approximate an average annual rental obligation of $1.4 million under the Office Agreement. We began to occupy this new space in April 2016, with rental payments beginning in the third quarter of 2016. At January 1, 2019, we recognized a lease liability and corresponding Right-of-Use (“ROU”) asset of $9.5 million and $8.1 million, respectively, based on the present value of the remaining lease payments for all of our leased office spaces, the majority of which is comprised of our New York City office space.</w:t>
      </w:r>
    </w:p>
    <w:p>
      <w:pPr>
        <w:spacing w:after="0" w:line="165" w:lineRule="exact"/>
        <w:rPr>
          <w:sz w:val="20"/>
          <w:szCs w:val="20"/>
          <w:color w:val="auto"/>
        </w:rPr>
      </w:pPr>
    </w:p>
    <w:p>
      <w:pPr>
        <w:jc w:val="both"/>
        <w:ind w:left="60" w:right="59" w:firstLine="492"/>
        <w:spacing w:after="0" w:line="272" w:lineRule="auto"/>
        <w:rPr>
          <w:sz w:val="20"/>
          <w:szCs w:val="20"/>
          <w:color w:val="auto"/>
        </w:rPr>
      </w:pPr>
      <w:r>
        <w:rPr>
          <w:rFonts w:ascii="Arial" w:cs="Arial" w:eastAsia="Arial" w:hAnsi="Arial"/>
          <w:sz w:val="17"/>
          <w:szCs w:val="17"/>
          <w:color w:val="auto"/>
        </w:rPr>
        <w:t>The initial commitment period of the 45% rate was for a period of three (3) years. We and FBIO currently determine actual office space utilization annually and if our utilization differs from the amount we have been billed, we will either receive credits or be assessed incremental utilization charges. As of June 30, 2020, the allocation rate is 61% and will be evaluated again in August 2020 for the following rent year. Also in connection with this lease, in October 2014 we pledged $0.6 million to secure a line of credit as a security deposit for the Office Agreement, which has been recorded as restricted cash in the accompanying consolidated balance sheets. Additional collateral of $0.6 million was pledged in April 2018 to increase the letter of credit for the office space.</w:t>
      </w:r>
    </w:p>
    <w:p>
      <w:pPr>
        <w:spacing w:after="0" w:line="137" w:lineRule="exact"/>
        <w:rPr>
          <w:sz w:val="20"/>
          <w:szCs w:val="20"/>
          <w:color w:val="auto"/>
        </w:rPr>
      </w:pPr>
    </w:p>
    <w:p>
      <w:pPr>
        <w:jc w:val="both"/>
        <w:ind w:left="60" w:right="59" w:firstLine="492"/>
        <w:spacing w:after="0" w:line="259" w:lineRule="auto"/>
        <w:rPr>
          <w:sz w:val="20"/>
          <w:szCs w:val="20"/>
          <w:color w:val="auto"/>
        </w:rPr>
      </w:pPr>
      <w:r>
        <w:rPr>
          <w:rFonts w:ascii="Arial" w:cs="Arial" w:eastAsia="Arial" w:hAnsi="Arial"/>
          <w:sz w:val="18"/>
          <w:szCs w:val="18"/>
          <w:color w:val="auto"/>
        </w:rPr>
        <w:t>In October 2019, we finalized a five-year lease for office space in New Jersey (the “NJ Lease”). We approximate an average annual rental obligation of $0.3 million under the NJ Lease. We took possession of this space in October 2019, with rental payments beginning in November 2019. We incurred rent expense of $0.2 million for the six months ended June 30, 2020.</w:t>
      </w:r>
    </w:p>
    <w:p>
      <w:pPr>
        <w:spacing w:after="0" w:line="146" w:lineRule="exact"/>
        <w:rPr>
          <w:sz w:val="20"/>
          <w:szCs w:val="20"/>
          <w:color w:val="auto"/>
        </w:rPr>
      </w:pPr>
    </w:p>
    <w:p>
      <w:pPr>
        <w:jc w:val="both"/>
        <w:ind w:left="60" w:right="59" w:firstLine="492"/>
        <w:spacing w:after="0" w:line="257" w:lineRule="auto"/>
        <w:rPr>
          <w:sz w:val="20"/>
          <w:szCs w:val="20"/>
          <w:color w:val="auto"/>
        </w:rPr>
      </w:pPr>
      <w:r>
        <w:rPr>
          <w:rFonts w:ascii="Arial" w:cs="Arial" w:eastAsia="Arial" w:hAnsi="Arial"/>
          <w:sz w:val="18"/>
          <w:szCs w:val="18"/>
          <w:color w:val="auto"/>
        </w:rPr>
        <w:t>The present values of our lease liability and corresponding ROU asset are $11.6 million and $9.1 million, respectively, as of June 30, 2020. Our leases have remaining lease terms of less than 1 year to 12 years. One lease has a renewal option to extend the lease for an additional term of 1 year. The following components of lease expense are included in the Company’s condensed consolidated statements of operations for the three and six months ended June 30, 2020:</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11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2"/>
              </w:rPr>
              <w:t>Three months</w:t>
            </w:r>
          </w:p>
        </w:tc>
        <w:tc>
          <w:tcPr>
            <w:tcW w:w="120" w:type="dxa"/>
            <w:vAlign w:val="bottom"/>
          </w:tcPr>
          <w:p>
            <w:pPr>
              <w:spacing w:after="0"/>
              <w:rPr>
                <w:sz w:val="14"/>
                <w:szCs w:val="14"/>
                <w:color w:val="auto"/>
              </w:rPr>
            </w:pPr>
          </w:p>
        </w:tc>
        <w:tc>
          <w:tcPr>
            <w:tcW w:w="820" w:type="dxa"/>
            <w:vAlign w:val="bottom"/>
          </w:tcPr>
          <w:p>
            <w:pPr>
              <w:jc w:val="center"/>
              <w:ind w:right="22"/>
              <w:spacing w:after="0"/>
              <w:rPr>
                <w:sz w:val="20"/>
                <w:szCs w:val="20"/>
                <w:color w:val="auto"/>
              </w:rPr>
            </w:pPr>
            <w:r>
              <w:rPr>
                <w:rFonts w:ascii="Arial" w:cs="Arial" w:eastAsia="Arial" w:hAnsi="Arial"/>
                <w:sz w:val="14"/>
                <w:szCs w:val="14"/>
                <w:b w:val="1"/>
                <w:bCs w:val="1"/>
                <w:color w:val="auto"/>
                <w:w w:val="90"/>
              </w:rPr>
              <w:t>Six months</w:t>
            </w:r>
          </w:p>
        </w:tc>
      </w:tr>
      <w:tr>
        <w:trPr>
          <w:trHeight w:val="171"/>
        </w:trPr>
        <w:tc>
          <w:tcPr>
            <w:tcW w:w="6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ended,</w:t>
            </w:r>
          </w:p>
        </w:tc>
        <w:tc>
          <w:tcPr>
            <w:tcW w:w="120" w:type="dxa"/>
            <w:vAlign w:val="bottom"/>
          </w:tcPr>
          <w:p>
            <w:pPr>
              <w:spacing w:after="0"/>
              <w:rPr>
                <w:sz w:val="14"/>
                <w:szCs w:val="14"/>
                <w:color w:val="auto"/>
              </w:rPr>
            </w:pPr>
          </w:p>
        </w:tc>
        <w:tc>
          <w:tcPr>
            <w:tcW w:w="820" w:type="dxa"/>
            <w:vAlign w:val="bottom"/>
          </w:tcPr>
          <w:p>
            <w:pPr>
              <w:jc w:val="center"/>
              <w:ind w:right="22"/>
              <w:spacing w:after="0"/>
              <w:rPr>
                <w:sz w:val="20"/>
                <w:szCs w:val="20"/>
                <w:color w:val="auto"/>
              </w:rPr>
            </w:pPr>
            <w:r>
              <w:rPr>
                <w:rFonts w:ascii="Arial" w:cs="Arial" w:eastAsia="Arial" w:hAnsi="Arial"/>
                <w:sz w:val="14"/>
                <w:szCs w:val="14"/>
                <w:b w:val="1"/>
                <w:bCs w:val="1"/>
                <w:color w:val="auto"/>
                <w:w w:val="88"/>
              </w:rPr>
              <w:t>ended,</w:t>
            </w:r>
          </w:p>
        </w:tc>
      </w:tr>
      <w:tr>
        <w:trPr>
          <w:trHeight w:val="148"/>
        </w:trPr>
        <w:tc>
          <w:tcPr>
            <w:tcW w:w="6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June 30,</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center"/>
              <w:ind w:right="62"/>
              <w:spacing w:after="0" w:line="149" w:lineRule="exact"/>
              <w:rPr>
                <w:sz w:val="20"/>
                <w:szCs w:val="20"/>
                <w:color w:val="auto"/>
              </w:rPr>
            </w:pPr>
            <w:r>
              <w:rPr>
                <w:rFonts w:ascii="Arial" w:cs="Arial" w:eastAsia="Arial" w:hAnsi="Arial"/>
                <w:sz w:val="14"/>
                <w:szCs w:val="14"/>
                <w:b w:val="1"/>
                <w:bCs w:val="1"/>
                <w:color w:val="auto"/>
                <w:w w:val="92"/>
              </w:rPr>
              <w:t>June 30,</w:t>
            </w:r>
          </w:p>
        </w:tc>
      </w:tr>
      <w:tr>
        <w:trPr>
          <w:trHeight w:val="149"/>
        </w:trPr>
        <w:tc>
          <w:tcPr>
            <w:tcW w:w="6820" w:type="dxa"/>
            <w:vAlign w:val="bottom"/>
            <w:tcBorders>
              <w:bottom w:val="single" w:sz="8" w:color="CCEEFF"/>
            </w:tcBorders>
          </w:tcPr>
          <w:p>
            <w:pPr>
              <w:ind w:left="20"/>
              <w:spacing w:after="0" w:line="149" w:lineRule="exact"/>
              <w:rPr>
                <w:sz w:val="20"/>
                <w:szCs w:val="20"/>
                <w:color w:val="auto"/>
              </w:rPr>
            </w:pPr>
            <w:r>
              <w:rPr>
                <w:rFonts w:ascii="Arial" w:cs="Arial" w:eastAsia="Arial" w:hAnsi="Arial"/>
                <w:sz w:val="14"/>
                <w:szCs w:val="14"/>
                <w:color w:val="auto"/>
              </w:rPr>
              <w:t>(in thousands)</w:t>
            </w: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61"/>
              <w:spacing w:after="0" w:line="149" w:lineRule="exact"/>
              <w:rPr>
                <w:sz w:val="20"/>
                <w:szCs w:val="20"/>
                <w:color w:val="auto"/>
              </w:rPr>
            </w:pPr>
            <w:r>
              <w:rPr>
                <w:rFonts w:ascii="Arial" w:cs="Arial" w:eastAsia="Arial" w:hAnsi="Arial"/>
                <w:sz w:val="14"/>
                <w:szCs w:val="14"/>
                <w:b w:val="1"/>
                <w:bCs w:val="1"/>
                <w:color w:val="auto"/>
                <w:w w:val="96"/>
              </w:rPr>
              <w:t>2020</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center"/>
              <w:ind w:right="22"/>
              <w:spacing w:after="0" w:line="149" w:lineRule="exact"/>
              <w:rPr>
                <w:sz w:val="20"/>
                <w:szCs w:val="20"/>
                <w:color w:val="auto"/>
              </w:rPr>
            </w:pPr>
            <w:r>
              <w:rPr>
                <w:rFonts w:ascii="Arial" w:cs="Arial" w:eastAsia="Arial" w:hAnsi="Arial"/>
                <w:sz w:val="14"/>
                <w:szCs w:val="14"/>
                <w:b w:val="1"/>
                <w:bCs w:val="1"/>
                <w:color w:val="auto"/>
                <w:w w:val="89"/>
              </w:rPr>
              <w:t>2020</w:t>
            </w:r>
          </w:p>
        </w:tc>
      </w:tr>
      <w:tr>
        <w:trPr>
          <w:trHeight w:val="21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w:t>
            </w:r>
          </w:p>
        </w:tc>
      </w:tr>
      <w:tr>
        <w:trPr>
          <w:trHeight w:val="209"/>
        </w:trPr>
        <w:tc>
          <w:tcPr>
            <w:tcW w:w="6820" w:type="dxa"/>
            <w:vAlign w:val="bottom"/>
          </w:tcPr>
          <w:p>
            <w:pPr>
              <w:ind w:left="20"/>
              <w:spacing w:after="0"/>
              <w:rPr>
                <w:sz w:val="20"/>
                <w:szCs w:val="20"/>
                <w:color w:val="auto"/>
              </w:rPr>
            </w:pPr>
            <w:r>
              <w:rPr>
                <w:rFonts w:ascii="Arial" w:cs="Arial" w:eastAsia="Arial" w:hAnsi="Arial"/>
                <w:sz w:val="18"/>
                <w:szCs w:val="18"/>
                <w:color w:val="auto"/>
              </w:rPr>
              <w:t>Net lease cost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w:t>
            </w: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1,077</w:t>
            </w:r>
          </w:p>
        </w:tc>
      </w:tr>
      <w:tr>
        <w:trPr>
          <w:trHeight w:val="20"/>
        </w:trPr>
        <w:tc>
          <w:tcPr>
            <w:tcW w:w="6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60" w:right="59" w:firstLine="492"/>
        <w:spacing w:after="0" w:line="263" w:lineRule="auto"/>
        <w:rPr>
          <w:sz w:val="20"/>
          <w:szCs w:val="20"/>
          <w:color w:val="auto"/>
        </w:rPr>
      </w:pPr>
      <w:r>
        <w:rPr>
          <w:rFonts w:ascii="Arial" w:cs="Arial" w:eastAsia="Arial" w:hAnsi="Arial"/>
          <w:sz w:val="18"/>
          <w:szCs w:val="18"/>
          <w:color w:val="auto"/>
        </w:rPr>
        <w:t>As of June 30, 2020, the weighted-average remaining operating lease term was 8.0 years and the weighted-average discount rate for operating leases was 10.25%. Cash paid for amounts included in the measurement of operating lease liabilities during the six months ended June 30, 2020 was $2.4 million.</w:t>
      </w:r>
    </w:p>
    <w:p>
      <w:pPr>
        <w:spacing w:after="0" w:line="15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balance sheet classification of lease liabilities was as follows:</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ind w:right="95"/>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71"/>
        </w:trPr>
        <w:tc>
          <w:tcPr>
            <w:tcW w:w="78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(in thousands)</w:t>
            </w: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210"/>
        </w:trPr>
        <w:tc>
          <w:tcPr>
            <w:tcW w:w="78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gridSpan w:val="2"/>
          </w:tcPr>
          <w:p>
            <w:pPr>
              <w:ind w:left="20"/>
              <w:spacing w:after="0"/>
              <w:rPr>
                <w:sz w:val="20"/>
                <w:szCs w:val="20"/>
                <w:color w:val="auto"/>
              </w:rPr>
            </w:pPr>
            <w:r>
              <w:rPr>
                <w:rFonts w:ascii="Arial" w:cs="Arial" w:eastAsia="Arial" w:hAnsi="Arial"/>
                <w:sz w:val="18"/>
                <w:szCs w:val="18"/>
                <w:color w:val="auto"/>
              </w:rPr>
              <w:t>Lease liability current portion</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1,655</w:t>
            </w:r>
          </w:p>
        </w:tc>
        <w:tc>
          <w:tcPr>
            <w:tcW w:w="0" w:type="dxa"/>
            <w:vAlign w:val="bottom"/>
          </w:tcPr>
          <w:p>
            <w:pPr>
              <w:spacing w:after="0"/>
              <w:rPr>
                <w:sz w:val="1"/>
                <w:szCs w:val="1"/>
                <w:color w:val="auto"/>
              </w:rPr>
            </w:pPr>
          </w:p>
        </w:tc>
      </w:tr>
      <w:tr>
        <w:trPr>
          <w:trHeight w:val="216"/>
        </w:trPr>
        <w:tc>
          <w:tcPr>
            <w:tcW w:w="7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Lease liability non-current</w:t>
            </w: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9,938</w:t>
            </w:r>
          </w:p>
        </w:tc>
        <w:tc>
          <w:tcPr>
            <w:tcW w:w="0" w:type="dxa"/>
            <w:vAlign w:val="bottom"/>
          </w:tcPr>
          <w:p>
            <w:pPr>
              <w:spacing w:after="0"/>
              <w:rPr>
                <w:sz w:val="1"/>
                <w:szCs w:val="1"/>
                <w:color w:val="auto"/>
              </w:rPr>
            </w:pPr>
          </w:p>
        </w:tc>
      </w:tr>
      <w:tr>
        <w:trPr>
          <w:trHeight w:val="210"/>
        </w:trPr>
        <w:tc>
          <w:tcPr>
            <w:tcW w:w="7820" w:type="dxa"/>
            <w:vAlign w:val="bottom"/>
            <w:gridSpan w:val="2"/>
          </w:tcPr>
          <w:p>
            <w:pPr>
              <w:ind w:left="560"/>
              <w:spacing w:after="0"/>
              <w:rPr>
                <w:sz w:val="20"/>
                <w:szCs w:val="20"/>
                <w:color w:val="auto"/>
              </w:rPr>
            </w:pPr>
            <w:r>
              <w:rPr>
                <w:rFonts w:ascii="Arial" w:cs="Arial" w:eastAsia="Arial" w:hAnsi="Arial"/>
                <w:sz w:val="18"/>
                <w:szCs w:val="18"/>
                <w:color w:val="auto"/>
              </w:rPr>
              <w:t>Total lease liability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11,593</w:t>
            </w:r>
          </w:p>
        </w:tc>
        <w:tc>
          <w:tcPr>
            <w:tcW w:w="0" w:type="dxa"/>
            <w:vAlign w:val="bottom"/>
          </w:tcPr>
          <w:p>
            <w:pPr>
              <w:spacing w:after="0"/>
              <w:rPr>
                <w:sz w:val="1"/>
                <w:szCs w:val="1"/>
                <w:color w:val="auto"/>
              </w:rPr>
            </w:pPr>
          </w:p>
        </w:tc>
      </w:tr>
      <w:tr>
        <w:trPr>
          <w:trHeight w:val="20"/>
        </w:trPr>
        <w:tc>
          <w:tcPr>
            <w:tcW w:w="7820" w:type="dxa"/>
            <w:vAlign w:val="bottom"/>
            <w:gridSpan w:val="2"/>
            <w:vMerge w:val="restart"/>
          </w:tcPr>
          <w:p>
            <w:pPr>
              <w:ind w:left="500"/>
              <w:spacing w:after="0"/>
              <w:rPr>
                <w:sz w:val="20"/>
                <w:szCs w:val="20"/>
                <w:color w:val="auto"/>
              </w:rPr>
            </w:pPr>
            <w:r>
              <w:rPr>
                <w:rFonts w:ascii="Arial" w:cs="Arial" w:eastAsia="Arial" w:hAnsi="Arial"/>
                <w:sz w:val="18"/>
                <w:szCs w:val="18"/>
                <w:color w:val="auto"/>
              </w:rPr>
              <w:t>As of June 30, 2020, the maturities of lease liabilities were as follows:</w:t>
            </w: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82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24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center"/>
              <w:ind w:right="55"/>
              <w:spacing w:after="0"/>
              <w:rPr>
                <w:sz w:val="20"/>
                <w:szCs w:val="20"/>
                <w:color w:val="auto"/>
              </w:rPr>
            </w:pPr>
            <w:r>
              <w:rPr>
                <w:rFonts w:ascii="Arial" w:cs="Arial" w:eastAsia="Arial" w:hAnsi="Arial"/>
                <w:sz w:val="14"/>
                <w:szCs w:val="14"/>
                <w:b w:val="1"/>
                <w:bCs w:val="1"/>
                <w:color w:val="auto"/>
                <w:w w:val="93"/>
              </w:rPr>
              <w:t>Operating</w:t>
            </w:r>
          </w:p>
        </w:tc>
        <w:tc>
          <w:tcPr>
            <w:tcW w:w="0" w:type="dxa"/>
            <w:vAlign w:val="bottom"/>
          </w:tcPr>
          <w:p>
            <w:pPr>
              <w:spacing w:after="0"/>
              <w:rPr>
                <w:sz w:val="1"/>
                <w:szCs w:val="1"/>
                <w:color w:val="auto"/>
              </w:rPr>
            </w:pPr>
          </w:p>
        </w:tc>
      </w:tr>
      <w:tr>
        <w:trPr>
          <w:trHeight w:val="171"/>
        </w:trPr>
        <w:tc>
          <w:tcPr>
            <w:tcW w:w="78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(in thousands)</w:t>
            </w: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leases</w:t>
            </w:r>
          </w:p>
        </w:tc>
        <w:tc>
          <w:tcPr>
            <w:tcW w:w="0" w:type="dxa"/>
            <w:vAlign w:val="bottom"/>
          </w:tcPr>
          <w:p>
            <w:pPr>
              <w:spacing w:after="0"/>
              <w:rPr>
                <w:sz w:val="1"/>
                <w:szCs w:val="1"/>
                <w:color w:val="auto"/>
              </w:rPr>
            </w:pPr>
          </w:p>
        </w:tc>
      </w:tr>
      <w:tr>
        <w:trPr>
          <w:trHeight w:val="209"/>
        </w:trPr>
        <w:tc>
          <w:tcPr>
            <w:tcW w:w="7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Remainder of 2020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0" w:type="dxa"/>
            <w:vAlign w:val="bottom"/>
          </w:tcPr>
          <w:p>
            <w:pPr>
              <w:spacing w:after="0"/>
              <w:rPr>
                <w:sz w:val="1"/>
                <w:szCs w:val="1"/>
                <w:color w:val="auto"/>
              </w:rPr>
            </w:pPr>
          </w:p>
        </w:tc>
      </w:tr>
      <w:tr>
        <w:trPr>
          <w:trHeight w:val="216"/>
        </w:trPr>
        <w:tc>
          <w:tcPr>
            <w:tcW w:w="2240" w:type="dxa"/>
            <w:vAlign w:val="bottom"/>
          </w:tcPr>
          <w:p>
            <w:pPr>
              <w:ind w:left="20"/>
              <w:spacing w:after="0"/>
              <w:rPr>
                <w:sz w:val="20"/>
                <w:szCs w:val="20"/>
                <w:color w:val="auto"/>
              </w:rPr>
            </w:pPr>
            <w:r>
              <w:rPr>
                <w:rFonts w:ascii="Arial" w:cs="Arial" w:eastAsia="Arial" w:hAnsi="Arial"/>
                <w:sz w:val="18"/>
                <w:szCs w:val="18"/>
                <w:color w:val="auto"/>
              </w:rPr>
              <w:t>2021</w:t>
            </w:r>
          </w:p>
        </w:tc>
        <w:tc>
          <w:tcPr>
            <w:tcW w:w="5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1,889</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5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w:t>
            </w:r>
          </w:p>
        </w:tc>
        <w:tc>
          <w:tcPr>
            <w:tcW w:w="0" w:type="dxa"/>
            <w:vAlign w:val="bottom"/>
          </w:tcPr>
          <w:p>
            <w:pPr>
              <w:spacing w:after="0"/>
              <w:rPr>
                <w:sz w:val="1"/>
                <w:szCs w:val="1"/>
                <w:color w:val="auto"/>
              </w:rPr>
            </w:pPr>
          </w:p>
        </w:tc>
      </w:tr>
      <w:tr>
        <w:trPr>
          <w:trHeight w:val="216"/>
        </w:trPr>
        <w:tc>
          <w:tcPr>
            <w:tcW w:w="2240" w:type="dxa"/>
            <w:vAlign w:val="bottom"/>
          </w:tcPr>
          <w:p>
            <w:pPr>
              <w:ind w:left="20"/>
              <w:spacing w:after="0"/>
              <w:rPr>
                <w:sz w:val="20"/>
                <w:szCs w:val="20"/>
                <w:color w:val="auto"/>
              </w:rPr>
            </w:pPr>
            <w:r>
              <w:rPr>
                <w:rFonts w:ascii="Arial" w:cs="Arial" w:eastAsia="Arial" w:hAnsi="Arial"/>
                <w:sz w:val="18"/>
                <w:szCs w:val="18"/>
                <w:color w:val="auto"/>
              </w:rPr>
              <w:t>2023</w:t>
            </w:r>
          </w:p>
        </w:tc>
        <w:tc>
          <w:tcPr>
            <w:tcW w:w="5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1,913</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5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1,796</w:t>
            </w:r>
          </w:p>
        </w:tc>
        <w:tc>
          <w:tcPr>
            <w:tcW w:w="0" w:type="dxa"/>
            <w:vAlign w:val="bottom"/>
          </w:tcPr>
          <w:p>
            <w:pPr>
              <w:spacing w:after="0"/>
              <w:rPr>
                <w:sz w:val="1"/>
                <w:szCs w:val="1"/>
                <w:color w:val="auto"/>
              </w:rPr>
            </w:pPr>
          </w:p>
        </w:tc>
      </w:tr>
      <w:tr>
        <w:trPr>
          <w:trHeight w:val="216"/>
        </w:trPr>
        <w:tc>
          <w:tcPr>
            <w:tcW w:w="78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After 2024</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10,615</w:t>
            </w:r>
          </w:p>
        </w:tc>
        <w:tc>
          <w:tcPr>
            <w:tcW w:w="0" w:type="dxa"/>
            <w:vAlign w:val="bottom"/>
          </w:tcPr>
          <w:p>
            <w:pPr>
              <w:spacing w:after="0"/>
              <w:rPr>
                <w:sz w:val="1"/>
                <w:szCs w:val="1"/>
                <w:color w:val="auto"/>
              </w:rPr>
            </w:pPr>
          </w:p>
        </w:tc>
      </w:tr>
      <w:tr>
        <w:trPr>
          <w:trHeight w:val="210"/>
        </w:trPr>
        <w:tc>
          <w:tcPr>
            <w:tcW w:w="7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19,072</w:t>
            </w:r>
          </w:p>
        </w:tc>
        <w:tc>
          <w:tcPr>
            <w:tcW w:w="0" w:type="dxa"/>
            <w:vAlign w:val="bottom"/>
          </w:tcPr>
          <w:p>
            <w:pPr>
              <w:spacing w:after="0"/>
              <w:rPr>
                <w:sz w:val="1"/>
                <w:szCs w:val="1"/>
                <w:color w:val="auto"/>
              </w:rPr>
            </w:pPr>
          </w:p>
        </w:tc>
      </w:tr>
      <w:tr>
        <w:trPr>
          <w:trHeight w:val="216"/>
        </w:trPr>
        <w:tc>
          <w:tcPr>
            <w:tcW w:w="78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interest</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(7,479)</w:t>
            </w:r>
          </w:p>
        </w:tc>
        <w:tc>
          <w:tcPr>
            <w:tcW w:w="0" w:type="dxa"/>
            <w:vAlign w:val="bottom"/>
          </w:tcPr>
          <w:p>
            <w:pPr>
              <w:spacing w:after="0"/>
              <w:rPr>
                <w:sz w:val="1"/>
                <w:szCs w:val="1"/>
                <w:color w:val="auto"/>
              </w:rPr>
            </w:pPr>
          </w:p>
        </w:tc>
      </w:tr>
      <w:tr>
        <w:trPr>
          <w:trHeight w:val="210"/>
        </w:trPr>
        <w:tc>
          <w:tcPr>
            <w:tcW w:w="7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11,593</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5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ind w:left="380" w:right="739" w:hanging="330"/>
        <w:spacing w:after="0" w:line="259" w:lineRule="auto"/>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 our leases do not provide an implicit rate, we use our incremental borrowing rate based on the information available at commencement date and considering the term of the lease to determine the present value of lease payments. We used the incremental borrowing rate of 10.25% on February 28, 2019, for operating leases that commenced prior to that date.</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9 LICENSE AGREEMENTS</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TG-1101 (Ublituximab)</w:t>
      </w:r>
    </w:p>
    <w:p>
      <w:pPr>
        <w:spacing w:after="0" w:line="185" w:lineRule="exact"/>
        <w:rPr>
          <w:sz w:val="20"/>
          <w:szCs w:val="20"/>
          <w:color w:val="auto"/>
        </w:rPr>
      </w:pPr>
    </w:p>
    <w:p>
      <w:pPr>
        <w:jc w:val="both"/>
        <w:ind w:left="60" w:right="59" w:firstLine="492"/>
        <w:spacing w:after="0" w:line="286" w:lineRule="auto"/>
        <w:rPr>
          <w:sz w:val="20"/>
          <w:szCs w:val="20"/>
          <w:color w:val="auto"/>
        </w:rPr>
      </w:pPr>
      <w:r>
        <w:rPr>
          <w:rFonts w:ascii="Arial" w:cs="Arial" w:eastAsia="Arial" w:hAnsi="Arial"/>
          <w:sz w:val="16"/>
          <w:szCs w:val="16"/>
          <w:color w:val="auto"/>
        </w:rPr>
        <w:t>In November 2012, we entered into an exclusive (within the territory) sublicense agreement with Ildong Pharmaceutical Co. Ltd. (“Ildong”) relating to the development and commercialization of ublituximab in South Korea and Southeast Asia. Under the terms of the sublicense agreement, Ildong has been granted a royalty bearing, exclusive right, including the right to grant sublicenses, to develop and commercialize ublituximab in South Korea, Taiwan, Singapore, Indonesia, Malaysia, Thailand, Philippines, Vietnam, and Myanmar. An upfront payment of $2.0 million, which was received in December 2012, net of $0.3 million of income tax withholdings, is being recognized as license revenue on a straight-line basis over the life of the agreement, which is through the expiration of the last licensed patent right or 15 years after the first commercial sale of a product in such country, unless the agreement is earlier terminated, and represents the estimated period over which we will have certain ongoing responsibilities under the sublicense agreement. We recorded license revenue of approximately $38,000 for each of the three months ended June 30, 2020 and 2019, and approximately $76,000 for each of the six months ended June 30, 2020 and 2019, and, at June 30, 2020 and December 31, 2019, have deferred revenue of approximately $0.8 million and $0.9 million, respectively, associated with this $2 million payment (approximately $152,000 of which has been classified in current liabilities at June 30, 2020 and December 31, 2019).</w:t>
      </w:r>
    </w:p>
    <w:p>
      <w:pPr>
        <w:spacing w:after="0" w:line="133" w:lineRule="exact"/>
        <w:rPr>
          <w:sz w:val="20"/>
          <w:szCs w:val="20"/>
          <w:color w:val="auto"/>
        </w:rPr>
      </w:pPr>
    </w:p>
    <w:p>
      <w:pPr>
        <w:jc w:val="both"/>
        <w:ind w:left="60" w:right="59" w:firstLine="492"/>
        <w:spacing w:after="0" w:line="263" w:lineRule="auto"/>
        <w:rPr>
          <w:sz w:val="20"/>
          <w:szCs w:val="20"/>
          <w:color w:val="auto"/>
        </w:rPr>
      </w:pPr>
      <w:r>
        <w:rPr>
          <w:rFonts w:ascii="Arial" w:cs="Arial" w:eastAsia="Arial" w:hAnsi="Arial"/>
          <w:sz w:val="18"/>
          <w:szCs w:val="18"/>
          <w:color w:val="auto"/>
        </w:rPr>
        <w:t>We may receive up to an additional $5.0 million in payments upon the achievement of pre-specified milestones. In addition, upon commercialization, Ildong will make royalty payments to us on net sales of ublituximab in the sublicense territory.</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TG-1501: PDL1 (Cosibelimab)</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In March 2015, we entered into a Global Collaboration Agreement (“Collaboration Agreement”) with Checkpoint Therapeutics, Inc. (“Checkpoint”) for the development and commercialization of anti-PD-L1 and anti-GITR antibody research programs in the field of hematological malignancies. The Collaboration Agreement was amended in June 2019 and in March of 2020 achieved the first Milestone event for which we incurred expenses of zero and approximately $0.9 million for the three and six months ended June 30, 2020.</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TG-1601: BET</w:t>
      </w:r>
    </w:p>
    <w:p>
      <w:pPr>
        <w:spacing w:after="0" w:line="198" w:lineRule="exact"/>
        <w:rPr>
          <w:sz w:val="20"/>
          <w:szCs w:val="20"/>
          <w:color w:val="auto"/>
        </w:rPr>
      </w:pPr>
    </w:p>
    <w:p>
      <w:pPr>
        <w:jc w:val="both"/>
        <w:ind w:left="60" w:right="59" w:firstLine="492"/>
        <w:spacing w:after="0" w:line="263" w:lineRule="auto"/>
        <w:rPr>
          <w:sz w:val="20"/>
          <w:szCs w:val="20"/>
          <w:color w:val="auto"/>
        </w:rPr>
      </w:pPr>
      <w:r>
        <w:rPr>
          <w:rFonts w:ascii="Arial" w:cs="Arial" w:eastAsia="Arial" w:hAnsi="Arial"/>
          <w:sz w:val="18"/>
          <w:szCs w:val="18"/>
          <w:color w:val="auto"/>
        </w:rPr>
        <w:t>In May 2016, as part of a broader agreement with Jubilant Biosys (“Jubilant”), we entered into a sub-license agreement (“JBET Agreement”) with Checkpoint (see Note 10), for the development and commercialization of Jubilant’s novel BET inhibitor program in the field of hematological malignancies.</w:t>
      </w:r>
    </w:p>
    <w:p>
      <w:pPr>
        <w:spacing w:after="0" w:line="143" w:lineRule="exact"/>
        <w:rPr>
          <w:sz w:val="20"/>
          <w:szCs w:val="20"/>
          <w:color w:val="auto"/>
        </w:rPr>
      </w:pPr>
    </w:p>
    <w:p>
      <w:pPr>
        <w:jc w:val="both"/>
        <w:ind w:left="60" w:right="79" w:firstLine="492"/>
        <w:spacing w:after="0" w:line="259" w:lineRule="auto"/>
        <w:rPr>
          <w:sz w:val="20"/>
          <w:szCs w:val="20"/>
          <w:color w:val="auto"/>
        </w:rPr>
      </w:pPr>
      <w:r>
        <w:rPr>
          <w:rFonts w:ascii="Arial" w:cs="Arial" w:eastAsia="Arial" w:hAnsi="Arial"/>
          <w:sz w:val="18"/>
          <w:szCs w:val="18"/>
          <w:color w:val="auto"/>
        </w:rPr>
        <w:t>Under the terms of the agreement, we paid Checkpoint an up-front licensing fee of $1.0 million and will make additional payments contingent on certain preclinical, clinical, and regulatory milestones, including commercial milestones totaling up to approximately $177 million and a single-digit royalty on net sales. TG will also provide funding to support certain targeted research efforts at Jubilant.</w:t>
      </w:r>
    </w:p>
    <w:p>
      <w:pPr>
        <w:spacing w:after="0" w:line="146"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TG-1701: BTK</w:t>
      </w:r>
    </w:p>
    <w:p>
      <w:pPr>
        <w:spacing w:after="0" w:line="198" w:lineRule="exact"/>
        <w:rPr>
          <w:sz w:val="20"/>
          <w:szCs w:val="20"/>
          <w:color w:val="auto"/>
        </w:rPr>
      </w:pPr>
    </w:p>
    <w:p>
      <w:pPr>
        <w:jc w:val="both"/>
        <w:ind w:left="60" w:right="59" w:firstLine="492"/>
        <w:spacing w:after="0" w:line="268" w:lineRule="auto"/>
        <w:rPr>
          <w:sz w:val="20"/>
          <w:szCs w:val="20"/>
          <w:color w:val="auto"/>
        </w:rPr>
      </w:pPr>
      <w:r>
        <w:rPr>
          <w:rFonts w:ascii="Arial" w:cs="Arial" w:eastAsia="Arial" w:hAnsi="Arial"/>
          <w:sz w:val="17"/>
          <w:szCs w:val="17"/>
          <w:color w:val="auto"/>
        </w:rPr>
        <w:t>In January 2018, we entered into a global exclusive license agreement with Jiangsu Hengrui Medicine Co. (“Hengrui”), to acquire worldwide intellectual property rights, excluding Asia but including Japan, and for the research, development, manufacturing, and commercialization of products containing or comprising of any of Hengrui’s Brutons Tyrosine Kinase inhibitors containing the compounds of either TG-1701 (SHR1459 or EBI1459) or TG1702 (SHR1266 or EBI1266). Pursuant to the agreement, in April 2018, we paid Hengrui an upfront fee of $1.0 million in our common stock recorded to noncash stock expense associated with in-licensing agreements in our condensed consolidated statement of operations. In addition, in July 2019, we paid Hengrui the first milestone of $0.1 million in our common stock recorded to noncash stock expense associated with in-licensing agreements in our consolidated statement of operations. Hengrui is eligible to receive milestone payments totaling approximately $350 million upon and subject to the achievement of certain milestones. Various provisions allow for payments in conjunction with the agreement to be made in cash or our common stock, while others limit the form of payment. Royalty payments in the low double digits are due on net sales of licensed products and revenue from sublicenses. We incurred expenses of approximately $0.9 million and $0.5 million for the three months ended June 30, 2020 and 2019, respectively, and, $1.8 million and $0.5 million for the six months ended June 30, 2020 and 2019, respectively, the majority of which relates to manufacturing expenses of BTK. The relevant expenses are recorded in other research and development in the accompanying unaudited condensed consolidated statement of operations.</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TG-1801: anti-CD47/anti-CD19</w:t>
      </w:r>
    </w:p>
    <w:p>
      <w:pPr>
        <w:spacing w:after="0" w:line="185" w:lineRule="exact"/>
        <w:rPr>
          <w:sz w:val="20"/>
          <w:szCs w:val="20"/>
          <w:color w:val="auto"/>
        </w:rPr>
      </w:pPr>
    </w:p>
    <w:p>
      <w:pPr>
        <w:jc w:val="both"/>
        <w:ind w:left="60" w:right="59" w:firstLine="492"/>
        <w:spacing w:after="0" w:line="268" w:lineRule="auto"/>
        <w:rPr>
          <w:sz w:val="20"/>
          <w:szCs w:val="20"/>
          <w:color w:val="auto"/>
        </w:rPr>
      </w:pPr>
      <w:r>
        <w:rPr>
          <w:rFonts w:ascii="Arial" w:cs="Arial" w:eastAsia="Arial" w:hAnsi="Arial"/>
          <w:sz w:val="17"/>
          <w:szCs w:val="17"/>
          <w:color w:val="auto"/>
        </w:rPr>
        <w:t>In June 2018, we entered into a Joint Venture and License Option Agreement with Novimmune SA (“Novimmune”) to collaborate on the development and commercialization of Novimmune’s novel first-in-class anti-CD47/anti-CD19 bispecific antibody known as TG-1801 (previously NI-1701). The companies will jointly develop the product on a worldwide basis, focusing on indications in the area of hematologic B-cell malignancies. We serve as the primary responsible party for the development, manufacturing and commercialization of the product. Pursuant to the agreement, in June 2018 we paid Novimmune an upfront payment of $3.0 million in our common stock recorded to noncash stock expense associated with in-licensing agreements in our consolidated statement of operations. Further milestone payments will be paid based on early clinical development, and the Company will be responsible for the costs of clinical development of the product through the end of the Phase 2 clinical trials, after which the Company and Novimmune will be jointly responsible for all development and commercialization costs. The Company and Novimmune will each maintain an exclusive option, exercisable at specific times during development, for the Company to license the rights to TG-1801, in which case Novimmune is eligible to receive additional milestone payments totaling approximately $185 million as well as tiered royalties on net sales in the high single to low double digits upon and subject to the achievement of certain milestones.</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10 RELATED PARTY TRANSACTIONS</w:t>
      </w:r>
    </w:p>
    <w:p>
      <w:pPr>
        <w:spacing w:after="0" w:line="202" w:lineRule="exact"/>
        <w:rPr>
          <w:sz w:val="20"/>
          <w:szCs w:val="20"/>
          <w:color w:val="auto"/>
        </w:rPr>
      </w:pPr>
    </w:p>
    <w:p>
      <w:pPr>
        <w:jc w:val="both"/>
        <w:ind w:left="60" w:right="59" w:firstLine="492"/>
        <w:spacing w:after="0" w:line="254" w:lineRule="auto"/>
        <w:rPr>
          <w:sz w:val="20"/>
          <w:szCs w:val="20"/>
          <w:color w:val="auto"/>
        </w:rPr>
      </w:pPr>
      <w:r>
        <w:rPr>
          <w:rFonts w:ascii="Arial" w:cs="Arial" w:eastAsia="Arial" w:hAnsi="Arial"/>
          <w:sz w:val="18"/>
          <w:szCs w:val="18"/>
          <w:color w:val="auto"/>
        </w:rPr>
        <w:t>In October 2014, we entered into the Office Agreement with FBIO, to occupy approximately 45% of the 24,000 square feet of New York City office space leased by FBIO. The Office Agreement requires us to pay our respective share of the average annual rent and other costs of the 15-year lease. We approximate an average annual rental obligation of $1.1 million under the Office Agreement. We began to occupy this new space in April 2016, with rental payments beginning in the third quarter of 2016. At January 1, 2019, we recognized a lease liability of $9.3 million, with a corresponding ROU asset of $7.7 million based on the present value of the remaining lease payments for all of our leased office spaces, the majority of which is comprised of our New York City office space. Mr. Weiss, our Executive Chairman and CEO, is also Executive Vice Chairman of FBIO.</w:t>
      </w:r>
    </w:p>
    <w:p>
      <w:pPr>
        <w:spacing w:after="0" w:line="151" w:lineRule="exact"/>
        <w:rPr>
          <w:sz w:val="20"/>
          <w:szCs w:val="20"/>
          <w:color w:val="auto"/>
        </w:rPr>
      </w:pPr>
    </w:p>
    <w:p>
      <w:pPr>
        <w:jc w:val="both"/>
        <w:ind w:left="60" w:right="59" w:firstLine="492"/>
        <w:spacing w:after="0" w:line="269" w:lineRule="auto"/>
        <w:rPr>
          <w:sz w:val="20"/>
          <w:szCs w:val="20"/>
          <w:color w:val="auto"/>
        </w:rPr>
      </w:pPr>
      <w:r>
        <w:rPr>
          <w:rFonts w:ascii="Arial" w:cs="Arial" w:eastAsia="Arial" w:hAnsi="Arial"/>
          <w:sz w:val="17"/>
          <w:szCs w:val="17"/>
          <w:color w:val="auto"/>
        </w:rPr>
        <w:t>Under the Office Agreement, we agreed to pay FBIO our portion of the build out costs, which have been allocated to us at the 45% rate mentioned above. The allocated build-out costs have been recorded in Leasehold Interest, net on the Company's condensed consolidated balance sheets and will be amortized over the 15-year term of the Office Agreement. The initial commitment period of the 45% rate was for a period of three (3) years. We and FBIO currently determine actual office space utilization annually and if our utilization differs from the amount we have been billed, we will either receive credits or be assessed incremental utilization charges. As of June 30, 2020, the allocation rate is 61% and will be evaluated again in August 2020 for the following rent year. Also, in connection with this lease, in October 2014 we pledged $0.6 million to secure a line of credit as a security deposit for the Office Agreement, which has been recorded as restricted cash in the accompanying consolidated balance sheets. Additional collateral of $0.6 million was pledged in April 2018 to increase the letter of credit for the office space.</w:t>
      </w:r>
    </w:p>
    <w:p>
      <w:pPr>
        <w:spacing w:after="0" w:line="145" w:lineRule="exact"/>
        <w:rPr>
          <w:sz w:val="20"/>
          <w:szCs w:val="20"/>
          <w:color w:val="auto"/>
        </w:rPr>
      </w:pPr>
    </w:p>
    <w:p>
      <w:pPr>
        <w:jc w:val="both"/>
        <w:ind w:left="60" w:right="59" w:firstLine="537"/>
        <w:spacing w:after="0" w:line="255" w:lineRule="auto"/>
        <w:rPr>
          <w:sz w:val="20"/>
          <w:szCs w:val="20"/>
          <w:color w:val="auto"/>
        </w:rPr>
      </w:pPr>
      <w:r>
        <w:rPr>
          <w:rFonts w:ascii="Arial" w:cs="Arial" w:eastAsia="Arial" w:hAnsi="Arial"/>
          <w:sz w:val="18"/>
          <w:szCs w:val="18"/>
          <w:color w:val="auto"/>
        </w:rPr>
        <w:t>In July 2015, we entered into a Shared Services Agreement (the “Shared Services Agreement”) with FBIO to share the cost of certain services such as facilities use, personnel costs and other overhead and administrative costs. This Shared Services Agreement requires us to pay our respective share of services utilized. In connection with the Shared Services Agreement, we incurred expenses of approximately $0.4 million for shared services for each of the six months ended June 30, 2020 and 2019, and expenses of approximately $0.2 million for each of the three months ended June 30, 2020 and 2019, primarily related to shared personnel.</w:t>
      </w:r>
    </w:p>
    <w:p>
      <w:pPr>
        <w:spacing w:after="0" w:line="165" w:lineRule="exact"/>
        <w:rPr>
          <w:sz w:val="20"/>
          <w:szCs w:val="20"/>
          <w:color w:val="auto"/>
        </w:rPr>
      </w:pPr>
    </w:p>
    <w:p>
      <w:pPr>
        <w:jc w:val="both"/>
        <w:ind w:left="60" w:right="59" w:firstLine="492"/>
        <w:spacing w:after="0" w:line="255" w:lineRule="auto"/>
        <w:rPr>
          <w:sz w:val="20"/>
          <w:szCs w:val="20"/>
          <w:color w:val="auto"/>
        </w:rPr>
      </w:pPr>
      <w:r>
        <w:rPr>
          <w:rFonts w:ascii="Arial" w:cs="Arial" w:eastAsia="Arial" w:hAnsi="Arial"/>
          <w:sz w:val="18"/>
          <w:szCs w:val="18"/>
          <w:color w:val="auto"/>
        </w:rPr>
        <w:t>In March 2015, we entered into a Global Collaboration Agreement (“Collaboration Agreement”) with Checkpoint for the development and commercialization of anti-PD-L1 and anti-GITR antibody research programs in the field of hematological malignancies. The Collaboration Agreement was amended in June 2019 and upon execution of the amendment we incurred an upfront fee of $1.0 million. We incurred expenses of approximately $1.0 million and $1.4 million for the six months ended June 30, 2020 and 2019, respectively, and expenses of approximately $0.04 million and $1.1 million for the three months ended June 30,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39" w:lineRule="exact"/>
        <w:rPr>
          <w:sz w:val="20"/>
          <w:szCs w:val="20"/>
          <w:color w:val="auto"/>
        </w:rPr>
      </w:pPr>
    </w:p>
    <w:p>
      <w:pPr>
        <w:jc w:val="both"/>
        <w:ind w:left="60" w:right="59" w:firstLine="486"/>
        <w:spacing w:after="0" w:line="272" w:lineRule="auto"/>
        <w:rPr>
          <w:sz w:val="20"/>
          <w:szCs w:val="20"/>
          <w:color w:val="auto"/>
        </w:rPr>
      </w:pPr>
      <w:r>
        <w:rPr>
          <w:rFonts w:ascii="Arial" w:cs="Arial" w:eastAsia="Arial" w:hAnsi="Arial"/>
          <w:sz w:val="17"/>
          <w:szCs w:val="17"/>
          <w:color w:val="auto"/>
        </w:rPr>
        <w:t>The following discussion and analysis contain forward-looking statements about our plans and expectations of what may happen in the future. Forward-looking statements are based on a number of assumptions and estimates that are inherently subject to significant risks and uncertainties, and our results could differ materially from the results anticipated by our forward-looking statements as a result of many known or unknown factors, including, but not limited to, those factors discussed in Risk Factors. Additionally, many of these risks and uncertainties are currently elevated by and may or will continue to be elevated by the COVID-19 pandemic. See also the Special Cautionary Notice Regarding Forward-Looking Statements set forth at the beginning of this report.</w:t>
      </w:r>
    </w:p>
    <w:p>
      <w:pPr>
        <w:spacing w:after="0" w:line="177" w:lineRule="exact"/>
        <w:rPr>
          <w:sz w:val="20"/>
          <w:szCs w:val="20"/>
          <w:color w:val="auto"/>
        </w:rPr>
      </w:pPr>
    </w:p>
    <w:p>
      <w:pPr>
        <w:jc w:val="both"/>
        <w:ind w:left="60" w:right="59" w:firstLine="486"/>
        <w:spacing w:after="0" w:line="259" w:lineRule="auto"/>
        <w:rPr>
          <w:sz w:val="20"/>
          <w:szCs w:val="20"/>
          <w:color w:val="auto"/>
        </w:rPr>
      </w:pPr>
      <w:r>
        <w:rPr>
          <w:rFonts w:ascii="Arial" w:cs="Arial" w:eastAsia="Arial" w:hAnsi="Arial"/>
          <w:sz w:val="18"/>
          <w:szCs w:val="18"/>
          <w:color w:val="auto"/>
        </w:rPr>
        <w:t>You should read the following discussion and analysis in conjunction with the unaudited, condensed, consolidated financial statements and the related footnotes thereto appearing elsewhere in this report, and in conjunction with management’s discussion and analysis and the audited consolidated financial statements included in our Annual Report on Form 10-K for the year ended December 31, 2019.</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left="60" w:right="59" w:firstLine="486"/>
        <w:spacing w:after="0" w:line="269" w:lineRule="auto"/>
        <w:rPr>
          <w:sz w:val="20"/>
          <w:szCs w:val="20"/>
          <w:color w:val="auto"/>
        </w:rPr>
      </w:pPr>
      <w:r>
        <w:rPr>
          <w:rFonts w:ascii="Arial" w:cs="Arial" w:eastAsia="Arial" w:hAnsi="Arial"/>
          <w:sz w:val="17"/>
          <w:szCs w:val="17"/>
          <w:color w:val="auto"/>
        </w:rPr>
        <w:t>We are a biopharmaceutical company dedicated to developing and delivering medicines for patients with B-cell mediated diseases, including chronic lymphocytic leukemia (CLL), non-Hodgkin lymphoma (NHL) and multiple sclerosis (MS). We have developed a robust B-cell directed research and development (R&amp;D) platform for identification of key B-cell pathways of interest and rapid clinical testing. Currently, we have five B-cell targeted drug candidates in clinical development, with the two lead therapies, ublituximab (TG-1101) and umbralisib (TGR-1202), in pivotal trials for CLL and NHL, with ublituximab also in pivotal trials for MS. Ublituximab is a novel anti-CD20 monoclonal antibody (mAb) that has been glycoengineered for enhanced potency. Umbralisib is an oral, once daily, dual inhibitor of PI3K-delta and CK1-epsilon. When used together in combination therapy, ublituximab and umbralisib are referred to as “U2.” Additionally, in early clinical development we have an anti-PD-L1 monoclonal antibody referred to as cosibelimab (TG-1501), an oral Bruton’s Tyrosine Kinase (BTK) inhibitor referred to as TG-1701, and an anti-CD47/CD19 bispecific antibody referred to as TG-1801.</w:t>
      </w:r>
    </w:p>
    <w:p>
      <w:pPr>
        <w:spacing w:after="0" w:line="182" w:lineRule="exact"/>
        <w:rPr>
          <w:sz w:val="20"/>
          <w:szCs w:val="20"/>
          <w:color w:val="auto"/>
        </w:rPr>
      </w:pPr>
    </w:p>
    <w:p>
      <w:pPr>
        <w:jc w:val="both"/>
        <w:ind w:left="60" w:right="59" w:firstLine="486"/>
        <w:spacing w:after="0" w:line="286" w:lineRule="auto"/>
        <w:rPr>
          <w:sz w:val="20"/>
          <w:szCs w:val="20"/>
          <w:color w:val="auto"/>
        </w:rPr>
      </w:pPr>
      <w:r>
        <w:rPr>
          <w:rFonts w:ascii="Arial" w:cs="Arial" w:eastAsia="Arial" w:hAnsi="Arial"/>
          <w:sz w:val="17"/>
          <w:szCs w:val="17"/>
          <w:color w:val="auto"/>
        </w:rPr>
        <w:t>We also actively evaluate complementary products, technologies and companies for in-licensing, partnership, acquisition and/or investment opportunities. To date, we have not received approval for the sale of any of our drug candidates in any market and, therefore, have not generated any product sales from our drug candidates.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PRODUCTS UNDER DEVELOPMENT</w:t>
      </w:r>
    </w:p>
    <w:p>
      <w:pPr>
        <w:spacing w:after="0" w:line="229" w:lineRule="exact"/>
        <w:rPr>
          <w:sz w:val="20"/>
          <w:szCs w:val="20"/>
          <w:color w:val="auto"/>
        </w:rPr>
      </w:pPr>
    </w:p>
    <w:p>
      <w:pPr>
        <w:jc w:val="both"/>
        <w:ind w:left="60" w:right="59" w:firstLine="486"/>
        <w:spacing w:after="0" w:line="257" w:lineRule="auto"/>
        <w:rPr>
          <w:sz w:val="20"/>
          <w:szCs w:val="20"/>
          <w:color w:val="auto"/>
        </w:rPr>
      </w:pPr>
      <w:r>
        <w:rPr>
          <w:rFonts w:ascii="Arial" w:cs="Arial" w:eastAsia="Arial" w:hAnsi="Arial"/>
          <w:sz w:val="18"/>
          <w:szCs w:val="18"/>
          <w:color w:val="auto"/>
        </w:rPr>
        <w:t>We have leveraged our B-cell platform to develop a robust drug pipeline of targeted orally available, potent and selective small molecule kinase inhibitors and intravenously delivered immunotherapies that leverage the patients’ own immune system to fight cancer. We currently own worldwide development and commercial rights, subject to certain limited geographical restrictions, to all of our preclinical and clinical programs. The following table summarizes our most advanced drug candidates:</w:t>
      </w:r>
    </w:p>
    <w:p>
      <w:pPr>
        <w:spacing w:after="0" w:line="182" w:lineRule="exact"/>
        <w:rPr>
          <w:sz w:val="20"/>
          <w:szCs w:val="20"/>
          <w:color w:val="auto"/>
        </w:rPr>
      </w:pPr>
    </w:p>
    <w:tbl>
      <w:tblPr>
        <w:tblLayout w:type="fixed"/>
        <w:tblInd w:w="50" w:type="dxa"/>
        <w:tblCellMar>
          <w:top w:w="0" w:type="dxa"/>
          <w:left w:w="0" w:type="dxa"/>
          <w:bottom w:w="0" w:type="dxa"/>
          <w:right w:w="0" w:type="dxa"/>
        </w:tblCellMar>
      </w:tblPr>
      <w:tr>
        <w:trPr>
          <w:trHeight w:val="211"/>
        </w:trPr>
        <w:tc>
          <w:tcPr>
            <w:tcW w:w="2160" w:type="dxa"/>
            <w:vAlign w:val="bottom"/>
            <w:tcBorders>
              <w:top w:val="single" w:sz="8" w:color="auto"/>
              <w:left w:val="single" w:sz="8" w:color="auto"/>
            </w:tcBorders>
          </w:tcPr>
          <w:p>
            <w:pPr>
              <w:ind w:left="20"/>
              <w:spacing w:after="0"/>
              <w:rPr>
                <w:sz w:val="20"/>
                <w:szCs w:val="20"/>
                <w:color w:val="auto"/>
              </w:rPr>
            </w:pPr>
            <w:r>
              <w:rPr>
                <w:rFonts w:ascii="Arial" w:cs="Arial" w:eastAsia="Arial" w:hAnsi="Arial"/>
                <w:sz w:val="18"/>
                <w:szCs w:val="18"/>
                <w:b w:val="1"/>
                <w:bCs w:val="1"/>
                <w:color w:val="auto"/>
              </w:rPr>
              <w:t>Clinical Drug Candidate</w:t>
            </w:r>
          </w:p>
        </w:tc>
        <w:tc>
          <w:tcPr>
            <w:tcW w:w="900" w:type="dxa"/>
            <w:vAlign w:val="bottom"/>
            <w:tcBorders>
              <w:top w:val="single" w:sz="8" w:color="auto"/>
              <w:right w:val="single" w:sz="8" w:color="auto"/>
            </w:tcBorders>
          </w:tcPr>
          <w:p>
            <w:pPr>
              <w:spacing w:after="0"/>
              <w:rPr>
                <w:sz w:val="18"/>
                <w:szCs w:val="18"/>
                <w:color w:val="auto"/>
              </w:rPr>
            </w:pPr>
          </w:p>
        </w:tc>
        <w:tc>
          <w:tcPr>
            <w:tcW w:w="31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Initial Target Disease</w:t>
            </w:r>
          </w:p>
        </w:tc>
        <w:tc>
          <w:tcPr>
            <w:tcW w:w="274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Stage of Development</w:t>
            </w:r>
          </w:p>
        </w:tc>
      </w:tr>
      <w:tr>
        <w:trPr>
          <w:trHeight w:val="234"/>
        </w:trPr>
        <w:tc>
          <w:tcPr>
            <w:tcW w:w="21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(molecular target)</w:t>
            </w:r>
          </w:p>
        </w:tc>
        <w:tc>
          <w:tcPr>
            <w:tcW w:w="900" w:type="dxa"/>
            <w:vAlign w:val="bottom"/>
            <w:tcBorders>
              <w:bottom w:val="single" w:sz="8" w:color="auto"/>
              <w:right w:val="single" w:sz="8" w:color="auto"/>
            </w:tcBorders>
          </w:tcPr>
          <w:p>
            <w:pPr>
              <w:spacing w:after="0"/>
              <w:rPr>
                <w:sz w:val="20"/>
                <w:szCs w:val="20"/>
                <w:color w:val="auto"/>
              </w:rPr>
            </w:pPr>
          </w:p>
        </w:tc>
        <w:tc>
          <w:tcPr>
            <w:tcW w:w="3120" w:type="dxa"/>
            <w:vAlign w:val="bottom"/>
            <w:tcBorders>
              <w:bottom w:val="single" w:sz="8" w:color="auto"/>
              <w:right w:val="single" w:sz="8" w:color="auto"/>
            </w:tcBorders>
          </w:tcPr>
          <w:p>
            <w:pPr>
              <w:spacing w:after="0"/>
              <w:rPr>
                <w:sz w:val="20"/>
                <w:szCs w:val="20"/>
                <w:color w:val="auto"/>
              </w:rPr>
            </w:pPr>
          </w:p>
        </w:tc>
        <w:tc>
          <w:tcPr>
            <w:tcW w:w="2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(trial name)</w:t>
            </w:r>
          </w:p>
        </w:tc>
      </w:tr>
      <w:tr>
        <w:trPr>
          <w:trHeight w:val="195"/>
        </w:trPr>
        <w:tc>
          <w:tcPr>
            <w:tcW w:w="3060" w:type="dxa"/>
            <w:vAlign w:val="bottom"/>
            <w:tcBorders>
              <w:left w:val="single" w:sz="8" w:color="auto"/>
              <w:right w:val="single" w:sz="8" w:color="auto"/>
            </w:tcBorders>
            <w:gridSpan w:val="2"/>
          </w:tcPr>
          <w:p>
            <w:pPr>
              <w:ind w:left="20"/>
              <w:spacing w:after="0" w:line="195" w:lineRule="exact"/>
              <w:rPr>
                <w:sz w:val="20"/>
                <w:szCs w:val="20"/>
                <w:color w:val="auto"/>
              </w:rPr>
            </w:pPr>
            <w:r>
              <w:rPr>
                <w:rFonts w:ascii="Arial" w:cs="Arial" w:eastAsia="Arial" w:hAnsi="Arial"/>
                <w:sz w:val="18"/>
                <w:szCs w:val="18"/>
                <w:color w:val="auto"/>
                <w:w w:val="96"/>
              </w:rPr>
              <w:t>Ublituximab/TG-1101 (anti-CD20 mAb)</w:t>
            </w:r>
          </w:p>
        </w:tc>
        <w:tc>
          <w:tcPr>
            <w:tcW w:w="312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Chronic Lymphocytic Leukemia</w:t>
            </w:r>
          </w:p>
        </w:tc>
        <w:tc>
          <w:tcPr>
            <w:tcW w:w="274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Phase 3 trial (UNITY-CLL)</w:t>
            </w:r>
          </w:p>
        </w:tc>
      </w:tr>
      <w:tr>
        <w:trPr>
          <w:trHeight w:val="230"/>
        </w:trPr>
        <w:tc>
          <w:tcPr>
            <w:tcW w:w="2160" w:type="dxa"/>
            <w:vAlign w:val="bottom"/>
            <w:tcBorders>
              <w:lef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3120" w:type="dxa"/>
            <w:vAlign w:val="bottom"/>
            <w:tcBorders>
              <w:bottom w:val="single" w:sz="8" w:color="auto"/>
              <w:right w:val="single" w:sz="8" w:color="auto"/>
            </w:tcBorders>
          </w:tcPr>
          <w:p>
            <w:pPr>
              <w:spacing w:after="0"/>
              <w:rPr>
                <w:sz w:val="20"/>
                <w:szCs w:val="20"/>
                <w:color w:val="auto"/>
              </w:rPr>
            </w:pPr>
          </w:p>
        </w:tc>
        <w:tc>
          <w:tcPr>
            <w:tcW w:w="2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Phase 2 trial (ULTRA-V)</w:t>
            </w:r>
          </w:p>
        </w:tc>
      </w:tr>
      <w:tr>
        <w:trPr>
          <w:trHeight w:val="209"/>
        </w:trPr>
        <w:tc>
          <w:tcPr>
            <w:tcW w:w="2160" w:type="dxa"/>
            <w:vAlign w:val="bottom"/>
            <w:tcBorders>
              <w:left w:val="single" w:sz="8" w:color="auto"/>
              <w:bottom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3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Relapsing Multiple Sclerosis</w:t>
            </w:r>
          </w:p>
        </w:tc>
        <w:tc>
          <w:tcPr>
            <w:tcW w:w="2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w w:val="98"/>
              </w:rPr>
              <w:t>Phase 3 trials (ULTIMATE I and II)</w:t>
            </w:r>
          </w:p>
        </w:tc>
      </w:tr>
      <w:tr>
        <w:trPr>
          <w:trHeight w:val="195"/>
        </w:trPr>
        <w:tc>
          <w:tcPr>
            <w:tcW w:w="2160" w:type="dxa"/>
            <w:vAlign w:val="bottom"/>
            <w:tcBorders>
              <w:left w:val="single" w:sz="8" w:color="auto"/>
            </w:tcBorders>
          </w:tcPr>
          <w:p>
            <w:pPr>
              <w:ind w:left="20"/>
              <w:spacing w:after="0" w:line="195" w:lineRule="exact"/>
              <w:rPr>
                <w:sz w:val="20"/>
                <w:szCs w:val="20"/>
                <w:color w:val="auto"/>
              </w:rPr>
            </w:pPr>
            <w:r>
              <w:rPr>
                <w:rFonts w:ascii="Arial" w:cs="Arial" w:eastAsia="Arial" w:hAnsi="Arial"/>
                <w:sz w:val="18"/>
                <w:szCs w:val="18"/>
                <w:color w:val="auto"/>
              </w:rPr>
              <w:t>Umbralisib/TGR-1202</w:t>
            </w:r>
          </w:p>
        </w:tc>
        <w:tc>
          <w:tcPr>
            <w:tcW w:w="90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w w:val="95"/>
              </w:rPr>
              <w:t>(PI3K-delta</w:t>
            </w:r>
          </w:p>
        </w:tc>
        <w:tc>
          <w:tcPr>
            <w:tcW w:w="312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Chronic Lymphocytic Leukemia</w:t>
            </w:r>
          </w:p>
        </w:tc>
        <w:tc>
          <w:tcPr>
            <w:tcW w:w="274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Phase 3 trial (UNITY-CLL)</w:t>
            </w:r>
          </w:p>
        </w:tc>
      </w:tr>
      <w:tr>
        <w:trPr>
          <w:trHeight w:val="230"/>
        </w:trPr>
        <w:tc>
          <w:tcPr>
            <w:tcW w:w="216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inhibitor)</w:t>
            </w:r>
          </w:p>
        </w:tc>
        <w:tc>
          <w:tcPr>
            <w:tcW w:w="900" w:type="dxa"/>
            <w:vAlign w:val="bottom"/>
            <w:tcBorders>
              <w:right w:val="single" w:sz="8" w:color="auto"/>
            </w:tcBorders>
          </w:tcPr>
          <w:p>
            <w:pPr>
              <w:spacing w:after="0"/>
              <w:rPr>
                <w:sz w:val="20"/>
                <w:szCs w:val="20"/>
                <w:color w:val="auto"/>
              </w:rPr>
            </w:pPr>
          </w:p>
        </w:tc>
        <w:tc>
          <w:tcPr>
            <w:tcW w:w="3120" w:type="dxa"/>
            <w:vAlign w:val="bottom"/>
            <w:tcBorders>
              <w:bottom w:val="single" w:sz="8" w:color="auto"/>
              <w:right w:val="single" w:sz="8" w:color="auto"/>
            </w:tcBorders>
          </w:tcPr>
          <w:p>
            <w:pPr>
              <w:spacing w:after="0"/>
              <w:rPr>
                <w:sz w:val="20"/>
                <w:szCs w:val="20"/>
                <w:color w:val="auto"/>
              </w:rPr>
            </w:pPr>
          </w:p>
        </w:tc>
        <w:tc>
          <w:tcPr>
            <w:tcW w:w="2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Phase 2 trial (ULTRA-V)</w:t>
            </w:r>
          </w:p>
        </w:tc>
      </w:tr>
      <w:tr>
        <w:trPr>
          <w:trHeight w:val="209"/>
        </w:trPr>
        <w:tc>
          <w:tcPr>
            <w:tcW w:w="216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Marginal Zone Lymphoma</w:t>
            </w:r>
          </w:p>
        </w:tc>
        <w:tc>
          <w:tcPr>
            <w:tcW w:w="2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Phase 2b trial (UNITY-NHL)</w:t>
            </w:r>
          </w:p>
        </w:tc>
      </w:tr>
      <w:tr>
        <w:trPr>
          <w:trHeight w:val="195"/>
        </w:trPr>
        <w:tc>
          <w:tcPr>
            <w:tcW w:w="2160" w:type="dxa"/>
            <w:vAlign w:val="bottom"/>
            <w:tcBorders>
              <w:lef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312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5"/>
              </w:rPr>
              <w:t>Follicular Lymphoma/Small Lymphocytic</w:t>
            </w:r>
          </w:p>
        </w:tc>
        <w:tc>
          <w:tcPr>
            <w:tcW w:w="274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Phase 2b trial (UNITY-NHL)</w:t>
            </w:r>
          </w:p>
        </w:tc>
      </w:tr>
      <w:tr>
        <w:trPr>
          <w:trHeight w:val="230"/>
        </w:trPr>
        <w:tc>
          <w:tcPr>
            <w:tcW w:w="2160" w:type="dxa"/>
            <w:vAlign w:val="bottom"/>
            <w:tcBorders>
              <w:left w:val="single" w:sz="8" w:color="auto"/>
              <w:bottom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3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Lymphoma</w:t>
            </w:r>
          </w:p>
        </w:tc>
        <w:tc>
          <w:tcPr>
            <w:tcW w:w="2740" w:type="dxa"/>
            <w:vAlign w:val="bottom"/>
            <w:tcBorders>
              <w:bottom w:val="single" w:sz="8" w:color="auto"/>
              <w:right w:val="single" w:sz="8" w:color="auto"/>
            </w:tcBorders>
          </w:tcPr>
          <w:p>
            <w:pPr>
              <w:spacing w:after="0"/>
              <w:rPr>
                <w:sz w:val="20"/>
                <w:szCs w:val="20"/>
                <w:color w:val="auto"/>
              </w:rPr>
            </w:pPr>
          </w:p>
        </w:tc>
      </w:tr>
      <w:tr>
        <w:trPr>
          <w:trHeight w:val="209"/>
        </w:trPr>
        <w:tc>
          <w:tcPr>
            <w:tcW w:w="306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w w:val="95"/>
              </w:rPr>
              <w:t>Cosibelimab/TG-1501 (anti-PDL1 mAb)</w:t>
            </w:r>
          </w:p>
        </w:tc>
        <w:tc>
          <w:tcPr>
            <w:tcW w:w="3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B-cell cancers</w:t>
            </w:r>
          </w:p>
        </w:tc>
        <w:tc>
          <w:tcPr>
            <w:tcW w:w="2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Phase 1 trial</w:t>
            </w:r>
          </w:p>
        </w:tc>
      </w:tr>
      <w:tr>
        <w:trPr>
          <w:trHeight w:val="210"/>
        </w:trPr>
        <w:tc>
          <w:tcPr>
            <w:tcW w:w="21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TG-1701 (BTK inhibitor)</w:t>
            </w:r>
          </w:p>
        </w:tc>
        <w:tc>
          <w:tcPr>
            <w:tcW w:w="900" w:type="dxa"/>
            <w:vAlign w:val="bottom"/>
            <w:tcBorders>
              <w:bottom w:val="single" w:sz="8" w:color="auto"/>
              <w:right w:val="single" w:sz="8" w:color="auto"/>
            </w:tcBorders>
          </w:tcPr>
          <w:p>
            <w:pPr>
              <w:spacing w:after="0"/>
              <w:rPr>
                <w:sz w:val="18"/>
                <w:szCs w:val="18"/>
                <w:color w:val="auto"/>
              </w:rPr>
            </w:pPr>
          </w:p>
        </w:tc>
        <w:tc>
          <w:tcPr>
            <w:tcW w:w="3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B-cell cancers</w:t>
            </w:r>
          </w:p>
        </w:tc>
        <w:tc>
          <w:tcPr>
            <w:tcW w:w="2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Phase 1 trial</w:t>
            </w:r>
          </w:p>
        </w:tc>
      </w:tr>
      <w:tr>
        <w:trPr>
          <w:trHeight w:val="195"/>
        </w:trPr>
        <w:tc>
          <w:tcPr>
            <w:tcW w:w="2160" w:type="dxa"/>
            <w:vAlign w:val="bottom"/>
            <w:tcBorders>
              <w:left w:val="single" w:sz="8" w:color="auto"/>
            </w:tcBorders>
          </w:tcPr>
          <w:p>
            <w:pPr>
              <w:ind w:left="20"/>
              <w:spacing w:after="0" w:line="195" w:lineRule="exact"/>
              <w:rPr>
                <w:sz w:val="20"/>
                <w:szCs w:val="20"/>
                <w:color w:val="auto"/>
              </w:rPr>
            </w:pPr>
            <w:r>
              <w:rPr>
                <w:rFonts w:ascii="Arial" w:cs="Arial" w:eastAsia="Arial" w:hAnsi="Arial"/>
                <w:sz w:val="18"/>
                <w:szCs w:val="18"/>
                <w:color w:val="auto"/>
                <w:w w:val="96"/>
              </w:rPr>
              <w:t>TG-1801  (anti-CD47/CD19</w:t>
            </w:r>
          </w:p>
        </w:tc>
        <w:tc>
          <w:tcPr>
            <w:tcW w:w="90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bispecific</w:t>
            </w:r>
          </w:p>
        </w:tc>
        <w:tc>
          <w:tcPr>
            <w:tcW w:w="312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B-cell cancers</w:t>
            </w:r>
          </w:p>
        </w:tc>
        <w:tc>
          <w:tcPr>
            <w:tcW w:w="274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Phase 1 trial</w:t>
            </w:r>
          </w:p>
        </w:tc>
      </w:tr>
      <w:tr>
        <w:trPr>
          <w:trHeight w:val="230"/>
        </w:trPr>
        <w:tc>
          <w:tcPr>
            <w:tcW w:w="21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Ab)</w:t>
            </w:r>
          </w:p>
        </w:tc>
        <w:tc>
          <w:tcPr>
            <w:tcW w:w="900" w:type="dxa"/>
            <w:vAlign w:val="bottom"/>
            <w:tcBorders>
              <w:bottom w:val="single" w:sz="8" w:color="auto"/>
              <w:right w:val="single" w:sz="8" w:color="auto"/>
            </w:tcBorders>
          </w:tcPr>
          <w:p>
            <w:pPr>
              <w:spacing w:after="0"/>
              <w:rPr>
                <w:sz w:val="20"/>
                <w:szCs w:val="20"/>
                <w:color w:val="auto"/>
              </w:rPr>
            </w:pPr>
          </w:p>
        </w:tc>
        <w:tc>
          <w:tcPr>
            <w:tcW w:w="3120" w:type="dxa"/>
            <w:vAlign w:val="bottom"/>
            <w:tcBorders>
              <w:bottom w:val="single" w:sz="8" w:color="auto"/>
              <w:right w:val="single" w:sz="8" w:color="auto"/>
            </w:tcBorders>
          </w:tcPr>
          <w:p>
            <w:pPr>
              <w:spacing w:after="0"/>
              <w:rPr>
                <w:sz w:val="20"/>
                <w:szCs w:val="20"/>
                <w:color w:val="auto"/>
              </w:rPr>
            </w:pPr>
          </w:p>
        </w:tc>
        <w:tc>
          <w:tcPr>
            <w:tcW w:w="2740" w:type="dxa"/>
            <w:vAlign w:val="bottom"/>
            <w:tcBorders>
              <w:bottom w:val="single" w:sz="8" w:color="auto"/>
              <w:right w:val="single" w:sz="8" w:color="auto"/>
            </w:tcBorders>
          </w:tcPr>
          <w:p>
            <w:pPr>
              <w:spacing w:after="0"/>
              <w:rPr>
                <w:sz w:val="20"/>
                <w:szCs w:val="20"/>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Phase 3 and Registration-Directed Clinical Trial Highlights</w:t>
      </w:r>
    </w:p>
    <w:p>
      <w:pPr>
        <w:spacing w:after="0" w:line="229" w:lineRule="exact"/>
        <w:rPr>
          <w:sz w:val="20"/>
          <w:szCs w:val="20"/>
          <w:color w:val="auto"/>
        </w:rPr>
      </w:pPr>
    </w:p>
    <w:p>
      <w:pPr>
        <w:jc w:val="both"/>
        <w:ind w:left="60" w:right="59" w:firstLine="486"/>
        <w:spacing w:after="0" w:line="254" w:lineRule="auto"/>
        <w:rPr>
          <w:sz w:val="20"/>
          <w:szCs w:val="20"/>
          <w:color w:val="auto"/>
        </w:rPr>
      </w:pPr>
      <w:r>
        <w:rPr>
          <w:rFonts w:ascii="Arial" w:cs="Arial" w:eastAsia="Arial" w:hAnsi="Arial"/>
          <w:sz w:val="18"/>
          <w:szCs w:val="18"/>
          <w:color w:val="auto"/>
        </w:rPr>
        <w:t>We have several Phase 3 and registration-directed Phase 2b clinical trials ongoing that may support marketing applications for approval. Our most advanced trials, UNITY-NHL MZL &amp; FL single agent cohorts, UNITY-CLL, and the ULTIMATE I &amp; II trials, have all completed enrollment and have either completed their primary analysis or are nearing completion. Accordingly, we would expect to see minimal impact on the conduct and our proposed timelines for these three trials related to the COVID-19 pandemic. However, as the pandemic evolves, we will continue to evaluate each trial, monitor potential implications, and work closely with our investigational sites, CROs, and vendors to develop continuity plans.</w:t>
      </w:r>
    </w:p>
    <w:p>
      <w:pPr>
        <w:spacing w:after="0" w:line="195" w:lineRule="exact"/>
        <w:rPr>
          <w:sz w:val="20"/>
          <w:szCs w:val="20"/>
          <w:color w:val="auto"/>
        </w:rPr>
      </w:pPr>
    </w:p>
    <w:p>
      <w:pPr>
        <w:ind w:left="540"/>
        <w:spacing w:after="0"/>
        <w:rPr>
          <w:sz w:val="20"/>
          <w:szCs w:val="20"/>
          <w:color w:val="auto"/>
        </w:rPr>
      </w:pPr>
      <w:r>
        <w:rPr>
          <w:rFonts w:ascii="Arial" w:cs="Arial" w:eastAsia="Arial" w:hAnsi="Arial"/>
          <w:sz w:val="17"/>
          <w:szCs w:val="17"/>
          <w:color w:val="auto"/>
        </w:rPr>
        <w:t>The following are highlights from our current Phase 3 trials and registration-directed Phase 2b clinical trials:</w:t>
      </w:r>
    </w:p>
    <w:p>
      <w:pPr>
        <w:spacing w:after="0" w:line="246" w:lineRule="exact"/>
        <w:rPr>
          <w:sz w:val="20"/>
          <w:szCs w:val="20"/>
          <w:color w:val="auto"/>
        </w:rPr>
      </w:pPr>
    </w:p>
    <w:p>
      <w:pPr>
        <w:jc w:val="both"/>
        <w:ind w:left="880" w:right="79" w:hanging="330"/>
        <w:spacing w:after="0" w:line="298" w:lineRule="auto"/>
        <w:tabs>
          <w:tab w:leader="none" w:pos="880"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UNITY-NHL Phase 2b Trial: </w:t>
      </w:r>
      <w:r>
        <w:rPr>
          <w:rFonts w:ascii="Arial" w:cs="Arial" w:eastAsia="Arial" w:hAnsi="Arial"/>
          <w:sz w:val="16"/>
          <w:szCs w:val="16"/>
          <w:color w:val="auto"/>
        </w:rPr>
        <w:t>UNITY-NHL is a global Phase 2b registration-directed clinical trial designed to</w:t>
      </w:r>
      <w:r>
        <w:rPr>
          <w:rFonts w:ascii="Arial" w:cs="Arial" w:eastAsia="Arial" w:hAnsi="Arial"/>
          <w:sz w:val="16"/>
          <w:szCs w:val="16"/>
          <w:b w:val="1"/>
          <w:bCs w:val="1"/>
          <w:color w:val="auto"/>
        </w:rPr>
        <w:t xml:space="preserve"> </w:t>
      </w:r>
      <w:r>
        <w:rPr>
          <w:rFonts w:ascii="Arial" w:cs="Arial" w:eastAsia="Arial" w:hAnsi="Arial"/>
          <w:sz w:val="16"/>
          <w:szCs w:val="16"/>
          <w:color w:val="auto"/>
        </w:rPr>
        <w:t>evaluate the efficacy and safety of single-agent umbralisib and U2 combinations in patients with previously treated NHL. The marginal zone lymphoma (MZL) and the follicular lymphoma (FL)/small lymphocytic lymphoma (SLL) single agent umbralisib cohorts of this trial are fully enrolled. The primary objective of these cohorts is to assess the efficacy of single agent umbralisib as measured by Overall Response Rate (ORR).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left="1360" w:right="79" w:hanging="324"/>
        <w:spacing w:after="0" w:line="284" w:lineRule="auto"/>
        <w:tabs>
          <w:tab w:leader="none" w:pos="1360"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auto"/>
        </w:rPr>
        <w:t xml:space="preserve">UNITY-NHL MZL and FL Single Agent Umbralisib Cohorts: </w:t>
      </w:r>
      <w:r>
        <w:rPr>
          <w:rFonts w:ascii="Arial" w:cs="Arial" w:eastAsia="Arial" w:hAnsi="Arial"/>
          <w:sz w:val="16"/>
          <w:szCs w:val="16"/>
          <w:color w:val="auto"/>
        </w:rPr>
        <w:t>The MZL cohort enrolled adult</w:t>
      </w:r>
      <w:r>
        <w:rPr>
          <w:rFonts w:ascii="Arial" w:cs="Arial" w:eastAsia="Arial" w:hAnsi="Arial"/>
          <w:sz w:val="16"/>
          <w:szCs w:val="16"/>
          <w:b w:val="1"/>
          <w:bCs w:val="1"/>
          <w:color w:val="auto"/>
        </w:rPr>
        <w:t xml:space="preserve"> </w:t>
      </w:r>
      <w:r>
        <w:rPr>
          <w:rFonts w:ascii="Arial" w:cs="Arial" w:eastAsia="Arial" w:hAnsi="Arial"/>
          <w:sz w:val="16"/>
          <w:szCs w:val="16"/>
          <w:color w:val="auto"/>
        </w:rPr>
        <w:t>patients who had at least one prior line of therapy that included an anti-CD20 monoclonal antibody. In February 2019, we announced that the MZL cohort met the primary endpoint of ORR as determined by an Independent Review Committee (IRC) for all treated patients (n=69). The results met our target guidance of 40-50% ORR. Interim safety and efficacy data from the MZL cohort were presented in an oral presentation at the American Association for Cancer Research (AACR) annual meeting on April 1, 2019. The data presented included safety and tolerability data on all 69 treated patients (safety population) and efficacy data on 42 patients who were enrolled for at least 9 cycles (28-day cycles) prior to the data cut-off date (interim efficacy population). The safety population had a median duration of exposure of 6.9 months, and no unexpected toxicities were observed. Analysis of the interim efficacy population showed an ORR by IRC of 52%, including a 19% CR rate, an 88% clinical benefit rate (defined as patients obtaining Complete Response + Partial Response + Stable Disease) and a median duration of exposure of 10.1 months. These results were also presented in oral presentations during the 2019 American Society of Clinical Oncology (ASCO) annual meeting and the 2019 International Conference on Malignant Lymphoma (ICML) both held in June of 2019. Previously, in January 2019, the U.S. Food and Drug Administration (FDA) granted Breakthrough Therapy Designation (BTD) to umbralisib for the treatment of adult patients with MZL who have received at least one prior anti-CD20 regimen. In April 2019, the FDA granted orphan drug designation to umbralisib for the treatment of patients with any of the three types of marginal zone lymphoma: nodal, extranodal, and splenic MZL. In June of 2019, we had a BTD meeting with the FDA to discuss the MZL NDA submission strategy. The FL/SLL cohort enrolled adult patients who had two or more prior lines of therapy that included an anti-CD20 monoclonal antibody and an alkylating agent. In October 2019, we announced that the FL patients within this cohort met the primary endpoint of ORR as determined by IRC for all treated FL patients (n=118). The results met our target guidance of 40-50% ORR. Importantly, single-agent umbralisib appeared to be well tolerated with a safety profile consistent with previous reports. In January of 2020, we received guidance from the FDA allowing submission of a single New Drug Application (NDA) for MZL and FL indications, and we initiated a rolling submission of an NDA to the FDA for umbralisib in MZL and FL. In March 2020, we announced that the FDA granted orphan drug designation to umbralisib for the treatment of FL. Most recently, in June 2020, we announced the completion of the rolling NDA submission.</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11" w:lineRule="exact"/>
        <w:rPr>
          <w:rFonts w:ascii="Arial" w:cs="Arial" w:eastAsia="Arial" w:hAnsi="Arial"/>
          <w:sz w:val="16"/>
          <w:szCs w:val="16"/>
          <w:color w:val="auto"/>
        </w:rPr>
      </w:pPr>
    </w:p>
    <w:p>
      <w:pPr>
        <w:jc w:val="both"/>
        <w:ind w:left="1360" w:right="79" w:hanging="324"/>
        <w:spacing w:after="0" w:line="258" w:lineRule="auto"/>
        <w:tabs>
          <w:tab w:leader="none" w:pos="13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UNITY-NHL Additional Cohorts</w:t>
      </w:r>
      <w:r>
        <w:rPr>
          <w:rFonts w:ascii="Arial" w:cs="Arial" w:eastAsia="Arial" w:hAnsi="Arial"/>
          <w:sz w:val="18"/>
          <w:szCs w:val="18"/>
          <w:color w:val="auto"/>
        </w:rPr>
        <w:t>: There are additional exploratory disease cohorts of the UNITY-NHL</w:t>
      </w:r>
      <w:r>
        <w:rPr>
          <w:rFonts w:ascii="Arial" w:cs="Arial" w:eastAsia="Arial" w:hAnsi="Arial"/>
          <w:sz w:val="18"/>
          <w:szCs w:val="18"/>
          <w:b w:val="1"/>
          <w:bCs w:val="1"/>
          <w:color w:val="auto"/>
        </w:rPr>
        <w:t xml:space="preserve"> </w:t>
      </w:r>
      <w:r>
        <w:rPr>
          <w:rFonts w:ascii="Arial" w:cs="Arial" w:eastAsia="Arial" w:hAnsi="Arial"/>
          <w:sz w:val="18"/>
          <w:szCs w:val="18"/>
          <w:color w:val="auto"/>
        </w:rPr>
        <w:t>trial focused on diffuse large B cell lymphoma (DLBCL) and mantle cell lymphoma (MCL). In total, there are currently four cohorts in the UNITY-NHL trial, including MZL, FL/SLL, DLBCL, and MCL. Each cohort is evaluated separately from the others. The MZL, MCL and FL cohorts are currently enrolling additional patients exploring the combination of U2.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left="880" w:right="79" w:hanging="330"/>
        <w:spacing w:after="0" w:line="285" w:lineRule="auto"/>
        <w:tabs>
          <w:tab w:leader="none" w:pos="880" w:val="left"/>
        </w:tabs>
        <w:numPr>
          <w:ilvl w:val="0"/>
          <w:numId w:val="12"/>
        </w:numPr>
        <w:rPr>
          <w:rFonts w:ascii="Arial" w:cs="Arial" w:eastAsia="Arial" w:hAnsi="Arial"/>
          <w:sz w:val="16"/>
          <w:szCs w:val="16"/>
          <w:color w:val="auto"/>
        </w:rPr>
      </w:pPr>
      <w:r>
        <w:rPr>
          <w:rFonts w:ascii="Arial" w:cs="Arial" w:eastAsia="Arial" w:hAnsi="Arial"/>
          <w:sz w:val="16"/>
          <w:szCs w:val="16"/>
          <w:b w:val="1"/>
          <w:bCs w:val="1"/>
          <w:color w:val="auto"/>
        </w:rPr>
        <w:t xml:space="preserve">UNITY-CLL Phase 3 Trial Evaluating Umbralisib plus Ublituximab (U2): </w:t>
      </w:r>
      <w:r>
        <w:rPr>
          <w:rFonts w:ascii="Arial" w:cs="Arial" w:eastAsia="Arial" w:hAnsi="Arial"/>
          <w:sz w:val="16"/>
          <w:szCs w:val="16"/>
          <w:color w:val="auto"/>
        </w:rPr>
        <w:t>UNITY-CLL is a global Phase 3</w:t>
      </w:r>
      <w:r>
        <w:rPr>
          <w:rFonts w:ascii="Arial" w:cs="Arial" w:eastAsia="Arial" w:hAnsi="Arial"/>
          <w:sz w:val="16"/>
          <w:szCs w:val="16"/>
          <w:b w:val="1"/>
          <w:bCs w:val="1"/>
          <w:color w:val="auto"/>
        </w:rPr>
        <w:t xml:space="preserve"> </w:t>
      </w:r>
      <w:r>
        <w:rPr>
          <w:rFonts w:ascii="Arial" w:cs="Arial" w:eastAsia="Arial" w:hAnsi="Arial"/>
          <w:sz w:val="16"/>
          <w:szCs w:val="16"/>
          <w:color w:val="auto"/>
        </w:rPr>
        <w:t>randomized controlled clinical trial comparing the U2 combination to an active control arm of obinutuzumab plus chlorambucil in patients with both treatment-naïve and relapsed or refractory CLL. Two additional arms evaluating single agent ublituximab and single agent umbralisib were also enrolled for purposes of evaluating the contribution of each in the U2 combination regimen. The primary endpoint for this study is progression free survival (PFS) which we intend to use to support a BLA submission for approval of the U2 combination in CLL. The study completed enrollment in October 2017 with over 600 patients across the four treatment arms, with approximately 420 patients in the U2 and the active control arms combined. This trial is conducted under a Special Protocol Assessment (SPA) with the FDA. In March of 2020, the DSMB reviewed safety information from all 600+ CLL patients on the trial, including over 300 treatment-naïve and previously treated patients on single-agent umbralisib or in combination with ublituximab. Based on its review, no safety concerns were identified and the DSMB recommended that the UNITY-CLL trial continue without modification. In March 2020, we announced during our quarterly earnings call, that we reached an agreement with the FDA to conduct an interim efficacy analysis, which would allow us to stop the study early for a greater-than-expected PFS benefit. On May 5, 2020 we announced the UNITY-CLL trial met its primary endpoint at a prespecified interim analysis demonstrating a statistically significant improvement in PFS (p&lt;.0001) and will be stopped early for superior efficacy. PFS was assessed by an IRC, and benefit was also seen across both previously untreated and relapsed/refractory patient populations. Safety and other secondary endpoints are still being assessed and have not yet been reported.</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3" w:lineRule="exact"/>
        <w:rPr>
          <w:rFonts w:ascii="Arial" w:cs="Arial" w:eastAsia="Arial" w:hAnsi="Arial"/>
          <w:sz w:val="16"/>
          <w:szCs w:val="16"/>
          <w:color w:val="auto"/>
        </w:rPr>
      </w:pPr>
    </w:p>
    <w:p>
      <w:pPr>
        <w:jc w:val="both"/>
        <w:ind w:left="880" w:right="79" w:hanging="330"/>
        <w:spacing w:after="0" w:line="273" w:lineRule="auto"/>
        <w:tabs>
          <w:tab w:leader="none" w:pos="880" w:val="left"/>
        </w:tabs>
        <w:numPr>
          <w:ilvl w:val="0"/>
          <w:numId w:val="12"/>
        </w:numPr>
        <w:rPr>
          <w:rFonts w:ascii="Arial" w:cs="Arial" w:eastAsia="Arial" w:hAnsi="Arial"/>
          <w:sz w:val="17"/>
          <w:szCs w:val="17"/>
          <w:color w:val="auto"/>
        </w:rPr>
      </w:pPr>
      <w:r>
        <w:rPr>
          <w:rFonts w:ascii="Arial" w:cs="Arial" w:eastAsia="Arial" w:hAnsi="Arial"/>
          <w:sz w:val="17"/>
          <w:szCs w:val="17"/>
          <w:b w:val="1"/>
          <w:bCs w:val="1"/>
          <w:color w:val="auto"/>
        </w:rPr>
        <w:t xml:space="preserve">ULTIMATE I &amp; II Trials Evaluating Single Agent Ublituximab in RMS: </w:t>
      </w:r>
      <w:r>
        <w:rPr>
          <w:rFonts w:ascii="Arial" w:cs="Arial" w:eastAsia="Arial" w:hAnsi="Arial"/>
          <w:sz w:val="17"/>
          <w:szCs w:val="17"/>
          <w:color w:val="auto"/>
        </w:rPr>
        <w:t>ULTIMATE I and ULTIMATE II</w:t>
      </w:r>
      <w:r>
        <w:rPr>
          <w:rFonts w:ascii="Arial" w:cs="Arial" w:eastAsia="Arial" w:hAnsi="Arial"/>
          <w:sz w:val="17"/>
          <w:szCs w:val="17"/>
          <w:b w:val="1"/>
          <w:bCs w:val="1"/>
          <w:color w:val="auto"/>
        </w:rPr>
        <w:t xml:space="preserve"> </w:t>
      </w:r>
      <w:r>
        <w:rPr>
          <w:rFonts w:ascii="Arial" w:cs="Arial" w:eastAsia="Arial" w:hAnsi="Arial"/>
          <w:sz w:val="17"/>
          <w:szCs w:val="17"/>
          <w:color w:val="auto"/>
        </w:rPr>
        <w:t>are two independent Phase 3 trials. Each trial is a global, randomized, multi-center, double-blinded, double-dummy, active-controlled study comparing ublituximab to teriflunomide in subjects with relapsing forms of Multiple Sclerosis (RMS). The primary endpoint for each study is Annualized Relapse Rate (ARR) following 96 weeks of treatment, which we intend to use to support a submission for approval of ublituximab in RMS. These trials are both being conducted under a SPA with the FDA. Full enrollment was completed in October of 2018, with approximately 1,100 subjects enrolled in both studies combined.</w:t>
      </w:r>
    </w:p>
    <w:p>
      <w:pPr>
        <w:spacing w:after="0" w:line="171" w:lineRule="exact"/>
        <w:rPr>
          <w:rFonts w:ascii="Arial" w:cs="Arial" w:eastAsia="Arial" w:hAnsi="Arial"/>
          <w:sz w:val="17"/>
          <w:szCs w:val="17"/>
          <w:color w:val="auto"/>
        </w:rPr>
      </w:pPr>
    </w:p>
    <w:p>
      <w:pPr>
        <w:jc w:val="both"/>
        <w:ind w:left="880" w:right="79" w:hanging="330"/>
        <w:spacing w:after="0" w:line="258"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ULTRA-V Phase 2 Trial Evaluating U2 Plus Venetoclax in CLL: </w:t>
      </w:r>
      <w:r>
        <w:rPr>
          <w:rFonts w:ascii="Arial" w:cs="Arial" w:eastAsia="Arial" w:hAnsi="Arial"/>
          <w:sz w:val="18"/>
          <w:szCs w:val="18"/>
          <w:color w:val="auto"/>
        </w:rPr>
        <w:t>ULTRA-V is a Phase 2 open-label,</w:t>
      </w:r>
      <w:r>
        <w:rPr>
          <w:rFonts w:ascii="Arial" w:cs="Arial" w:eastAsia="Arial" w:hAnsi="Arial"/>
          <w:sz w:val="18"/>
          <w:szCs w:val="18"/>
          <w:b w:val="1"/>
          <w:bCs w:val="1"/>
          <w:color w:val="auto"/>
        </w:rPr>
        <w:t xml:space="preserve"> </w:t>
      </w:r>
      <w:r>
        <w:rPr>
          <w:rFonts w:ascii="Arial" w:cs="Arial" w:eastAsia="Arial" w:hAnsi="Arial"/>
          <w:sz w:val="18"/>
          <w:szCs w:val="18"/>
          <w:color w:val="auto"/>
        </w:rPr>
        <w:t>multicenter, registration-directed clinical trial designed to investigate the efficacy and safety of ublituximab and umbralisib (U2) combined with venetoclax in subjects with treatment-naïve and relapsed or refractory CLL. The primary endpoints for this study are ORR and Complete Response (CR) rate. This trial is currently enrolling.</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GENERAL CORPORATE</w:t>
      </w:r>
    </w:p>
    <w:p>
      <w:pPr>
        <w:spacing w:after="0" w:line="202" w:lineRule="exact"/>
        <w:rPr>
          <w:sz w:val="20"/>
          <w:szCs w:val="20"/>
          <w:color w:val="auto"/>
        </w:rPr>
      </w:pPr>
    </w:p>
    <w:p>
      <w:pPr>
        <w:jc w:val="both"/>
        <w:ind w:left="60" w:right="59" w:firstLine="486"/>
        <w:spacing w:after="0" w:line="286" w:lineRule="auto"/>
        <w:rPr>
          <w:sz w:val="20"/>
          <w:szCs w:val="20"/>
          <w:color w:val="auto"/>
        </w:rPr>
      </w:pPr>
      <w:r>
        <w:rPr>
          <w:rFonts w:ascii="Arial" w:cs="Arial" w:eastAsia="Arial" w:hAnsi="Arial"/>
          <w:sz w:val="17"/>
          <w:szCs w:val="17"/>
          <w:color w:val="auto"/>
        </w:rPr>
        <w:t>Our license revenues currently consist of license fees arising from our agreement with Ildong. We recognize upfront license fee revenues ratably over the estimated period in which we will have certain significant ongoing responsibilities under the sublicense agreement, with unamortized amounts recorded as deferred revenue.</w:t>
      </w:r>
    </w:p>
    <w:p>
      <w:pPr>
        <w:spacing w:after="0" w:line="16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We have not earned any revenues from the commercial sale of any of our drug candidates.</w:t>
      </w:r>
    </w:p>
    <w:p>
      <w:pPr>
        <w:spacing w:after="0" w:line="225" w:lineRule="exact"/>
        <w:rPr>
          <w:sz w:val="20"/>
          <w:szCs w:val="20"/>
          <w:color w:val="auto"/>
        </w:rPr>
      </w:pPr>
    </w:p>
    <w:p>
      <w:pPr>
        <w:jc w:val="both"/>
        <w:ind w:left="60" w:right="59" w:firstLine="486"/>
        <w:spacing w:after="0" w:line="301" w:lineRule="auto"/>
        <w:rPr>
          <w:sz w:val="20"/>
          <w:szCs w:val="20"/>
          <w:color w:val="auto"/>
        </w:rPr>
      </w:pPr>
      <w:r>
        <w:rPr>
          <w:rFonts w:ascii="Arial" w:cs="Arial" w:eastAsia="Arial" w:hAnsi="Arial"/>
          <w:sz w:val="16"/>
          <w:szCs w:val="16"/>
          <w:color w:val="auto"/>
        </w:rPr>
        <w:t>Our research and development expenses consist primarily of expenses related to in-licensing of new product candidates, fees paid to consultants and outside service providers for clinical and laboratory development, facilities-related and other expenses relating to the design, development, manufacture, testing and enhancement of our drug candidates and technologies including clinical trial related expenses. We expense our research and development costs as they are incurred.</w:t>
      </w:r>
    </w:p>
    <w:p>
      <w:pPr>
        <w:spacing w:after="0" w:line="157" w:lineRule="exact"/>
        <w:rPr>
          <w:sz w:val="20"/>
          <w:szCs w:val="20"/>
          <w:color w:val="auto"/>
        </w:rPr>
      </w:pPr>
    </w:p>
    <w:p>
      <w:pPr>
        <w:jc w:val="both"/>
        <w:ind w:left="60" w:right="59" w:firstLine="486"/>
        <w:spacing w:after="0" w:line="301" w:lineRule="auto"/>
        <w:rPr>
          <w:sz w:val="20"/>
          <w:szCs w:val="20"/>
          <w:color w:val="auto"/>
        </w:rPr>
      </w:pPr>
      <w:r>
        <w:rPr>
          <w:rFonts w:ascii="Arial" w:cs="Arial" w:eastAsia="Arial" w:hAnsi="Arial"/>
          <w:sz w:val="16"/>
          <w:szCs w:val="16"/>
          <w:color w:val="auto"/>
        </w:rPr>
        <w:t>Our general and administrative expenses consist primarily of salaries and related expenses for executive, finance; commercial, medical, and other administrative personnel, recruitment expenses, expenses for pre-commercialization activities (including the build out of our medical affairs and commercial organizations and infrastructure), professional fees and other corporate expenses, including investor relations, legal activities and facilities-related expenses.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92"/>
        <w:spacing w:after="0" w:line="257" w:lineRule="auto"/>
        <w:rPr>
          <w:sz w:val="20"/>
          <w:szCs w:val="20"/>
          <w:color w:val="auto"/>
        </w:rPr>
      </w:pPr>
      <w:r>
        <w:rPr>
          <w:rFonts w:ascii="Arial" w:cs="Arial" w:eastAsia="Arial" w:hAnsi="Arial"/>
          <w:sz w:val="18"/>
          <w:szCs w:val="18"/>
          <w:color w:val="auto"/>
        </w:rPr>
        <w:t>Our results of operations include noncash compensation expenses as a result of the grants of restricted stock. Compensation expense for awards of restricted stock granted to employees and directors represents the fair value of the award recorded over the respective vesting periods of the individual awards. The expense is included in the respective categories of expense in the condensed consolidated statements of operations. We expect to continue to incur significant non-cash compensation expenses.</w:t>
      </w:r>
    </w:p>
    <w:p>
      <w:pPr>
        <w:spacing w:after="0" w:line="188" w:lineRule="exact"/>
        <w:rPr>
          <w:sz w:val="20"/>
          <w:szCs w:val="20"/>
          <w:color w:val="auto"/>
        </w:rPr>
      </w:pPr>
    </w:p>
    <w:p>
      <w:pPr>
        <w:jc w:val="both"/>
        <w:ind w:left="60" w:right="79" w:firstLine="486"/>
        <w:spacing w:after="0" w:line="279" w:lineRule="auto"/>
        <w:rPr>
          <w:sz w:val="20"/>
          <w:szCs w:val="20"/>
          <w:color w:val="auto"/>
        </w:rPr>
      </w:pPr>
      <w:r>
        <w:rPr>
          <w:rFonts w:ascii="Arial" w:cs="Arial" w:eastAsia="Arial" w:hAnsi="Arial"/>
          <w:sz w:val="17"/>
          <w:szCs w:val="17"/>
          <w:color w:val="auto"/>
        </w:rPr>
        <w:t>We recognize all stock-based payments to employees and non-employee directors (as compensation for service) as noncash compensation expense in the consolidated financial statements based on the fair values of such payments. Stock-based compensation expense recognized each period is based on the value of the portion of stock-based payment awards that is ultimately expected to vest during the period. Forfeitures are recognized as they occur.</w:t>
      </w:r>
    </w:p>
    <w:p>
      <w:pPr>
        <w:spacing w:after="0" w:line="171" w:lineRule="exact"/>
        <w:rPr>
          <w:sz w:val="20"/>
          <w:szCs w:val="20"/>
          <w:color w:val="auto"/>
        </w:rPr>
      </w:pPr>
    </w:p>
    <w:p>
      <w:pPr>
        <w:jc w:val="both"/>
        <w:ind w:left="60" w:right="59" w:firstLine="486"/>
        <w:spacing w:after="0" w:line="259" w:lineRule="auto"/>
        <w:rPr>
          <w:sz w:val="20"/>
          <w:szCs w:val="20"/>
          <w:color w:val="auto"/>
        </w:rPr>
      </w:pPr>
      <w:r>
        <w:rPr>
          <w:rFonts w:ascii="Arial" w:cs="Arial" w:eastAsia="Arial" w:hAnsi="Arial"/>
          <w:sz w:val="18"/>
          <w:szCs w:val="18"/>
          <w:color w:val="auto"/>
        </w:rPr>
        <w:t>In addition, because some of the options, restricted stock and warrants issued to employees, consultants and other third parties vest upon achievement of certain milestones, the total expense is uncertain. Compensation expense for such awards that vest upon the achievement of milestones is recognized when the achievement of such milestones becomes probable.</w:t>
      </w:r>
    </w:p>
    <w:p>
      <w:pPr>
        <w:spacing w:after="0" w:line="187" w:lineRule="exact"/>
        <w:rPr>
          <w:sz w:val="20"/>
          <w:szCs w:val="20"/>
          <w:color w:val="auto"/>
        </w:rPr>
      </w:pPr>
    </w:p>
    <w:p>
      <w:pPr>
        <w:jc w:val="both"/>
        <w:ind w:left="60" w:right="59" w:firstLine="486"/>
        <w:spacing w:after="0" w:line="253" w:lineRule="auto"/>
        <w:rPr>
          <w:sz w:val="20"/>
          <w:szCs w:val="20"/>
          <w:color w:val="auto"/>
        </w:rPr>
      </w:pPr>
      <w:r>
        <w:rPr>
          <w:rFonts w:ascii="Arial" w:cs="Arial" w:eastAsia="Arial" w:hAnsi="Arial"/>
          <w:sz w:val="18"/>
          <w:szCs w:val="18"/>
          <w:color w:val="auto"/>
        </w:rPr>
        <w:t>Our clinical trials will be lengthy and expensive. Even if these trials show that our drug candidates are effective in treating certain diseases, there is no guarantee that we will be able to record commercial sales of any of our drug candidates in the near future, or at all. In addition, we expect losses to continue as we fund in-licensing and development of new drug candidates. As we further our development efforts, we may enter into additional third-party collaborative agreements and incur additional expenses, such as licensing fees and milestone payments. In addition, we are establishing a commercial infrastructure to market, distribute, and sell our medicines following approval, if any, by the FDA or a foreign health authority, which has resulted in, and will continue to result in, additional expenses. As a result, our quarterly results may fluctuate and a quarter-by-quarter comparison of our operating results may not be a meaningful indication of our future performance.</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Three months ended June 30, 2020 and 2019</w:t>
      </w:r>
    </w:p>
    <w:p>
      <w:pPr>
        <w:spacing w:after="0" w:line="189" w:lineRule="exact"/>
        <w:rPr>
          <w:sz w:val="20"/>
          <w:szCs w:val="20"/>
          <w:color w:val="auto"/>
        </w:rPr>
      </w:pPr>
    </w:p>
    <w:p>
      <w:pPr>
        <w:jc w:val="both"/>
        <w:ind w:left="60" w:right="59" w:firstLine="492"/>
        <w:spacing w:after="0" w:line="257" w:lineRule="auto"/>
        <w:rPr>
          <w:sz w:val="20"/>
          <w:szCs w:val="20"/>
          <w:color w:val="auto"/>
        </w:rPr>
      </w:pPr>
      <w:r>
        <w:rPr>
          <w:rFonts w:ascii="Arial" w:cs="Arial" w:eastAsia="Arial" w:hAnsi="Arial"/>
          <w:sz w:val="18"/>
          <w:szCs w:val="18"/>
          <w:i w:val="1"/>
          <w:iCs w:val="1"/>
          <w:color w:val="auto"/>
        </w:rPr>
        <w:t xml:space="preserve">License Revenue. </w:t>
      </w:r>
      <w:r>
        <w:rPr>
          <w:rFonts w:ascii="Arial" w:cs="Arial" w:eastAsia="Arial" w:hAnsi="Arial"/>
          <w:sz w:val="18"/>
          <w:szCs w:val="18"/>
          <w:color w:val="auto"/>
        </w:rPr>
        <w:t>License revenue was approximately $38,000 for each of the three months ended June 30, 2020 and</w:t>
      </w:r>
      <w:r>
        <w:rPr>
          <w:rFonts w:ascii="Arial" w:cs="Arial" w:eastAsia="Arial" w:hAnsi="Arial"/>
          <w:sz w:val="18"/>
          <w:szCs w:val="18"/>
          <w:i w:val="1"/>
          <w:iCs w:val="1"/>
          <w:color w:val="auto"/>
        </w:rPr>
        <w:t xml:space="preserve"> </w:t>
      </w:r>
      <w:r>
        <w:rPr>
          <w:rFonts w:ascii="Arial" w:cs="Arial" w:eastAsia="Arial" w:hAnsi="Arial"/>
          <w:sz w:val="18"/>
          <w:szCs w:val="18"/>
          <w:color w:val="auto"/>
        </w:rPr>
        <w:t>2019. License revenue is related to the amortization of an upfront payment of $2.0 million received in 2012 associated with our license agreement with Ildong. The upfront payment from Ildong will be recognized as license revenue on a straight-line basis through December 2025, which represents the estimated period over which the Company will have certain ongoing responsibilities under the sublicense agreement.</w:t>
      </w:r>
    </w:p>
    <w:p>
      <w:pPr>
        <w:spacing w:after="0" w:line="147" w:lineRule="exact"/>
        <w:rPr>
          <w:sz w:val="20"/>
          <w:szCs w:val="20"/>
          <w:color w:val="auto"/>
        </w:rPr>
      </w:pPr>
    </w:p>
    <w:p>
      <w:pPr>
        <w:jc w:val="both"/>
        <w:ind w:left="60" w:right="79" w:firstLine="492"/>
        <w:spacing w:after="0" w:line="301" w:lineRule="auto"/>
        <w:rPr>
          <w:sz w:val="20"/>
          <w:szCs w:val="20"/>
          <w:color w:val="auto"/>
        </w:rPr>
      </w:pPr>
      <w:r>
        <w:rPr>
          <w:rFonts w:ascii="Arial" w:cs="Arial" w:eastAsia="Arial" w:hAnsi="Arial"/>
          <w:sz w:val="16"/>
          <w:szCs w:val="16"/>
          <w:i w:val="1"/>
          <w:iCs w:val="1"/>
          <w:color w:val="auto"/>
        </w:rPr>
        <w:t xml:space="preserve">Noncash Compensation Expense (Research and Development). </w:t>
      </w:r>
      <w:r>
        <w:rPr>
          <w:rFonts w:ascii="Arial" w:cs="Arial" w:eastAsia="Arial" w:hAnsi="Arial"/>
          <w:sz w:val="16"/>
          <w:szCs w:val="16"/>
          <w:color w:val="auto"/>
        </w:rPr>
        <w:t>Noncash compensation expense (research and</w:t>
      </w:r>
      <w:r>
        <w:rPr>
          <w:rFonts w:ascii="Arial" w:cs="Arial" w:eastAsia="Arial" w:hAnsi="Arial"/>
          <w:sz w:val="16"/>
          <w:szCs w:val="16"/>
          <w:i w:val="1"/>
          <w:iCs w:val="1"/>
          <w:color w:val="auto"/>
        </w:rPr>
        <w:t xml:space="preserve"> </w:t>
      </w:r>
      <w:r>
        <w:rPr>
          <w:rFonts w:ascii="Arial" w:cs="Arial" w:eastAsia="Arial" w:hAnsi="Arial"/>
          <w:sz w:val="16"/>
          <w:szCs w:val="16"/>
          <w:color w:val="auto"/>
        </w:rPr>
        <w:t>development) related to equity incentive grants totaled $1.6 million for the three months ended June 30, 2020, as compared to $1.4 million during the comparable period in 2019. The increase in noncash compensation expense was primarily due to greater compensation expense related to more research and development personnel during the period ended June 30, 2020.</w:t>
      </w:r>
    </w:p>
    <w:p>
      <w:pPr>
        <w:spacing w:after="0" w:line="130" w:lineRule="exact"/>
        <w:rPr>
          <w:sz w:val="20"/>
          <w:szCs w:val="20"/>
          <w:color w:val="auto"/>
        </w:rPr>
      </w:pPr>
    </w:p>
    <w:p>
      <w:pPr>
        <w:jc w:val="both"/>
        <w:ind w:left="60" w:right="59" w:firstLine="492"/>
        <w:spacing w:after="0" w:line="301" w:lineRule="auto"/>
        <w:rPr>
          <w:sz w:val="20"/>
          <w:szCs w:val="20"/>
          <w:color w:val="auto"/>
        </w:rPr>
      </w:pPr>
      <w:r>
        <w:rPr>
          <w:rFonts w:ascii="Arial" w:cs="Arial" w:eastAsia="Arial" w:hAnsi="Arial"/>
          <w:sz w:val="16"/>
          <w:szCs w:val="16"/>
          <w:i w:val="1"/>
          <w:iCs w:val="1"/>
          <w:color w:val="auto"/>
        </w:rPr>
        <w:t xml:space="preserve">Other Research and Development Expenses. </w:t>
      </w:r>
      <w:r>
        <w:rPr>
          <w:rFonts w:ascii="Arial" w:cs="Arial" w:eastAsia="Arial" w:hAnsi="Arial"/>
          <w:sz w:val="16"/>
          <w:szCs w:val="16"/>
          <w:color w:val="auto"/>
        </w:rPr>
        <w:t>Other research and development expenses increased by $3.5 million to</w:t>
      </w:r>
      <w:r>
        <w:rPr>
          <w:rFonts w:ascii="Arial" w:cs="Arial" w:eastAsia="Arial" w:hAnsi="Arial"/>
          <w:sz w:val="16"/>
          <w:szCs w:val="16"/>
          <w:i w:val="1"/>
          <w:iCs w:val="1"/>
          <w:color w:val="auto"/>
        </w:rPr>
        <w:t xml:space="preserve"> </w:t>
      </w:r>
      <w:r>
        <w:rPr>
          <w:rFonts w:ascii="Arial" w:cs="Arial" w:eastAsia="Arial" w:hAnsi="Arial"/>
          <w:sz w:val="16"/>
          <w:szCs w:val="16"/>
          <w:color w:val="auto"/>
        </w:rPr>
        <w:t>$34.9 million for the three months ended June 30, 2020, as compared to $31.4 million for the three months ended June 30, 2019. The increase in R&amp;D expense is primarily attributable to ongoing late-stage clinical development programs and related manufacturing costs for ublituximab and umbralisib during the three months ended June 30, 2020.</w:t>
      </w:r>
    </w:p>
    <w:p>
      <w:pPr>
        <w:spacing w:after="0" w:line="117" w:lineRule="exact"/>
        <w:rPr>
          <w:sz w:val="20"/>
          <w:szCs w:val="20"/>
          <w:color w:val="auto"/>
        </w:rPr>
      </w:pPr>
    </w:p>
    <w:p>
      <w:pPr>
        <w:jc w:val="both"/>
        <w:ind w:left="60" w:right="59" w:firstLine="492"/>
        <w:spacing w:after="0" w:line="275" w:lineRule="auto"/>
        <w:rPr>
          <w:sz w:val="20"/>
          <w:szCs w:val="20"/>
          <w:color w:val="auto"/>
        </w:rPr>
      </w:pPr>
      <w:r>
        <w:rPr>
          <w:rFonts w:ascii="Arial" w:cs="Arial" w:eastAsia="Arial" w:hAnsi="Arial"/>
          <w:sz w:val="17"/>
          <w:szCs w:val="17"/>
          <w:i w:val="1"/>
          <w:iCs w:val="1"/>
          <w:color w:val="auto"/>
        </w:rPr>
        <w:t xml:space="preserve">Noncash Compensation Expense (General and Administrative). </w:t>
      </w:r>
      <w:r>
        <w:rPr>
          <w:rFonts w:ascii="Arial" w:cs="Arial" w:eastAsia="Arial" w:hAnsi="Arial"/>
          <w:sz w:val="17"/>
          <w:szCs w:val="17"/>
          <w:color w:val="auto"/>
        </w:rPr>
        <w:t>Noncash compensation expense (general and</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administrative) related to equity incentive grants increased by $5.4 million to $5.8 million for the three months ended June 30, 2020, as compared to $0.4 million for the three months ended June 30, 2019. The increase in noncash compensation expense was primarily related to greater compensation expense during the three months ended June 30, 2020 related to restricted stock and stock options granted to executive personnel.</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92"/>
        <w:spacing w:after="0" w:line="257" w:lineRule="auto"/>
        <w:rPr>
          <w:sz w:val="20"/>
          <w:szCs w:val="20"/>
          <w:color w:val="auto"/>
        </w:rPr>
      </w:pPr>
      <w:r>
        <w:rPr>
          <w:rFonts w:ascii="Arial" w:cs="Arial" w:eastAsia="Arial" w:hAnsi="Arial"/>
          <w:sz w:val="18"/>
          <w:szCs w:val="18"/>
          <w:i w:val="1"/>
          <w:iCs w:val="1"/>
          <w:color w:val="auto"/>
        </w:rPr>
        <w:t>Other General and Administrative Expenses</w:t>
      </w:r>
      <w:r>
        <w:rPr>
          <w:rFonts w:ascii="Arial" w:cs="Arial" w:eastAsia="Arial" w:hAnsi="Arial"/>
          <w:sz w:val="18"/>
          <w:szCs w:val="18"/>
          <w:color w:val="auto"/>
        </w:rPr>
        <w:t>. Other general and administrative expenses was $8.6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June 30, 2020, as compared to $2.3 million for the three months ended June 30, 2019. The increase was due primarily to increased personnel and other general and administrative costs, associated with preparations for a potential commercial launch. We expect our other general and administrative expenses to increase modestly during 2020 in preparation for potential launch.</w:t>
      </w:r>
    </w:p>
    <w:p>
      <w:pPr>
        <w:spacing w:after="0" w:line="161" w:lineRule="exact"/>
        <w:rPr>
          <w:sz w:val="20"/>
          <w:szCs w:val="20"/>
          <w:color w:val="auto"/>
        </w:rPr>
      </w:pPr>
    </w:p>
    <w:p>
      <w:pPr>
        <w:jc w:val="both"/>
        <w:ind w:left="60" w:right="59" w:firstLine="492"/>
        <w:spacing w:after="0" w:line="259"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increased by $1.1 million to $2.2 million for the three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2020, as compared to $1.1 million for the three months ended June 30, 2019. The increase is mainly due to interest expense related to administrative fees in connection with contract manufacturing costs during the three months ended June 30, 2020.</w:t>
      </w:r>
    </w:p>
    <w:p>
      <w:pPr>
        <w:spacing w:after="0" w:line="146" w:lineRule="exact"/>
        <w:rPr>
          <w:sz w:val="20"/>
          <w:szCs w:val="20"/>
          <w:color w:val="auto"/>
        </w:rPr>
      </w:pPr>
    </w:p>
    <w:p>
      <w:pPr>
        <w:jc w:val="both"/>
        <w:ind w:left="60" w:right="59" w:firstLine="492"/>
        <w:spacing w:after="0" w:line="263" w:lineRule="auto"/>
        <w:rPr>
          <w:sz w:val="20"/>
          <w:szCs w:val="20"/>
          <w:color w:val="auto"/>
        </w:rPr>
      </w:pPr>
      <w:r>
        <w:rPr>
          <w:rFonts w:ascii="Arial" w:cs="Arial" w:eastAsia="Arial" w:hAnsi="Arial"/>
          <w:sz w:val="18"/>
          <w:szCs w:val="18"/>
          <w:i w:val="1"/>
          <w:iCs w:val="1"/>
          <w:color w:val="auto"/>
        </w:rPr>
        <w:t>Other Income</w:t>
      </w:r>
      <w:r>
        <w:rPr>
          <w:rFonts w:ascii="Arial" w:cs="Arial" w:eastAsia="Arial" w:hAnsi="Arial"/>
          <w:sz w:val="18"/>
          <w:szCs w:val="18"/>
          <w:color w:val="auto"/>
        </w:rPr>
        <w:t>. Other income was $0.2 million for the three months ended June 30, 2020, as compared to $0.4</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three months ended June 30, 2019. We expect our other income to remain at a comparable level for the remainder of 2020.</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Six months ended June 30, 2020 and 2019</w:t>
      </w:r>
    </w:p>
    <w:p>
      <w:pPr>
        <w:spacing w:after="0" w:line="202" w:lineRule="exact"/>
        <w:rPr>
          <w:sz w:val="20"/>
          <w:szCs w:val="20"/>
          <w:color w:val="auto"/>
        </w:rPr>
      </w:pPr>
    </w:p>
    <w:p>
      <w:pPr>
        <w:jc w:val="both"/>
        <w:ind w:left="60" w:right="59" w:firstLine="492"/>
        <w:spacing w:after="0" w:line="263" w:lineRule="auto"/>
        <w:rPr>
          <w:sz w:val="20"/>
          <w:szCs w:val="20"/>
          <w:color w:val="auto"/>
        </w:rPr>
      </w:pPr>
      <w:r>
        <w:rPr>
          <w:rFonts w:ascii="Arial" w:cs="Arial" w:eastAsia="Arial" w:hAnsi="Arial"/>
          <w:sz w:val="18"/>
          <w:szCs w:val="18"/>
          <w:i w:val="1"/>
          <w:iCs w:val="1"/>
          <w:color w:val="auto"/>
        </w:rPr>
        <w:t xml:space="preserve">License Revenue. </w:t>
      </w:r>
      <w:r>
        <w:rPr>
          <w:rFonts w:ascii="Arial" w:cs="Arial" w:eastAsia="Arial" w:hAnsi="Arial"/>
          <w:sz w:val="18"/>
          <w:szCs w:val="18"/>
          <w:color w:val="auto"/>
        </w:rPr>
        <w:t>License revenue was approximately $76,000 for each of the six months ended June 30, 2020 and</w:t>
      </w:r>
      <w:r>
        <w:rPr>
          <w:rFonts w:ascii="Arial" w:cs="Arial" w:eastAsia="Arial" w:hAnsi="Arial"/>
          <w:sz w:val="18"/>
          <w:szCs w:val="18"/>
          <w:i w:val="1"/>
          <w:iCs w:val="1"/>
          <w:color w:val="auto"/>
        </w:rPr>
        <w:t xml:space="preserve"> </w:t>
      </w:r>
      <w:r>
        <w:rPr>
          <w:rFonts w:ascii="Arial" w:cs="Arial" w:eastAsia="Arial" w:hAnsi="Arial"/>
          <w:sz w:val="18"/>
          <w:szCs w:val="18"/>
          <w:color w:val="auto"/>
        </w:rPr>
        <w:t>2019. License revenue is related to the amortization of an upfront payment of $2.0 million received in 2012 associated with our license agreement with Ildong.</w:t>
      </w:r>
    </w:p>
    <w:p>
      <w:pPr>
        <w:spacing w:after="0" w:line="143" w:lineRule="exact"/>
        <w:rPr>
          <w:sz w:val="20"/>
          <w:szCs w:val="20"/>
          <w:color w:val="auto"/>
        </w:rPr>
      </w:pPr>
    </w:p>
    <w:p>
      <w:pPr>
        <w:jc w:val="both"/>
        <w:ind w:left="60" w:right="59" w:firstLine="492"/>
        <w:spacing w:after="0" w:line="301" w:lineRule="auto"/>
        <w:rPr>
          <w:sz w:val="20"/>
          <w:szCs w:val="20"/>
          <w:color w:val="auto"/>
        </w:rPr>
      </w:pPr>
      <w:r>
        <w:rPr>
          <w:rFonts w:ascii="Arial" w:cs="Arial" w:eastAsia="Arial" w:hAnsi="Arial"/>
          <w:sz w:val="16"/>
          <w:szCs w:val="16"/>
          <w:i w:val="1"/>
          <w:iCs w:val="1"/>
          <w:color w:val="auto"/>
        </w:rPr>
        <w:t xml:space="preserve">Noncash Compensation Expense (Research and Development). </w:t>
      </w:r>
      <w:r>
        <w:rPr>
          <w:rFonts w:ascii="Arial" w:cs="Arial" w:eastAsia="Arial" w:hAnsi="Arial"/>
          <w:sz w:val="16"/>
          <w:szCs w:val="16"/>
          <w:color w:val="auto"/>
        </w:rPr>
        <w:t>Noncash compensation expense (research and</w:t>
      </w:r>
      <w:r>
        <w:rPr>
          <w:rFonts w:ascii="Arial" w:cs="Arial" w:eastAsia="Arial" w:hAnsi="Arial"/>
          <w:sz w:val="16"/>
          <w:szCs w:val="16"/>
          <w:i w:val="1"/>
          <w:iCs w:val="1"/>
          <w:color w:val="auto"/>
        </w:rPr>
        <w:t xml:space="preserve"> </w:t>
      </w:r>
      <w:r>
        <w:rPr>
          <w:rFonts w:ascii="Arial" w:cs="Arial" w:eastAsia="Arial" w:hAnsi="Arial"/>
          <w:sz w:val="16"/>
          <w:szCs w:val="16"/>
          <w:color w:val="auto"/>
        </w:rPr>
        <w:t>development) related to equity incentive grants totaled $3.5 million for the six months ended June 30, 2020, as compared to $2.8 million during the comparable period in 2019. The increase in noncash compensation expense was primarily due to greater compensation expense related to more research and development personnel during the period ended June 30, 2020.</w:t>
      </w:r>
    </w:p>
    <w:p>
      <w:pPr>
        <w:spacing w:after="0" w:line="117" w:lineRule="exact"/>
        <w:rPr>
          <w:sz w:val="20"/>
          <w:szCs w:val="20"/>
          <w:color w:val="auto"/>
        </w:rPr>
      </w:pPr>
    </w:p>
    <w:p>
      <w:pPr>
        <w:jc w:val="both"/>
        <w:ind w:left="60" w:right="59" w:firstLine="492"/>
        <w:spacing w:after="0" w:line="279" w:lineRule="auto"/>
        <w:rPr>
          <w:sz w:val="20"/>
          <w:szCs w:val="20"/>
          <w:color w:val="auto"/>
        </w:rPr>
      </w:pPr>
      <w:r>
        <w:rPr>
          <w:rFonts w:ascii="Arial" w:cs="Arial" w:eastAsia="Arial" w:hAnsi="Arial"/>
          <w:sz w:val="17"/>
          <w:szCs w:val="17"/>
          <w:i w:val="1"/>
          <w:iCs w:val="1"/>
          <w:color w:val="auto"/>
        </w:rPr>
        <w:t xml:space="preserve">Other Research and Development Expenses. </w:t>
      </w:r>
      <w:r>
        <w:rPr>
          <w:rFonts w:ascii="Arial" w:cs="Arial" w:eastAsia="Arial" w:hAnsi="Arial"/>
          <w:sz w:val="17"/>
          <w:szCs w:val="17"/>
          <w:color w:val="auto"/>
        </w:rPr>
        <w:t>Other research and development expenses increased by $6.6 million to</w:t>
      </w:r>
      <w:r>
        <w:rPr>
          <w:rFonts w:ascii="Arial" w:cs="Arial" w:eastAsia="Arial" w:hAnsi="Arial"/>
          <w:sz w:val="17"/>
          <w:szCs w:val="17"/>
          <w:i w:val="1"/>
          <w:iCs w:val="1"/>
          <w:color w:val="auto"/>
        </w:rPr>
        <w:t xml:space="preserve"> </w:t>
      </w:r>
      <w:r>
        <w:rPr>
          <w:rFonts w:ascii="Arial" w:cs="Arial" w:eastAsia="Arial" w:hAnsi="Arial"/>
          <w:sz w:val="17"/>
          <w:szCs w:val="17"/>
          <w:color w:val="auto"/>
        </w:rPr>
        <w:t>$68.9 million for the six months ended June 30, 2020, as compared to $62.3 million for the six months ended June 30, 2019. The increase in R&amp;D expense is primarily attributable to ongoing late-stage clinical development programs and related manufacturing costs for ublituximab and umbralisib during the six months ended June 30, 2020.</w:t>
      </w:r>
    </w:p>
    <w:p>
      <w:pPr>
        <w:spacing w:after="0" w:line="144" w:lineRule="exact"/>
        <w:rPr>
          <w:sz w:val="20"/>
          <w:szCs w:val="20"/>
          <w:color w:val="auto"/>
        </w:rPr>
      </w:pPr>
    </w:p>
    <w:p>
      <w:pPr>
        <w:jc w:val="both"/>
        <w:ind w:left="60" w:right="59" w:firstLine="492"/>
        <w:spacing w:after="0" w:line="257" w:lineRule="auto"/>
        <w:rPr>
          <w:sz w:val="20"/>
          <w:szCs w:val="20"/>
          <w:color w:val="auto"/>
        </w:rPr>
      </w:pPr>
      <w:r>
        <w:rPr>
          <w:rFonts w:ascii="Arial" w:cs="Arial" w:eastAsia="Arial" w:hAnsi="Arial"/>
          <w:sz w:val="18"/>
          <w:szCs w:val="18"/>
          <w:i w:val="1"/>
          <w:iCs w:val="1"/>
          <w:color w:val="auto"/>
        </w:rPr>
        <w:t xml:space="preserve">Noncash Compensation Expense (General and Administrative). </w:t>
      </w:r>
      <w:r>
        <w:rPr>
          <w:rFonts w:ascii="Arial" w:cs="Arial" w:eastAsia="Arial" w:hAnsi="Arial"/>
          <w:sz w:val="18"/>
          <w:szCs w:val="18"/>
          <w:color w:val="auto"/>
        </w:rPr>
        <w:t>Noncash compensation expense (general and</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related to equity incentive grants increased by $14.1 million to $14.9 million for the six months ended June 30, 2020, as compared to $0.8 million for the six months ended June 30, 2019. The increase in noncash compensation expense was primarily related to greater compensation expense during the six months ended June 30, 2020 related to restricted stock and stock options granted to executive personnel.</w:t>
      </w:r>
    </w:p>
    <w:p>
      <w:pPr>
        <w:spacing w:after="0" w:line="147" w:lineRule="exact"/>
        <w:rPr>
          <w:sz w:val="20"/>
          <w:szCs w:val="20"/>
          <w:color w:val="auto"/>
        </w:rPr>
      </w:pPr>
    </w:p>
    <w:p>
      <w:pPr>
        <w:jc w:val="both"/>
        <w:ind w:left="60" w:right="59" w:firstLine="492"/>
        <w:spacing w:after="0" w:line="257" w:lineRule="auto"/>
        <w:rPr>
          <w:sz w:val="20"/>
          <w:szCs w:val="20"/>
          <w:color w:val="auto"/>
        </w:rPr>
      </w:pPr>
      <w:r>
        <w:rPr>
          <w:rFonts w:ascii="Arial" w:cs="Arial" w:eastAsia="Arial" w:hAnsi="Arial"/>
          <w:sz w:val="18"/>
          <w:szCs w:val="18"/>
          <w:i w:val="1"/>
          <w:iCs w:val="1"/>
          <w:color w:val="auto"/>
        </w:rPr>
        <w:t>Other General and Administrative Expenses</w:t>
      </w:r>
      <w:r>
        <w:rPr>
          <w:rFonts w:ascii="Arial" w:cs="Arial" w:eastAsia="Arial" w:hAnsi="Arial"/>
          <w:sz w:val="18"/>
          <w:szCs w:val="18"/>
          <w:color w:val="auto"/>
        </w:rPr>
        <w:t>. Other general and administrative expenses was $13.8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six months ended June 30, 2020, as compared to $4.3 million for the six months ended June 30, 2019. The increase was due primarily to increased personnel and other general and administrative costs, associated with preparations for a potential commercial launch. We expect our other general and administrative expenses to increase modestly during 2020 in preparation for potential launch.</w:t>
      </w:r>
    </w:p>
    <w:p>
      <w:pPr>
        <w:spacing w:after="0" w:line="147" w:lineRule="exact"/>
        <w:rPr>
          <w:sz w:val="20"/>
          <w:szCs w:val="20"/>
          <w:color w:val="auto"/>
        </w:rPr>
      </w:pPr>
    </w:p>
    <w:p>
      <w:pPr>
        <w:jc w:val="both"/>
        <w:ind w:left="60" w:right="59" w:firstLine="492"/>
        <w:spacing w:after="0" w:line="311" w:lineRule="auto"/>
        <w:rPr>
          <w:sz w:val="20"/>
          <w:szCs w:val="20"/>
          <w:color w:val="auto"/>
        </w:rPr>
      </w:pPr>
      <w:r>
        <w:rPr>
          <w:rFonts w:ascii="Arial" w:cs="Arial" w:eastAsia="Arial" w:hAnsi="Arial"/>
          <w:sz w:val="16"/>
          <w:szCs w:val="16"/>
          <w:i w:val="1"/>
          <w:iCs w:val="1"/>
          <w:color w:val="auto"/>
        </w:rPr>
        <w:t>Interest Expense</w:t>
      </w:r>
      <w:r>
        <w:rPr>
          <w:rFonts w:ascii="Arial" w:cs="Arial" w:eastAsia="Arial" w:hAnsi="Arial"/>
          <w:sz w:val="16"/>
          <w:szCs w:val="16"/>
          <w:color w:val="auto"/>
        </w:rPr>
        <w:t>. Interest expense increased by $1.5 million to $3.4 million for the six months ended June 30, 2020,</w:t>
      </w:r>
      <w:r>
        <w:rPr>
          <w:rFonts w:ascii="Arial" w:cs="Arial" w:eastAsia="Arial" w:hAnsi="Arial"/>
          <w:sz w:val="16"/>
          <w:szCs w:val="16"/>
          <w:i w:val="1"/>
          <w:iCs w:val="1"/>
          <w:color w:val="auto"/>
        </w:rPr>
        <w:t xml:space="preserve"> </w:t>
      </w:r>
      <w:r>
        <w:rPr>
          <w:rFonts w:ascii="Arial" w:cs="Arial" w:eastAsia="Arial" w:hAnsi="Arial"/>
          <w:sz w:val="16"/>
          <w:szCs w:val="16"/>
          <w:color w:val="auto"/>
        </w:rPr>
        <w:t>as compared to $1.9 million for the six months ended June 30, 2019. The increase is mainly due to interest expense related to administrative fees in connection with contract manufacturing costs during the six months ended June 30, 2020.</w:t>
      </w:r>
    </w:p>
    <w:p>
      <w:pPr>
        <w:spacing w:after="0" w:line="122" w:lineRule="exact"/>
        <w:rPr>
          <w:sz w:val="20"/>
          <w:szCs w:val="20"/>
          <w:color w:val="auto"/>
        </w:rPr>
      </w:pPr>
    </w:p>
    <w:p>
      <w:pPr>
        <w:jc w:val="both"/>
        <w:ind w:left="60" w:right="59" w:firstLine="492"/>
        <w:spacing w:after="0" w:line="263" w:lineRule="auto"/>
        <w:rPr>
          <w:sz w:val="20"/>
          <w:szCs w:val="20"/>
          <w:color w:val="auto"/>
        </w:rPr>
      </w:pPr>
      <w:r>
        <w:rPr>
          <w:rFonts w:ascii="Arial" w:cs="Arial" w:eastAsia="Arial" w:hAnsi="Arial"/>
          <w:sz w:val="18"/>
          <w:szCs w:val="18"/>
          <w:i w:val="1"/>
          <w:iCs w:val="1"/>
          <w:color w:val="auto"/>
        </w:rPr>
        <w:t>Other Income</w:t>
      </w:r>
      <w:r>
        <w:rPr>
          <w:rFonts w:ascii="Arial" w:cs="Arial" w:eastAsia="Arial" w:hAnsi="Arial"/>
          <w:sz w:val="18"/>
          <w:szCs w:val="18"/>
          <w:color w:val="auto"/>
        </w:rPr>
        <w:t>. Other income was $0.5 million for the six months ended June 30, 2020, as compared to $0.7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six months ended June 30, 2019. We expect our other income to remain at a comparable level for the remainder of 2020.</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02" w:lineRule="exact"/>
        <w:rPr>
          <w:sz w:val="20"/>
          <w:szCs w:val="20"/>
          <w:color w:val="auto"/>
        </w:rPr>
      </w:pPr>
    </w:p>
    <w:p>
      <w:pPr>
        <w:jc w:val="both"/>
        <w:ind w:left="60" w:right="59" w:firstLine="492"/>
        <w:spacing w:after="0" w:line="272" w:lineRule="auto"/>
        <w:rPr>
          <w:sz w:val="20"/>
          <w:szCs w:val="20"/>
          <w:color w:val="auto"/>
        </w:rPr>
      </w:pPr>
      <w:r>
        <w:rPr>
          <w:rFonts w:ascii="Arial" w:cs="Arial" w:eastAsia="Arial" w:hAnsi="Arial"/>
          <w:sz w:val="17"/>
          <w:szCs w:val="17"/>
          <w:color w:val="auto"/>
        </w:rPr>
        <w:t>Our primary sources of cash have been from the sale of equity securities, debt financings, the upfront payment from our Sublicense Agreement with Ildong, and warrant and option exercises. We have not yet commercialized any of our drug candidates and cannot be sure if we will ever be able to do so. Even if we commercialize one or more of our drug candidates, we may not become profitable. Our ability to achieve profitability depends on a number of factors, including our ability to obtain regulatory approval for our drug candidates, successfully complete any post-approval regulatory obligations and successfully commercialize our drug candidates alone or in partnership. We may continue to incur substantial operating losses even if we begin to generate revenues from our drug candidates.</w:t>
      </w:r>
    </w:p>
    <w:p>
      <w:pPr>
        <w:spacing w:after="0" w:line="137" w:lineRule="exact"/>
        <w:rPr>
          <w:sz w:val="20"/>
          <w:szCs w:val="20"/>
          <w:color w:val="auto"/>
        </w:rPr>
      </w:pPr>
    </w:p>
    <w:p>
      <w:pPr>
        <w:jc w:val="both"/>
        <w:ind w:left="60" w:right="59" w:firstLine="492"/>
        <w:spacing w:after="0" w:line="293" w:lineRule="auto"/>
        <w:rPr>
          <w:sz w:val="20"/>
          <w:szCs w:val="20"/>
          <w:color w:val="auto"/>
        </w:rPr>
      </w:pPr>
      <w:r>
        <w:rPr>
          <w:rFonts w:ascii="Arial" w:cs="Arial" w:eastAsia="Arial" w:hAnsi="Arial"/>
          <w:sz w:val="16"/>
          <w:szCs w:val="16"/>
          <w:color w:val="auto"/>
        </w:rPr>
        <w:t>As of June 30, 2020, we had approximately $275.6 million in cash and cash equivalents, and investment securities. We anticipate that our cash, cash equivalents, and investment securities on hand as of June 30, 2020 will provide sufficient liquidity for more than a twelve-month period from the date of filing this Quarterly Report on Form 10-Q. The actual amount of cash that we will need to operate is subject to many factors, including, but not limited to, the timing, design and conduct of clinical trials for our drug candidates. We are dependent upon significant financing to provide the cash necessary to execute our current operations, including the commercialization of any of our drug candidates.</w:t>
      </w:r>
    </w:p>
    <w:p>
      <w:pPr>
        <w:spacing w:after="0" w:line="124" w:lineRule="exact"/>
        <w:rPr>
          <w:sz w:val="20"/>
          <w:szCs w:val="20"/>
          <w:color w:val="auto"/>
        </w:rPr>
      </w:pPr>
    </w:p>
    <w:p>
      <w:pPr>
        <w:jc w:val="both"/>
        <w:ind w:left="60" w:right="59" w:firstLine="492"/>
        <w:spacing w:after="0" w:line="259" w:lineRule="auto"/>
        <w:rPr>
          <w:sz w:val="20"/>
          <w:szCs w:val="20"/>
          <w:color w:val="auto"/>
        </w:rPr>
      </w:pPr>
      <w:r>
        <w:rPr>
          <w:rFonts w:ascii="Arial" w:cs="Arial" w:eastAsia="Arial" w:hAnsi="Arial"/>
          <w:sz w:val="18"/>
          <w:szCs w:val="18"/>
          <w:color w:val="auto"/>
        </w:rPr>
        <w:t>Cash used in operating activities for the six months ended June 30, 2020 was $105.9 million as compared to $69.2 million for the six months ended June 30, 2019. The increase in cash used in operating activities was due primarily to increased expenditures associated with our scale-up for manufacturing as well as ongoing clinical development programs and paydown of accounts payable and accrued expenses.</w:t>
      </w:r>
    </w:p>
    <w:p>
      <w:pPr>
        <w:spacing w:after="0" w:line="160" w:lineRule="exact"/>
        <w:rPr>
          <w:sz w:val="20"/>
          <w:szCs w:val="20"/>
          <w:color w:val="auto"/>
        </w:rPr>
      </w:pPr>
    </w:p>
    <w:p>
      <w:pPr>
        <w:jc w:val="both"/>
        <w:ind w:left="60" w:right="59" w:firstLine="492"/>
        <w:spacing w:after="0" w:line="259" w:lineRule="auto"/>
        <w:rPr>
          <w:sz w:val="20"/>
          <w:szCs w:val="20"/>
          <w:color w:val="auto"/>
        </w:rPr>
      </w:pPr>
      <w:r>
        <w:rPr>
          <w:rFonts w:ascii="Arial" w:cs="Arial" w:eastAsia="Arial" w:hAnsi="Arial"/>
          <w:sz w:val="18"/>
          <w:szCs w:val="18"/>
          <w:color w:val="auto"/>
        </w:rPr>
        <w:t>For the six months ended June 30, 2020, net cash provided by investing activities was $12.7 million as compared to cash used in investing activities of $0.7 million for the six months ended June 30, 2019. The increase in net cash provided by investing activities was primarily due to greater proceeds from the maturity of short-term investment in treasury securities during the six months ended June 30, 2020.</w:t>
      </w:r>
    </w:p>
    <w:p>
      <w:pPr>
        <w:spacing w:after="0" w:line="146" w:lineRule="exact"/>
        <w:rPr>
          <w:sz w:val="20"/>
          <w:szCs w:val="20"/>
          <w:color w:val="auto"/>
        </w:rPr>
      </w:pPr>
    </w:p>
    <w:p>
      <w:pPr>
        <w:jc w:val="both"/>
        <w:ind w:left="60" w:right="59" w:firstLine="492"/>
        <w:spacing w:after="0" w:line="263" w:lineRule="auto"/>
        <w:rPr>
          <w:sz w:val="20"/>
          <w:szCs w:val="20"/>
          <w:color w:val="auto"/>
        </w:rPr>
      </w:pPr>
      <w:r>
        <w:rPr>
          <w:rFonts w:ascii="Arial" w:cs="Arial" w:eastAsia="Arial" w:hAnsi="Arial"/>
          <w:sz w:val="18"/>
          <w:szCs w:val="18"/>
          <w:color w:val="auto"/>
        </w:rPr>
        <w:t>For the six months ended June 30, 2020, net cash provided by financing activities of $241.2 million related to proceeds from the issuance of common stock as part of our underwritten public offering in May 2020 and our ATM program.</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202" w:lineRule="exact"/>
        <w:rPr>
          <w:sz w:val="20"/>
          <w:szCs w:val="20"/>
          <w:color w:val="auto"/>
        </w:rPr>
      </w:pPr>
    </w:p>
    <w:p>
      <w:pPr>
        <w:jc w:val="both"/>
        <w:ind w:left="60" w:right="59" w:firstLine="492"/>
        <w:spacing w:after="0" w:line="259" w:lineRule="auto"/>
        <w:rPr>
          <w:sz w:val="20"/>
          <w:szCs w:val="20"/>
          <w:color w:val="auto"/>
        </w:rPr>
      </w:pPr>
      <w:r>
        <w:rPr>
          <w:rFonts w:ascii="Arial" w:cs="Arial" w:eastAsia="Arial" w:hAnsi="Arial"/>
          <w:sz w:val="18"/>
          <w:szCs w:val="18"/>
          <w:color w:val="auto"/>
        </w:rPr>
        <w:t>We have not entered into any transactions with unconsolidated entities whereby we have financial guarantees, subordinated retained interests, derivative instruments or other contingent arrangements that expose us to material continuing risks, contingent liabilities, or any other obligations under a variable interest in an unconsolidated entity that provides us with financing, liquidity, market risk or credit risk support.</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89" w:lineRule="exact"/>
        <w:rPr>
          <w:sz w:val="20"/>
          <w:szCs w:val="20"/>
          <w:color w:val="auto"/>
        </w:rPr>
      </w:pPr>
    </w:p>
    <w:p>
      <w:pPr>
        <w:jc w:val="both"/>
        <w:ind w:left="60" w:right="79" w:firstLine="492"/>
        <w:spacing w:after="0" w:line="277" w:lineRule="auto"/>
        <w:rPr>
          <w:sz w:val="20"/>
          <w:szCs w:val="20"/>
          <w:color w:val="auto"/>
        </w:rPr>
      </w:pPr>
      <w:r>
        <w:rPr>
          <w:rFonts w:ascii="Arial" w:cs="Arial" w:eastAsia="Arial" w:hAnsi="Arial"/>
          <w:sz w:val="18"/>
          <w:szCs w:val="18"/>
          <w:color w:val="auto"/>
        </w:rPr>
        <w:t>As of June 30, 2020, we have known contractual obligations, commitments and contingencies of $73.1 million related to our long-term debt, contract manufacturer and operating lease obligations.</w:t>
      </w:r>
    </w:p>
    <w:p>
      <w:pPr>
        <w:spacing w:after="0" w:line="148"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3800" w:type="dxa"/>
            <w:vAlign w:val="bottom"/>
          </w:tcPr>
          <w:p>
            <w:pPr>
              <w:ind w:left="20"/>
              <w:spacing w:after="0"/>
              <w:rPr>
                <w:sz w:val="20"/>
                <w:szCs w:val="20"/>
                <w:color w:val="auto"/>
              </w:rPr>
            </w:pPr>
            <w:r>
              <w:rPr>
                <w:rFonts w:ascii="Arial" w:cs="Arial" w:eastAsia="Arial" w:hAnsi="Arial"/>
                <w:sz w:val="14"/>
                <w:szCs w:val="14"/>
                <w:b w:val="1"/>
                <w:bCs w:val="1"/>
                <w:color w:val="auto"/>
              </w:rPr>
              <w:t>Payment due by period (in thousands)</w:t>
            </w:r>
          </w:p>
        </w:tc>
        <w:tc>
          <w:tcPr>
            <w:tcW w:w="140" w:type="dxa"/>
            <w:vAlign w:val="bottom"/>
          </w:tcPr>
          <w:p>
            <w:pPr>
              <w:spacing w:after="0"/>
              <w:rPr>
                <w:sz w:val="16"/>
                <w:szCs w:val="16"/>
                <w:color w:val="auto"/>
              </w:rPr>
            </w:pPr>
          </w:p>
        </w:tc>
        <w:tc>
          <w:tcPr>
            <w:tcW w:w="7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1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Less than 1 year</w:t>
            </w:r>
          </w:p>
        </w:tc>
        <w:tc>
          <w:tcPr>
            <w:tcW w:w="860" w:type="dxa"/>
            <w:vAlign w:val="bottom"/>
            <w:gridSpan w:val="3"/>
            <w:vMerge w:val="restart"/>
          </w:tcPr>
          <w:p>
            <w:pPr>
              <w:ind w:left="80"/>
              <w:spacing w:after="0" w:line="161" w:lineRule="exact"/>
              <w:rPr>
                <w:sz w:val="20"/>
                <w:szCs w:val="20"/>
                <w:color w:val="auto"/>
              </w:rPr>
            </w:pPr>
            <w:r>
              <w:rPr>
                <w:rFonts w:ascii="Arial" w:cs="Arial" w:eastAsia="Arial" w:hAnsi="Arial"/>
                <w:sz w:val="14"/>
                <w:szCs w:val="14"/>
                <w:b w:val="1"/>
                <w:bCs w:val="1"/>
                <w:color w:val="auto"/>
              </w:rPr>
              <w:t>1</w:t>
            </w:r>
            <w:r>
              <w:rPr>
                <w:rFonts w:ascii="MS PGothic" w:cs="MS PGothic" w:eastAsia="MS PGothic" w:hAnsi="MS PGothic"/>
                <w:sz w:val="14"/>
                <w:szCs w:val="14"/>
                <w:b w:val="1"/>
                <w:bCs w:val="1"/>
                <w:color w:val="auto"/>
              </w:rPr>
              <w:t>‑</w:t>
            </w:r>
            <w:r>
              <w:rPr>
                <w:rFonts w:ascii="Arial" w:cs="Arial" w:eastAsia="Arial" w:hAnsi="Arial"/>
                <w:sz w:val="14"/>
                <w:szCs w:val="14"/>
                <w:b w:val="1"/>
                <w:bCs w:val="1"/>
                <w:color w:val="auto"/>
              </w:rPr>
              <w:t>3 years</w:t>
            </w:r>
          </w:p>
        </w:tc>
        <w:tc>
          <w:tcPr>
            <w:tcW w:w="100" w:type="dxa"/>
            <w:vAlign w:val="bottom"/>
          </w:tcPr>
          <w:p>
            <w:pPr>
              <w:spacing w:after="0"/>
              <w:rPr>
                <w:sz w:val="16"/>
                <w:szCs w:val="16"/>
                <w:color w:val="auto"/>
              </w:rPr>
            </w:pPr>
          </w:p>
        </w:tc>
        <w:tc>
          <w:tcPr>
            <w:tcW w:w="780" w:type="dxa"/>
            <w:vAlign w:val="bottom"/>
            <w:gridSpan w:val="2"/>
            <w:vMerge w:val="restart"/>
          </w:tcPr>
          <w:p>
            <w:pPr>
              <w:spacing w:after="0" w:line="161" w:lineRule="exact"/>
              <w:rPr>
                <w:sz w:val="20"/>
                <w:szCs w:val="20"/>
                <w:color w:val="auto"/>
              </w:rPr>
            </w:pPr>
            <w:r>
              <w:rPr>
                <w:rFonts w:ascii="Arial" w:cs="Arial" w:eastAsia="Arial" w:hAnsi="Arial"/>
                <w:sz w:val="14"/>
                <w:szCs w:val="14"/>
                <w:b w:val="1"/>
                <w:bCs w:val="1"/>
                <w:color w:val="auto"/>
              </w:rPr>
              <w:t>3</w:t>
            </w:r>
            <w:r>
              <w:rPr>
                <w:rFonts w:ascii="MS PGothic" w:cs="MS PGothic" w:eastAsia="MS PGothic" w:hAnsi="MS PGothic"/>
                <w:sz w:val="14"/>
                <w:szCs w:val="14"/>
                <w:b w:val="1"/>
                <w:bCs w:val="1"/>
                <w:color w:val="auto"/>
              </w:rPr>
              <w:t>‑</w:t>
            </w:r>
            <w:r>
              <w:rPr>
                <w:rFonts w:ascii="Arial" w:cs="Arial" w:eastAsia="Arial" w:hAnsi="Arial"/>
                <w:sz w:val="14"/>
                <w:szCs w:val="14"/>
                <w:b w:val="1"/>
                <w:bCs w:val="1"/>
                <w:color w:val="auto"/>
              </w:rPr>
              <w:t>5 years</w:t>
            </w:r>
          </w:p>
        </w:tc>
        <w:tc>
          <w:tcPr>
            <w:tcW w:w="100" w:type="dxa"/>
            <w:vAlign w:val="bottom"/>
          </w:tcPr>
          <w:p>
            <w:pPr>
              <w:spacing w:after="0"/>
              <w:rPr>
                <w:sz w:val="16"/>
                <w:szCs w:val="16"/>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More than 5 years</w:t>
            </w:r>
          </w:p>
        </w:tc>
        <w:tc>
          <w:tcPr>
            <w:tcW w:w="0" w:type="dxa"/>
            <w:vAlign w:val="bottom"/>
          </w:tcPr>
          <w:p>
            <w:pPr>
              <w:spacing w:after="0"/>
              <w:rPr>
                <w:sz w:val="1"/>
                <w:szCs w:val="1"/>
                <w:color w:val="auto"/>
              </w:rPr>
            </w:pPr>
          </w:p>
        </w:tc>
      </w:tr>
      <w:tr>
        <w:trPr>
          <w:trHeight w:val="133"/>
        </w:trPr>
        <w:tc>
          <w:tcPr>
            <w:tcW w:w="3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160" w:type="dxa"/>
            <w:vAlign w:val="bottom"/>
            <w:gridSpan w:val="3"/>
            <w:vMerge w:val="continue"/>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80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Contractual obligations</w:t>
            </w:r>
          </w:p>
        </w:tc>
        <w:tc>
          <w:tcPr>
            <w:tcW w:w="14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00" w:type="dxa"/>
            <w:vAlign w:val="bottom"/>
          </w:tcPr>
          <w:p>
            <w:pPr>
              <w:ind w:left="20"/>
              <w:spacing w:after="0"/>
              <w:rPr>
                <w:sz w:val="20"/>
                <w:szCs w:val="20"/>
                <w:color w:val="auto"/>
              </w:rPr>
            </w:pPr>
            <w:r>
              <w:rPr>
                <w:rFonts w:ascii="Arial" w:cs="Arial" w:eastAsia="Arial" w:hAnsi="Arial"/>
                <w:sz w:val="18"/>
                <w:szCs w:val="18"/>
                <w:color w:val="auto"/>
              </w:rPr>
              <w:t>Operating leases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19,072</w:t>
            </w:r>
          </w:p>
        </w:tc>
        <w:tc>
          <w:tcPr>
            <w:tcW w:w="16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1,893</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3,821</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3,513</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9,845</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30,000</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22,800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0" w:type="dxa"/>
            <w:vAlign w:val="bottom"/>
          </w:tcPr>
          <w:p>
            <w:pPr>
              <w:ind w:left="20"/>
              <w:spacing w:after="0"/>
              <w:rPr>
                <w:sz w:val="20"/>
                <w:szCs w:val="20"/>
                <w:color w:val="auto"/>
              </w:rPr>
            </w:pPr>
            <w:r>
              <w:rPr>
                <w:rFonts w:ascii="Arial" w:cs="Arial" w:eastAsia="Arial" w:hAnsi="Arial"/>
                <w:sz w:val="18"/>
                <w:szCs w:val="18"/>
                <w:color w:val="auto"/>
              </w:rPr>
              <w:t>Contract manufacturer</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23,707</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23,707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8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72,779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32,800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26,621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9,845</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492"/>
        <w:spacing w:after="0" w:line="311" w:lineRule="auto"/>
        <w:rPr>
          <w:sz w:val="20"/>
          <w:szCs w:val="20"/>
          <w:color w:val="auto"/>
        </w:rPr>
      </w:pPr>
      <w:r>
        <w:rPr>
          <w:rFonts w:ascii="Arial" w:cs="Arial" w:eastAsia="Arial" w:hAnsi="Arial"/>
          <w:sz w:val="16"/>
          <w:szCs w:val="16"/>
          <w:color w:val="auto"/>
        </w:rPr>
        <w:t>The terms of certain of our licenses, royalties, development and collaboration agreements, as well as other research and development activities, require us to pay potential future milestone payments based on product development success. The above table excludes such obligations as the amount and timing of such obligations are unknown or uncertain.</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w:t>
      </w:r>
    </w:p>
    <w:p>
      <w:pPr>
        <w:spacing w:after="0" w:line="202" w:lineRule="exact"/>
        <w:rPr>
          <w:sz w:val="20"/>
          <w:szCs w:val="20"/>
          <w:color w:val="auto"/>
        </w:rPr>
      </w:pPr>
    </w:p>
    <w:p>
      <w:pPr>
        <w:jc w:val="both"/>
        <w:ind w:left="60" w:right="59" w:firstLine="492"/>
        <w:spacing w:after="0" w:line="255" w:lineRule="auto"/>
        <w:rPr>
          <w:sz w:val="20"/>
          <w:szCs w:val="20"/>
          <w:color w:val="auto"/>
        </w:rPr>
      </w:pPr>
      <w:r>
        <w:rPr>
          <w:rFonts w:ascii="Arial" w:cs="Arial" w:eastAsia="Arial" w:hAnsi="Arial"/>
          <w:sz w:val="18"/>
          <w:szCs w:val="18"/>
          <w:color w:val="auto"/>
        </w:rPr>
        <w:t>The discussion and analysis of our financial condition and results of operations is based upon our consolidated financial statements, which have been prepared in accordance with GAAP. The preparation of these financial statements requires us to make estimates and judgments that affect the reported amount of assets and liabilities and related disclosure of contingent assets and liabilities at the date of our financial statements and the reported amounts of revenues and expenses during the applicable period. Actual results may differ from these estimates under different assumptions or conditions.</w:t>
      </w:r>
    </w:p>
    <w:p>
      <w:pPr>
        <w:spacing w:after="0" w:line="152" w:lineRule="exact"/>
        <w:rPr>
          <w:sz w:val="20"/>
          <w:szCs w:val="20"/>
          <w:color w:val="auto"/>
        </w:rPr>
      </w:pPr>
    </w:p>
    <w:p>
      <w:pPr>
        <w:jc w:val="both"/>
        <w:ind w:left="60" w:right="59" w:firstLine="492"/>
        <w:spacing w:after="0" w:line="257" w:lineRule="auto"/>
        <w:rPr>
          <w:sz w:val="20"/>
          <w:szCs w:val="20"/>
          <w:color w:val="auto"/>
        </w:rPr>
      </w:pPr>
      <w:r>
        <w:rPr>
          <w:rFonts w:ascii="Arial" w:cs="Arial" w:eastAsia="Arial" w:hAnsi="Arial"/>
          <w:sz w:val="18"/>
          <w:szCs w:val="18"/>
          <w:color w:val="auto"/>
        </w:rPr>
        <w:t>We define critical accounting policies as those that are reflective of significant judgments and uncertainties and which may potentially result in materially different results under different assumptions and conditions. In applying these critical accounting policies, our management uses its judgment to determine the appropriate assumptions to be used in making certain estimates. These estimates are subject to an inherent degree of uncertainty. Our critical accounting policies include the following:</w:t>
      </w:r>
    </w:p>
    <w:p>
      <w:pPr>
        <w:spacing w:after="0" w:line="147" w:lineRule="exact"/>
        <w:rPr>
          <w:sz w:val="20"/>
          <w:szCs w:val="20"/>
          <w:color w:val="auto"/>
        </w:rPr>
      </w:pPr>
    </w:p>
    <w:p>
      <w:pPr>
        <w:jc w:val="both"/>
        <w:ind w:left="60" w:right="59" w:firstLine="492"/>
        <w:spacing w:after="0" w:line="257"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The Company recognizes revenue under ASC Topic 606, “Revenue from Contracts with</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(“ASC 606”). The core principle of this revenue standard is that a company should recognize revenue to depict the transfer of promised goods or services to customers in an amount that reflects the consideration to which the company expects to be entitled in exchange for those goods or services. The following five steps are applied to achieve that core principle:</w:t>
      </w:r>
    </w:p>
    <w:p>
      <w:pPr>
        <w:spacing w:after="0" w:line="161" w:lineRule="exact"/>
        <w:rPr>
          <w:sz w:val="20"/>
          <w:szCs w:val="20"/>
          <w:color w:val="auto"/>
        </w:rPr>
      </w:pPr>
    </w:p>
    <w:p>
      <w:pPr>
        <w:ind w:left="1040" w:hanging="315"/>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Step 1: Identify the contract with the customer</w:t>
      </w:r>
    </w:p>
    <w:p>
      <w:pPr>
        <w:spacing w:after="0" w:line="23" w:lineRule="exact"/>
        <w:rPr>
          <w:rFonts w:ascii="Arial" w:cs="Arial" w:eastAsia="Arial" w:hAnsi="Arial"/>
          <w:sz w:val="18"/>
          <w:szCs w:val="18"/>
          <w:color w:val="auto"/>
        </w:rPr>
      </w:pPr>
    </w:p>
    <w:p>
      <w:pPr>
        <w:ind w:left="1040" w:hanging="315"/>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Step 2: Identify the performance obligations in the contract</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Step 3: Determine the transaction price</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Step 4: Allocate the transaction price to the performance obligations in the contract</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Step 5: Recognize revenue when the company satisfies a performance obligation</w:t>
      </w:r>
    </w:p>
    <w:p>
      <w:pPr>
        <w:spacing w:after="0" w:line="170" w:lineRule="exact"/>
        <w:rPr>
          <w:sz w:val="20"/>
          <w:szCs w:val="20"/>
          <w:color w:val="auto"/>
        </w:rPr>
      </w:pPr>
    </w:p>
    <w:p>
      <w:pPr>
        <w:jc w:val="both"/>
        <w:ind w:left="60" w:right="59" w:firstLine="492"/>
        <w:spacing w:after="0" w:line="259" w:lineRule="auto"/>
        <w:rPr>
          <w:sz w:val="20"/>
          <w:szCs w:val="20"/>
          <w:color w:val="auto"/>
        </w:rPr>
      </w:pPr>
      <w:r>
        <w:rPr>
          <w:rFonts w:ascii="Arial" w:cs="Arial" w:eastAsia="Arial" w:hAnsi="Arial"/>
          <w:sz w:val="18"/>
          <w:szCs w:val="18"/>
          <w:color w:val="auto"/>
        </w:rPr>
        <w:t>In order to identify the performance obligations in a contract with a customer, a company must assess the promised goods or services in the contract and identify each promised good or service that is distinct. A performance obligation meets ASC 606s definition of a distinct good or service (or bundle of goods or services) if both of the following criteria are met:</w:t>
      </w:r>
    </w:p>
    <w:p>
      <w:pPr>
        <w:spacing w:after="0" w:line="146" w:lineRule="exact"/>
        <w:rPr>
          <w:sz w:val="20"/>
          <w:szCs w:val="20"/>
          <w:color w:val="auto"/>
        </w:rPr>
      </w:pPr>
    </w:p>
    <w:p>
      <w:pPr>
        <w:ind w:left="1040" w:right="79" w:hanging="315"/>
        <w:spacing w:after="0" w:line="274" w:lineRule="auto"/>
        <w:tabs>
          <w:tab w:leader="none" w:pos="10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customer can benefit from the good or service either on its own or together with other resources that are readily available to the customer (i.e., the good or service is capable of being distinct); and</w:t>
      </w:r>
    </w:p>
    <w:p>
      <w:pPr>
        <w:jc w:val="both"/>
        <w:ind w:left="1040" w:right="79" w:hanging="315"/>
        <w:spacing w:after="0" w:line="255"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entity’s promise to transfer the good or service to the customer is separately identifiable from other promises in the contract (i.e., the promise to transfer the good or service is distinct within the context of the contract).</w:t>
      </w:r>
    </w:p>
    <w:p>
      <w:pPr>
        <w:spacing w:after="0" w:line="163" w:lineRule="exact"/>
        <w:rPr>
          <w:sz w:val="20"/>
          <w:szCs w:val="20"/>
          <w:color w:val="auto"/>
        </w:rPr>
      </w:pPr>
    </w:p>
    <w:p>
      <w:pPr>
        <w:jc w:val="both"/>
        <w:ind w:left="60" w:right="59" w:firstLine="492"/>
        <w:spacing w:after="0" w:line="277" w:lineRule="auto"/>
        <w:rPr>
          <w:sz w:val="20"/>
          <w:szCs w:val="20"/>
          <w:color w:val="auto"/>
        </w:rPr>
      </w:pPr>
      <w:r>
        <w:rPr>
          <w:rFonts w:ascii="Arial" w:cs="Arial" w:eastAsia="Arial" w:hAnsi="Arial"/>
          <w:sz w:val="18"/>
          <w:szCs w:val="18"/>
          <w:color w:val="auto"/>
        </w:rPr>
        <w:t>If a good or service is not distinct, the good or service is combined with other promised goods or services until a bundle of goods or services is identified that is distinct.</w:t>
      </w:r>
    </w:p>
    <w:p>
      <w:pPr>
        <w:spacing w:after="0" w:line="130" w:lineRule="exact"/>
        <w:rPr>
          <w:sz w:val="20"/>
          <w:szCs w:val="20"/>
          <w:color w:val="auto"/>
        </w:rPr>
      </w:pPr>
    </w:p>
    <w:p>
      <w:pPr>
        <w:jc w:val="both"/>
        <w:ind w:left="60" w:right="59" w:firstLine="492"/>
        <w:spacing w:after="0" w:line="255" w:lineRule="auto"/>
        <w:rPr>
          <w:sz w:val="20"/>
          <w:szCs w:val="20"/>
          <w:color w:val="auto"/>
        </w:rPr>
      </w:pPr>
      <w:r>
        <w:rPr>
          <w:rFonts w:ascii="Arial" w:cs="Arial" w:eastAsia="Arial" w:hAnsi="Arial"/>
          <w:sz w:val="18"/>
          <w:szCs w:val="18"/>
          <w:color w:val="auto"/>
        </w:rPr>
        <w:t>The transaction price is the amount of consideration to which an entity expects to be entitled in exchange for transferring promised goods or services to a customer, excluding amounts collected on behalf of third parties (for example, some sales taxes). The consideration promised in a contract with a customer may include fixed amounts, variable amounts, or both. Variable consideration is included in the transaction price only to the extent that it is probable that a significant reversal in the amount of cumulative revenue recognized will not occur when the uncertainty associated with the variable consideration is subsequently resolved.</w:t>
      </w:r>
    </w:p>
    <w:p>
      <w:pPr>
        <w:spacing w:after="0" w:line="152" w:lineRule="exact"/>
        <w:rPr>
          <w:sz w:val="20"/>
          <w:szCs w:val="20"/>
          <w:color w:val="auto"/>
        </w:rPr>
      </w:pPr>
    </w:p>
    <w:p>
      <w:pPr>
        <w:jc w:val="both"/>
        <w:ind w:left="60" w:right="59" w:firstLine="492"/>
        <w:spacing w:after="0" w:line="263" w:lineRule="auto"/>
        <w:rPr>
          <w:sz w:val="20"/>
          <w:szCs w:val="20"/>
          <w:color w:val="auto"/>
        </w:rPr>
      </w:pPr>
      <w:r>
        <w:rPr>
          <w:rFonts w:ascii="Arial" w:cs="Arial" w:eastAsia="Arial" w:hAnsi="Arial"/>
          <w:sz w:val="18"/>
          <w:szCs w:val="18"/>
          <w:color w:val="auto"/>
        </w:rPr>
        <w:t>The transaction price is allocated to each performance obligation on a relative standalone selling price basis. The transaction price allocated to each performance obligation is recognized when that performance obligation is satisfied, at a point in time or over time as appropriate.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92"/>
        <w:spacing w:after="0" w:line="269" w:lineRule="auto"/>
        <w:rPr>
          <w:sz w:val="20"/>
          <w:szCs w:val="20"/>
          <w:color w:val="auto"/>
        </w:rPr>
      </w:pPr>
      <w:r>
        <w:rPr>
          <w:rFonts w:ascii="Arial" w:cs="Arial" w:eastAsia="Arial" w:hAnsi="Arial"/>
          <w:sz w:val="17"/>
          <w:szCs w:val="17"/>
          <w:i w:val="1"/>
          <w:iCs w:val="1"/>
          <w:color w:val="auto"/>
        </w:rPr>
        <w:t xml:space="preserve">Stock Compensation. </w:t>
      </w:r>
      <w:r>
        <w:rPr>
          <w:rFonts w:ascii="Arial" w:cs="Arial" w:eastAsia="Arial" w:hAnsi="Arial"/>
          <w:sz w:val="17"/>
          <w:szCs w:val="17"/>
          <w:color w:val="auto"/>
        </w:rPr>
        <w:t>We have granted stock options and restricted stock to employees, directors and consultants, as</w:t>
      </w:r>
      <w:r>
        <w:rPr>
          <w:rFonts w:ascii="Arial" w:cs="Arial" w:eastAsia="Arial" w:hAnsi="Arial"/>
          <w:sz w:val="17"/>
          <w:szCs w:val="17"/>
          <w:i w:val="1"/>
          <w:iCs w:val="1"/>
          <w:color w:val="auto"/>
        </w:rPr>
        <w:t xml:space="preserve"> </w:t>
      </w:r>
      <w:r>
        <w:rPr>
          <w:rFonts w:ascii="Arial" w:cs="Arial" w:eastAsia="Arial" w:hAnsi="Arial"/>
          <w:sz w:val="17"/>
          <w:szCs w:val="17"/>
          <w:color w:val="auto"/>
        </w:rPr>
        <w:t>well as warrants to other third parties. For employee, director and consultant grants the value of each option award is estimated on the date of grant using the Black-Scholes option-pricing model. The Black-Scholes model takes into account volatility in the price of our stock, the risk-free interest rate, the estimated life of the option, the closing market price of our stock and the exercise price. We base our estimates of our stock price volatility on the historical volatility of our common stock and our assessment of future volatility; however, these estimates are neither predictive nor indicative of the future performance of our stock. For purposes of the calculation, we assumed that no dividends would be paid during the life of the options and warrants. The estimates utilized in the Black-Scholes calculation involve inherent uncertainties and the application of management judgment. In addition, because some of the options, restricted stock and warrants issued to employees, consultants and other third parties vest upon the achievement of certain milestones, the total expense is uncertain. Compensation expense for such awards that vest upon the achievement of milestones is recognized when the achievement of such milestone becomes probable.</w:t>
      </w:r>
    </w:p>
    <w:p>
      <w:pPr>
        <w:spacing w:after="0" w:line="152" w:lineRule="exact"/>
        <w:rPr>
          <w:sz w:val="20"/>
          <w:szCs w:val="20"/>
          <w:color w:val="auto"/>
        </w:rPr>
      </w:pPr>
    </w:p>
    <w:p>
      <w:pPr>
        <w:jc w:val="both"/>
        <w:ind w:left="60" w:right="59" w:firstLine="492"/>
        <w:spacing w:after="0" w:line="286" w:lineRule="auto"/>
        <w:rPr>
          <w:sz w:val="20"/>
          <w:szCs w:val="20"/>
          <w:color w:val="auto"/>
        </w:rPr>
      </w:pPr>
      <w:r>
        <w:rPr>
          <w:rFonts w:ascii="Arial" w:cs="Arial" w:eastAsia="Arial" w:hAnsi="Arial"/>
          <w:sz w:val="16"/>
          <w:szCs w:val="16"/>
          <w:i w:val="1"/>
          <w:iCs w:val="1"/>
          <w:color w:val="auto"/>
        </w:rPr>
        <w:t>Accruals for Clinical Research Organization and Clinical Site Costs</w:t>
      </w:r>
      <w:r>
        <w:rPr>
          <w:rFonts w:ascii="Arial" w:cs="Arial" w:eastAsia="Arial" w:hAnsi="Arial"/>
          <w:sz w:val="16"/>
          <w:szCs w:val="16"/>
          <w:color w:val="auto"/>
        </w:rPr>
        <w:t>. We make estimates of costs incurred in</w:t>
      </w:r>
      <w:r>
        <w:rPr>
          <w:rFonts w:ascii="Arial" w:cs="Arial" w:eastAsia="Arial" w:hAnsi="Arial"/>
          <w:sz w:val="16"/>
          <w:szCs w:val="16"/>
          <w:i w:val="1"/>
          <w:iCs w:val="1"/>
          <w:color w:val="auto"/>
        </w:rPr>
        <w:t xml:space="preserve"> </w:t>
      </w:r>
      <w:r>
        <w:rPr>
          <w:rFonts w:ascii="Arial" w:cs="Arial" w:eastAsia="Arial" w:hAnsi="Arial"/>
          <w:sz w:val="16"/>
          <w:szCs w:val="16"/>
          <w:color w:val="auto"/>
        </w:rPr>
        <w:t>relation to external clinical research organizations, or CROs, and clinical site costs. We analyze the progress of clinical trials, including levels of patient enrollment, invoices received and contracted costs when evaluating the adequacy of the amount expensed and the related prepaid asset and accrued liability. Significant judgments and estimates must be made and used in determining the accrued balance and expense in any accounting period. We review and accrue CRO expenses and clinical trial study expenses based on work performed and rely upon estimates of those costs applicable to the stage of completion of a study. Accrued CRO costs are subject to revisions as such trials progress to completion. Revisions are charged to expense in the period in which the facts that give rise to the revision become known. With respect to clinical site costs, the financial terms of these agreements are subject to negotiation and vary from contract to contract. Payments under these contracts may be uneven, and depend on factors such as the achievement of certain events, the successful recruitment of patients, the completion of portions of the clinical trial or similar conditions. The objective of our policy is to match the recording of expenses in our financial statements to the actual services received and efforts expended. As such, expense accruals related to clinical site costs are recognized based on our estimate of the degree of completion of the event or events specified in the specific clinical study or trial contract.</w:t>
      </w:r>
    </w:p>
    <w:p>
      <w:pPr>
        <w:spacing w:after="0" w:line="130" w:lineRule="exact"/>
        <w:rPr>
          <w:sz w:val="20"/>
          <w:szCs w:val="20"/>
          <w:color w:val="auto"/>
        </w:rPr>
      </w:pPr>
    </w:p>
    <w:p>
      <w:pPr>
        <w:jc w:val="both"/>
        <w:ind w:left="60" w:right="59" w:firstLine="492"/>
        <w:spacing w:after="0" w:line="269" w:lineRule="auto"/>
        <w:rPr>
          <w:sz w:val="20"/>
          <w:szCs w:val="20"/>
          <w:color w:val="auto"/>
        </w:rPr>
      </w:pPr>
      <w:r>
        <w:rPr>
          <w:rFonts w:ascii="Arial" w:cs="Arial" w:eastAsia="Arial" w:hAnsi="Arial"/>
          <w:sz w:val="17"/>
          <w:szCs w:val="17"/>
          <w:i w:val="1"/>
          <w:iCs w:val="1"/>
          <w:color w:val="auto"/>
        </w:rPr>
        <w:t>Accounting for Income Taxes</w:t>
      </w:r>
      <w:r>
        <w:rPr>
          <w:rFonts w:ascii="Arial" w:cs="Arial" w:eastAsia="Arial" w:hAnsi="Arial"/>
          <w:sz w:val="17"/>
          <w:szCs w:val="17"/>
          <w:color w:val="auto"/>
        </w:rPr>
        <w:t>. In preparing our consolidated financial statements, we are required to estimate our</w:t>
      </w:r>
      <w:r>
        <w:rPr>
          <w:rFonts w:ascii="Arial" w:cs="Arial" w:eastAsia="Arial" w:hAnsi="Arial"/>
          <w:sz w:val="17"/>
          <w:szCs w:val="17"/>
          <w:i w:val="1"/>
          <w:iCs w:val="1"/>
          <w:color w:val="auto"/>
        </w:rPr>
        <w:t xml:space="preserve"> </w:t>
      </w:r>
      <w:r>
        <w:rPr>
          <w:rFonts w:ascii="Arial" w:cs="Arial" w:eastAsia="Arial" w:hAnsi="Arial"/>
          <w:sz w:val="17"/>
          <w:szCs w:val="17"/>
          <w:color w:val="auto"/>
        </w:rPr>
        <w:t>income taxes in each of the jurisdictions in which we operate. This process involves management estimation of our actual current tax exposure and assessment of temporary differences resulting from differing treatment of items for tax and accounting purposes. These differences result in deferred tax assets and liabilities. We must then assess the likelihood that our deferred tax assets will be recovered from future taxable income and, to the extent we believe that recovery is not likely, we must establish a valuation allowance. To the extent we establish a valuation allowance or increase this allowance in a period, we must include an expense within the tax provision in the consolidated statements of operations. Significant management judgment is required in determining our provision for income taxes, our deferred tax assets and liabilities and any valuation allowance recorded against our net deferred tax assets. We have fully offset our deferred tax assets with a valuation allowance. Our lack of earnings history and the uncertainty surrounding our ability to generate taxable income prior to the reversal or expiration of such deferred tax assets were the primary factors considered by management in maintaining the valuation allowance.</w:t>
      </w:r>
    </w:p>
    <w:p>
      <w:pPr>
        <w:spacing w:after="0" w:line="13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48" w:lineRule="exact"/>
        <w:rPr>
          <w:sz w:val="20"/>
          <w:szCs w:val="20"/>
          <w:color w:val="auto"/>
        </w:rPr>
      </w:pPr>
    </w:p>
    <w:p>
      <w:pPr>
        <w:jc w:val="both"/>
        <w:ind w:left="60" w:right="59" w:firstLine="492"/>
        <w:spacing w:after="0" w:line="223" w:lineRule="auto"/>
        <w:rPr>
          <w:sz w:val="20"/>
          <w:szCs w:val="20"/>
          <w:color w:val="auto"/>
        </w:rPr>
      </w:pPr>
      <w:r>
        <w:rPr>
          <w:rFonts w:ascii="Arial" w:cs="Arial" w:eastAsia="Arial" w:hAnsi="Arial"/>
          <w:sz w:val="17"/>
          <w:szCs w:val="17"/>
          <w:color w:val="auto"/>
        </w:rPr>
        <w:t>In July 2018, the Financial Accounting Standards Board (FASB) issued Accounting Standards Update (ASU) No. 2018-11, Leases - Targeted Improvements (ASU 2018-11) as an update to ASU 2016-02, Leases (ASU 2016-02 or Topic 842) issued on February 25, 2016. ASU 2016-02 was effective for public business entities for fiscal years beginning January 1, 2019. ASU 2016-02 required companies to adopt the new leases standard at the beginning of the earliest period presented in the financial statements, which is January 1, 2017, using a modified retrospective transition method where lessees must recognize lease assets and liabilities for all leases even though those leases may have expired before the effective date of January 1, 2017. Lessees must also provide the new and enhanced disclosures for each period presented, including the comparative periods.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60" w:right="59" w:firstLine="492"/>
        <w:spacing w:after="0" w:line="225" w:lineRule="auto"/>
        <w:rPr>
          <w:sz w:val="20"/>
          <w:szCs w:val="20"/>
          <w:color w:val="auto"/>
        </w:rPr>
      </w:pPr>
      <w:r>
        <w:rPr>
          <w:rFonts w:ascii="Arial" w:cs="Arial" w:eastAsia="Arial" w:hAnsi="Arial"/>
          <w:sz w:val="17"/>
          <w:szCs w:val="17"/>
          <w:color w:val="auto"/>
        </w:rPr>
        <w:t>ASU 2018-11 provides an entity with an additional (and optional) transition method to adopt the new leases standard. Under this new transition method, an entity initially applies the new lease standard at the adoption date and recognizes a cumulative-effect adjustment to the opening balance of retained earnings in the period of adoption. Consequently, an entity’s reporting for the comparative periods presented in the financial statements in which it adopts the new lease standard will continue to be in accordance with ASC 840, Leases (ASC 840). An entity that elects this additional (and optional) transition method must provide the required ASC 840 disclosures for all periods that continue to be in accordance with ASC 840. The amendments do not change the existing disclosure requirements in ASC 840.</w:t>
      </w:r>
    </w:p>
    <w:p>
      <w:pPr>
        <w:spacing w:after="0" w:line="54" w:lineRule="exact"/>
        <w:rPr>
          <w:sz w:val="20"/>
          <w:szCs w:val="20"/>
          <w:color w:val="auto"/>
        </w:rPr>
      </w:pPr>
    </w:p>
    <w:p>
      <w:pPr>
        <w:jc w:val="both"/>
        <w:ind w:left="60" w:right="59" w:firstLine="492"/>
        <w:spacing w:after="0" w:line="223" w:lineRule="auto"/>
        <w:rPr>
          <w:sz w:val="20"/>
          <w:szCs w:val="20"/>
          <w:color w:val="auto"/>
        </w:rPr>
      </w:pPr>
      <w:r>
        <w:rPr>
          <w:rFonts w:ascii="Arial" w:cs="Arial" w:eastAsia="Arial" w:hAnsi="Arial"/>
          <w:sz w:val="17"/>
          <w:szCs w:val="17"/>
          <w:color w:val="auto"/>
        </w:rPr>
        <w:t>ASU 2018-11 was effective for public business entities for fiscal years beginning after December 15, 2018, and interim periods within those fiscal years, with earlier adoption permitted. The Company adopted ASU 2018-11 on January 1, 2019 using a modified retrospective method and did not restate comparative periods. We elected the package of practical expedients permitted under the transition guidance, which allows us to carryforward our historical lease classification and our assessment on whether a contract is or contains a lease. The adoption of this guidance resulted in the addition of material balances of right of use assets and lease liability to our consolidated balance sheets at January 1, 2019, primarily relating to our lease of office space (see Note 8). The impact to our consolidated statements of operations was not material as a result of this standard.</w:t>
      </w:r>
    </w:p>
    <w:p>
      <w:pPr>
        <w:spacing w:after="0" w:line="59" w:lineRule="exact"/>
        <w:rPr>
          <w:sz w:val="20"/>
          <w:szCs w:val="20"/>
          <w:color w:val="auto"/>
        </w:rPr>
      </w:pPr>
    </w:p>
    <w:p>
      <w:pPr>
        <w:jc w:val="both"/>
        <w:ind w:left="60" w:right="59" w:firstLine="492"/>
        <w:spacing w:after="0" w:line="222" w:lineRule="auto"/>
        <w:rPr>
          <w:sz w:val="20"/>
          <w:szCs w:val="20"/>
          <w:color w:val="auto"/>
        </w:rPr>
      </w:pPr>
      <w:r>
        <w:rPr>
          <w:rFonts w:ascii="Arial" w:cs="Arial" w:eastAsia="Arial" w:hAnsi="Arial"/>
          <w:sz w:val="17"/>
          <w:szCs w:val="17"/>
          <w:color w:val="auto"/>
        </w:rPr>
        <w:t>In June 2018, the FASB issued ASU No. 2018-07, Improvements to Nonemployee Share-Based Payment Accounting (ASU 2018-07). ASU 2018-07 expands the scope of FASB Topic 718, Compensation Stock Compensation (Topic 718) to include share-based payment transactions for acquiring goods and services from nonemployees. An entity should only remeasure equity-classified awards for which a measurement date has not been established through a cumulative-effect adjustment to retained earnings as of the beginning of the fiscal year of adoption. Upon transition, the entity is required to measure these nonemployee awards at fair value as of the adoption date. The entity must not remeasure assets that are completed. Disclosures required at transition include the nature of and reason for the change in accounting principle and, if applicable, quantitative information about the cumulative effect of the change on retained earnings or other components of equity.</w:t>
      </w:r>
    </w:p>
    <w:p>
      <w:pPr>
        <w:spacing w:after="0" w:line="60" w:lineRule="exact"/>
        <w:rPr>
          <w:sz w:val="20"/>
          <w:szCs w:val="20"/>
          <w:color w:val="auto"/>
        </w:rPr>
      </w:pPr>
    </w:p>
    <w:p>
      <w:pPr>
        <w:jc w:val="both"/>
        <w:ind w:left="60" w:right="59" w:firstLine="492"/>
        <w:spacing w:after="0" w:line="216" w:lineRule="auto"/>
        <w:rPr>
          <w:sz w:val="20"/>
          <w:szCs w:val="20"/>
          <w:color w:val="auto"/>
        </w:rPr>
      </w:pPr>
      <w:r>
        <w:rPr>
          <w:rFonts w:ascii="Arial" w:cs="Arial" w:eastAsia="Arial" w:hAnsi="Arial"/>
          <w:sz w:val="18"/>
          <w:szCs w:val="18"/>
          <w:color w:val="auto"/>
        </w:rPr>
        <w:t>ASU 2018-07 was effective for public business entities for fiscal years beginning after December 15, 2018, including interim periods within that fiscal year. The Company adopted ASU 2018-07 on January 1, 2019. The adoption of ASU 2018-07 did not have a material effect on our consolidated financial statements as of January 1, 2019. The adoption of ASU 2018-07 had no impact on nonemployee performance awards as they are measured based on the outcome that is probable.</w:t>
      </w:r>
    </w:p>
    <w:p>
      <w:pPr>
        <w:spacing w:after="0" w:line="54" w:lineRule="exact"/>
        <w:rPr>
          <w:sz w:val="20"/>
          <w:szCs w:val="20"/>
          <w:color w:val="auto"/>
        </w:rPr>
      </w:pPr>
    </w:p>
    <w:p>
      <w:pPr>
        <w:jc w:val="both"/>
        <w:ind w:left="60" w:right="59" w:firstLine="492"/>
        <w:spacing w:after="0" w:line="235" w:lineRule="auto"/>
        <w:rPr>
          <w:sz w:val="20"/>
          <w:szCs w:val="20"/>
          <w:color w:val="auto"/>
        </w:rPr>
      </w:pPr>
      <w:r>
        <w:rPr>
          <w:rFonts w:ascii="Arial" w:cs="Arial" w:eastAsia="Arial" w:hAnsi="Arial"/>
          <w:sz w:val="18"/>
          <w:szCs w:val="18"/>
          <w:color w:val="auto"/>
        </w:rPr>
        <w:t>Other pronouncements issued by the FASB or other authoritative accounting standards group with future effective dates are either not applicable or not significant to our consolidated financial statements.</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ind w:left="60" w:right="59" w:firstLine="492"/>
        <w:spacing w:after="0" w:line="272" w:lineRule="auto"/>
        <w:rPr>
          <w:sz w:val="20"/>
          <w:szCs w:val="20"/>
          <w:color w:val="auto"/>
        </w:rPr>
      </w:pPr>
      <w:r>
        <w:rPr>
          <w:rFonts w:ascii="Arial" w:cs="Arial" w:eastAsia="Arial" w:hAnsi="Arial"/>
          <w:sz w:val="17"/>
          <w:szCs w:val="17"/>
          <w:color w:val="auto"/>
        </w:rPr>
        <w:t>The primary objective of our investment activities is to preserve principal while maximizing our income from investments and minimizing our market risk. We invest in government and investment-grade corporate debt in accordance with our investment policy. Some of the securities in which we invest have market risk. This means that a change in prevailing interest rates, and/or credit risk, may cause the fair value of the investment to fluctuate. For example, if we hold a security that was issued with a fixed interest rate at the then-prevailing rate and the prevailing interest rate later rises, the fair value of our investment will probably decline. As of June 30, 2020, our portfolio of financial instruments consists of cash equivalents, including bank deposits, and investments.</w:t>
      </w:r>
    </w:p>
    <w:p>
      <w:pPr>
        <w:spacing w:after="0" w:line="6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ind w:left="60" w:right="59" w:firstLine="492"/>
        <w:spacing w:after="0" w:line="291" w:lineRule="auto"/>
        <w:rPr>
          <w:sz w:val="20"/>
          <w:szCs w:val="20"/>
          <w:color w:val="auto"/>
        </w:rPr>
      </w:pPr>
      <w:r>
        <w:rPr>
          <w:rFonts w:ascii="Arial" w:cs="Arial" w:eastAsia="Arial" w:hAnsi="Arial"/>
          <w:sz w:val="16"/>
          <w:szCs w:val="16"/>
          <w:color w:val="auto"/>
        </w:rPr>
        <w:t>As of June 30, 2020, management carried out, under the supervision and with the participation of our Chief Executive Officer and Chief Financial Officer, an evaluation of the effectiveness of the design and operation of our disclosure controls and procedures (as defined in Rules 13a-15(e) and 15d-15(e) under the Exchange Act). Our disclosure controls and procedures are designed to provide reasonable assurance that information we are required to disclose in the reports that we file or submit under the Exchange Act is recorded, processed, summarized and reported within the time periods specified in applicable rules and forms. Based upon that evaluation, our Chief Executive Officer and Chief Financial Officer concluded that, as of June 30, 2020, our disclosure controls and procedures were effective.</w:t>
      </w:r>
    </w:p>
    <w:p>
      <w:pPr>
        <w:spacing w:after="0" w:line="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21" w:lineRule="exact"/>
        <w:rPr>
          <w:sz w:val="20"/>
          <w:szCs w:val="20"/>
          <w:color w:val="auto"/>
        </w:rPr>
      </w:pPr>
    </w:p>
    <w:p>
      <w:pPr>
        <w:jc w:val="both"/>
        <w:ind w:left="60" w:right="59" w:firstLine="492"/>
        <w:spacing w:after="0" w:line="308" w:lineRule="auto"/>
        <w:rPr>
          <w:sz w:val="20"/>
          <w:szCs w:val="20"/>
          <w:color w:val="auto"/>
        </w:rPr>
      </w:pPr>
      <w:r>
        <w:rPr>
          <w:rFonts w:ascii="Arial" w:cs="Arial" w:eastAsia="Arial" w:hAnsi="Arial"/>
          <w:sz w:val="17"/>
          <w:szCs w:val="17"/>
          <w:color w:val="auto"/>
        </w:rPr>
        <w:t>There were no changes in our internal control over financial reporting during the quarter ended June 30, 2020 that have materially affected, or are reasonably likely to materially affect, our internal control over financial reporting.</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II. OTHER INFORMATION</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189" w:lineRule="exact"/>
        <w:rPr>
          <w:sz w:val="20"/>
          <w:szCs w:val="20"/>
          <w:color w:val="auto"/>
        </w:rPr>
      </w:pPr>
    </w:p>
    <w:p>
      <w:pPr>
        <w:jc w:val="both"/>
        <w:ind w:left="60" w:right="59" w:firstLine="492"/>
        <w:spacing w:after="0" w:line="277" w:lineRule="auto"/>
        <w:rPr>
          <w:sz w:val="20"/>
          <w:szCs w:val="20"/>
          <w:color w:val="auto"/>
        </w:rPr>
      </w:pPr>
      <w:r>
        <w:rPr>
          <w:rFonts w:ascii="Arial" w:cs="Arial" w:eastAsia="Arial" w:hAnsi="Arial"/>
          <w:sz w:val="18"/>
          <w:szCs w:val="18"/>
          <w:color w:val="auto"/>
        </w:rPr>
        <w:t>We, and our subsidiaries, are not a party to, and our property is not the subject of, any material pending legal proceedings.</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i w:val="1"/>
          <w:iCs w:val="1"/>
          <w:color w:val="auto"/>
        </w:rPr>
        <w:t>You should carefully consider the following risk factors and the other information contained elsewhere in this Quarterly Report before making an investment in our securities. If any of the following risks occur, our business, financial condition or operating results could be materially harmed. An investment in our securities is speculative in nature, involves a high degree of risk, and should not be made by an investor who cannot bear the economic risk of its investment for an indefinite period of time and who cannot afford the loss of its entire investment. The risks described below are not the only ones that our business faces. Additional risks not currently known to us or that we currently deem to be immaterial may adversely impact our business in the future. Additionally, many of these risks and uncertainties are currently elevated by and may or will continue to be elevated by the COVID-19 pandemic.</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Risks Related to the COVID-19 Pandemic</w:t>
      </w:r>
    </w:p>
    <w:p>
      <w:pPr>
        <w:spacing w:after="0" w:line="22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Major public health issues, and specifically the pandemic caused by COVID-19, could have an adverse impact on our financial condition and results of operations and other aspects of our business.</w:t>
      </w:r>
    </w:p>
    <w:p>
      <w:pPr>
        <w:spacing w:after="0" w:line="170"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In December 2019, a novel strain of coronavirus which causes a disease referred to as COVID-19, was first detected in Wuhan, China, and has since spread around the world. On March 11, 2020, the World Health Organization declared that the rapidly spreading COVID-19 outbreak had evolved into a pandemic. In response to the pandemic, many governments around the world are implementing a variety of control measures to reduce the spread of COVID-19, including travel restrictions and bans, instructions to residents to practice social distancing, quarantine advisories, shelter-in-place orders and required closures of non-essential businesses.</w:t>
      </w:r>
    </w:p>
    <w:p>
      <w:pPr>
        <w:spacing w:after="0" w:line="192"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The COVID-19 pandemic has negatively impacted the global economy, disrupted global supply chains, and created significant volatility and disruption of financial markets. Although COVID-19 has not had a material adverse effect on our business to date, no assurance can be given that it will not in the future if the situation persists or worsens. The extent to which the COVID-19 pandemic impacts our business and operating results will depend on future developments that are highly uncertain and cannot be accurately predicted, including new information that may emerge concerning the virus and the actions to contain it or treat its impact, the duration, spread and severity of the COVID-19 pandemic, and how quickly and to what extent normal economic and operating conditions can resume if and when the pandemic subsides, among others.</w:t>
      </w:r>
    </w:p>
    <w:p>
      <w:pPr>
        <w:spacing w:after="0" w:line="192"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Should the COVID-19 pandemic persist or worsen and government restrictions continue, our business operations could be materially delayed or interrupted. For instance, our ongoing clinical trials may be delayed or compromised; our ability to conduct new clinical trials may be adversely impacted; our supply chain may be disrupted; health authority review of our regulatory submissions may be delayed; and our ability to successfully commercialize any product candidates, if approved, may be adversely impacted. It is unknown how long these disruptions could continue, were they to occur. Any delay in our clinical trials or in regulatory review resulting from such disruptions could materially affect the development and commercialization of our product candidates.</w:t>
      </w:r>
    </w:p>
    <w:p>
      <w:pPr>
        <w:spacing w:after="0" w:line="195"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We currently rely on third parties for certain functions or services in support of our clinical trials and key areas of our operations. These third parties include contract research organizations (CROs), medical institutions and clinical investigators, contract manufacturing organizations, suppliers, and external business partners supporting our preparations for commercialization. If these third parties themselves are adversely impacted by restrictions resulting from the COVID-19 outbreak, we will likely experience delays and/or realize additional costs. As a result, our efforts to obtain regulatory approvals for, and to commercialize, our product candidates may be delayed or disrupted.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In addition, as a result of government directives on social distancing and to protect the health of our workforce, we have asked our office-based employees to work remotely and have restricted domestic and international travel indefinitely. Third parties on which we rely may also increase their use of remote working arrangements in response to COVID-19. Our increased reliance on personnel working remotely may negatively impact productivity, including our ability to monitor clinical trials, prepare regulatory applications, and conduct data analysis, or disrupt, delay, or otherwise adversely impact our business. In addition, remote working could increase our cybersecurity risk and make us more susceptible to communication disruptions, any of which could adversely impact our business operations or delay necessary interactions with local and federal regulators, manufacturing sites, research or clinical trial sites and contractors.</w:t>
      </w:r>
    </w:p>
    <w:p>
      <w:pPr>
        <w:spacing w:after="0" w:line="165"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The potential economic impact brought by and the duration of the pandemic may be difficult to assess or predict. However, it has already caused, and is likely to result in further, significant disruption of global financial markets. It is likely that the pandemic will cause an economic slowdown of potentially extended duration, and it is possible that it could cause a global recession. This disruption may reduce our ability to access capital either at all or on favorable terms. In addition, a recession, depression or other sustained adverse market event resulting from the spread of COVID-19 could materially and adversely affect our business and the value of our common stock.</w:t>
      </w:r>
    </w:p>
    <w:p>
      <w:pPr>
        <w:spacing w:after="0" w:line="178" w:lineRule="exact"/>
        <w:rPr>
          <w:sz w:val="20"/>
          <w:szCs w:val="20"/>
          <w:color w:val="auto"/>
        </w:rPr>
      </w:pPr>
    </w:p>
    <w:p>
      <w:pPr>
        <w:jc w:val="both"/>
        <w:ind w:left="60" w:right="79" w:firstLine="648"/>
        <w:spacing w:after="0" w:line="259" w:lineRule="auto"/>
        <w:rPr>
          <w:sz w:val="20"/>
          <w:szCs w:val="20"/>
          <w:color w:val="auto"/>
        </w:rPr>
      </w:pPr>
      <w:r>
        <w:rPr>
          <w:rFonts w:ascii="Arial" w:cs="Arial" w:eastAsia="Arial" w:hAnsi="Arial"/>
          <w:sz w:val="18"/>
          <w:szCs w:val="18"/>
          <w:color w:val="auto"/>
        </w:rPr>
        <w:t>The ultimate impact of the current pandemic, or any other health epidemic, is highly uncertain and subject to change. We do not yet know the full extent of potential delays or impacts on our business, our clinical trials, our research programs, healthcare systems or the global economy as a whole. However, these effects could have a material adverse effect on our business, financial condition and results of operations.</w:t>
      </w:r>
    </w:p>
    <w:p>
      <w:pPr>
        <w:spacing w:after="0" w:line="187" w:lineRule="exact"/>
        <w:rPr>
          <w:sz w:val="20"/>
          <w:szCs w:val="20"/>
          <w:color w:val="auto"/>
        </w:rPr>
      </w:pPr>
    </w:p>
    <w:p>
      <w:pPr>
        <w:jc w:val="both"/>
        <w:ind w:left="60" w:right="59" w:firstLine="648"/>
        <w:spacing w:after="0" w:line="308" w:lineRule="auto"/>
        <w:rPr>
          <w:sz w:val="20"/>
          <w:szCs w:val="20"/>
          <w:color w:val="auto"/>
        </w:rPr>
      </w:pPr>
      <w:r>
        <w:rPr>
          <w:rFonts w:ascii="Arial" w:cs="Arial" w:eastAsia="Arial" w:hAnsi="Arial"/>
          <w:sz w:val="17"/>
          <w:szCs w:val="17"/>
          <w:color w:val="auto"/>
        </w:rPr>
        <w:t>To the extent the COVID-19 pandemic materially adversely affects our business and financial results, it may also have the effect of significantly heightening many of the other risks described in this “Risk Factors” section.</w:t>
      </w:r>
    </w:p>
    <w:p>
      <w:pPr>
        <w:spacing w:after="0" w:line="14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The COVID-19 pandemic could have a material adverse effect on our clinical development program if the pandemic and associated government control measures continue.</w:t>
      </w:r>
    </w:p>
    <w:p>
      <w:pPr>
        <w:spacing w:after="0" w:line="170"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ongoing COVID-19 pandemic has presented substantial public health challenges and is impacting the global healthcare system, including the conduct of clinical trials in the U.S. and other parts of the world. As a result of the COVID-19 pandemic, we may encounter delays in our clinical development program. The majority of our clinical trials involve patients with cancer or those receiving ongoing immunosuppressive therapy who may be at higher risk of infection. These patients are thus more likely to be subject to travel restrictions and self-quarantining and may be more likely to withdraw from our clinical trials or unable to complete study assessments. We have made efforts to allow patients currently enrolled in our ongoing clinical trials to continue unimpeded and have continued to allow new patients to enroll in our trials. While we have allowed continued enrollment to our trials, many trial sites have limited enrollment or suspended enrollment entirely in response to the COVID-19 pandemic which may affect our ability to enroll to our trials and meet our projected timelines.</w:t>
      </w:r>
    </w:p>
    <w:p>
      <w:pPr>
        <w:spacing w:after="0" w:line="194"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The UNITY-NHL FL and MZL umbralisib monotherapy cohorts, the UNITY-CLL and the ULTIMATE I and II trials are fully enrolled. However, follow-up is ongoing and data continue to be collected from these studies. These data collection efforts rely on study participants’ ability to contribute such data, often through study specific visits and procedures that can only be conducted in-person. While we anticipate minimal impact from COVID-19 on the previously estimated timelines for these trials, no guarantee can be made that our estimated timelines, or the ultimate outcome from these trials, will not be materially negatively impacted by the COVID-19 pandemic.</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Further, we may not be able to complete our clinical trials that we initiated more recently and for which we have not yet completed enrollment in the time frame that we had previously planned. In addition, the pandemic may adversely affect our ability to conduct new trials. Some factors from the COVID-19 outbreak that may delay or otherwise adversely affect our clinical trial programs, as well as adversely impact our business generally, include:</w:t>
      </w:r>
    </w:p>
    <w:p>
      <w:pPr>
        <w:spacing w:after="0" w:line="171" w:lineRule="exact"/>
        <w:rPr>
          <w:sz w:val="20"/>
          <w:szCs w:val="20"/>
          <w:color w:val="auto"/>
        </w:rPr>
      </w:pPr>
    </w:p>
    <w:p>
      <w:pPr>
        <w:jc w:val="both"/>
        <w:ind w:left="720" w:right="79" w:hanging="319"/>
        <w:spacing w:after="0" w:line="284" w:lineRule="auto"/>
        <w:tabs>
          <w:tab w:leader="none" w:pos="7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delays or difficulties in clinical site initiation, including difficulties in recruiting and retaining clinical sites, impacts on compliance with clinical study protocols, delays enrolling patients in our clinical trials, decreased enrollment in our clinical trials or increased rates of patients withdrawing from our clinical trials following enrollment, in each case, as a result of patients contracting COVID-19, being forced to quarantine, experiencing reluctance to seek medical attention in a healthcare facility setting, or otherwise not being able or willing to complete study assessments, particularly for older patients or others with a higher risk of contracting COVID-19;</w:t>
      </w:r>
    </w:p>
    <w:p>
      <w:pPr>
        <w:spacing w:after="0" w:line="4" w:lineRule="exact"/>
        <w:rPr>
          <w:rFonts w:ascii="Arial" w:cs="Arial" w:eastAsia="Arial" w:hAnsi="Arial"/>
          <w:sz w:val="16"/>
          <w:szCs w:val="16"/>
          <w:color w:val="auto"/>
        </w:rPr>
      </w:pPr>
    </w:p>
    <w:p>
      <w:pPr>
        <w:ind w:left="720" w:right="79" w:hanging="319"/>
        <w:spacing w:after="0" w:line="191" w:lineRule="auto"/>
        <w:tabs>
          <w:tab w:leader="none" w:pos="720" w:val="left"/>
        </w:tabs>
        <w:numPr>
          <w:ilvl w:val="0"/>
          <w:numId w:val="15"/>
        </w:numPr>
        <w:rPr>
          <w:rFonts w:ascii="Arial" w:cs="Arial" w:eastAsia="Arial" w:hAnsi="Arial"/>
          <w:sz w:val="29"/>
          <w:szCs w:val="29"/>
          <w:color w:val="auto"/>
          <w:vertAlign w:val="superscript"/>
        </w:rPr>
      </w:pPr>
      <w:r>
        <w:rPr>
          <w:rFonts w:ascii="Arial" w:cs="Arial" w:eastAsia="Arial" w:hAnsi="Arial"/>
          <w:sz w:val="18"/>
          <w:szCs w:val="18"/>
          <w:color w:val="auto"/>
        </w:rPr>
        <w:t>impacts to clinical results, including an increased number of observed adverse events, as a result of participants enrolled in our clinical trials contracting COVID-19;</w:t>
      </w:r>
    </w:p>
    <w:p>
      <w:pPr>
        <w:spacing w:after="0" w:line="1" w:lineRule="exact"/>
        <w:rPr>
          <w:rFonts w:ascii="Arial" w:cs="Arial" w:eastAsia="Arial" w:hAnsi="Arial"/>
          <w:sz w:val="29"/>
          <w:szCs w:val="29"/>
          <w:color w:val="auto"/>
          <w:vertAlign w:val="superscript"/>
        </w:rPr>
      </w:pPr>
    </w:p>
    <w:p>
      <w:pPr>
        <w:jc w:val="both"/>
        <w:ind w:left="720" w:right="79" w:hanging="319"/>
        <w:spacing w:after="0" w:line="208" w:lineRule="auto"/>
        <w:tabs>
          <w:tab w:leader="none" w:pos="720" w:val="left"/>
        </w:tabs>
        <w:numPr>
          <w:ilvl w:val="0"/>
          <w:numId w:val="15"/>
        </w:numPr>
        <w:rPr>
          <w:rFonts w:ascii="Arial" w:cs="Arial" w:eastAsia="Arial" w:hAnsi="Arial"/>
          <w:sz w:val="29"/>
          <w:szCs w:val="29"/>
          <w:color w:val="auto"/>
          <w:vertAlign w:val="superscript"/>
        </w:rPr>
      </w:pPr>
      <w:r>
        <w:rPr>
          <w:rFonts w:ascii="Arial" w:cs="Arial" w:eastAsia="Arial" w:hAnsi="Arial"/>
          <w:sz w:val="18"/>
          <w:szCs w:val="18"/>
          <w:color w:val="auto"/>
        </w:rPr>
        <w:t>diversion of healthcare resources, including clinical trial investigators and staff, away from the conduct of clinical trials to focus on pandemic concerns or, when the pandemic subsides, to address the backlog of patients who have deferred medical procedures during the pendency of the pandemic;</w:t>
      </w:r>
    </w:p>
    <w:p>
      <w:pPr>
        <w:jc w:val="both"/>
        <w:ind w:left="720" w:right="79" w:hanging="319"/>
        <w:spacing w:after="0" w:line="218" w:lineRule="auto"/>
        <w:tabs>
          <w:tab w:leader="none" w:pos="720" w:val="left"/>
        </w:tabs>
        <w:numPr>
          <w:ilvl w:val="0"/>
          <w:numId w:val="15"/>
        </w:numPr>
        <w:rPr>
          <w:rFonts w:ascii="Arial" w:cs="Arial" w:eastAsia="Arial" w:hAnsi="Arial"/>
          <w:sz w:val="28"/>
          <w:szCs w:val="28"/>
          <w:color w:val="auto"/>
          <w:vertAlign w:val="superscript"/>
        </w:rPr>
      </w:pPr>
      <w:r>
        <w:rPr>
          <w:rFonts w:ascii="Arial" w:cs="Arial" w:eastAsia="Arial" w:hAnsi="Arial"/>
          <w:sz w:val="17"/>
          <w:szCs w:val="17"/>
          <w:color w:val="auto"/>
        </w:rPr>
        <w:t>limitations on travel, including limitations on domestic and international travel, and government-imposed quarantines or restrictions imposed by key third parties that could interrupt key trial activities, such as clinical trial site initiations and monitoring, which may impact the integrity of subject data and clinical study endpoints;</w:t>
      </w:r>
    </w:p>
    <w:p>
      <w:pPr>
        <w:jc w:val="both"/>
        <w:ind w:left="720" w:right="79" w:hanging="319"/>
        <w:spacing w:after="0" w:line="208" w:lineRule="auto"/>
        <w:tabs>
          <w:tab w:leader="none" w:pos="720" w:val="left"/>
        </w:tabs>
        <w:numPr>
          <w:ilvl w:val="0"/>
          <w:numId w:val="15"/>
        </w:numPr>
        <w:rPr>
          <w:rFonts w:ascii="Arial" w:cs="Arial" w:eastAsia="Arial" w:hAnsi="Arial"/>
          <w:sz w:val="29"/>
          <w:szCs w:val="29"/>
          <w:color w:val="auto"/>
          <w:vertAlign w:val="superscript"/>
        </w:rPr>
      </w:pPr>
      <w:r>
        <w:rPr>
          <w:rFonts w:ascii="Arial" w:cs="Arial" w:eastAsia="Arial" w:hAnsi="Arial"/>
          <w:sz w:val="18"/>
          <w:szCs w:val="18"/>
          <w:color w:val="auto"/>
        </w:rPr>
        <w:t>interruption of, or delays in receiving, supplies of our product candidates from our contract manufacturing organizations due to staffing shortages, production slowdowns or stoppages or interruption in global shipping that may affect the transport of clinical trial materials;</w:t>
      </w:r>
    </w:p>
    <w:p>
      <w:pPr>
        <w:ind w:left="720" w:right="79" w:hanging="319"/>
        <w:spacing w:after="0" w:line="191" w:lineRule="auto"/>
        <w:tabs>
          <w:tab w:leader="none" w:pos="720" w:val="left"/>
        </w:tabs>
        <w:numPr>
          <w:ilvl w:val="0"/>
          <w:numId w:val="15"/>
        </w:numPr>
        <w:rPr>
          <w:rFonts w:ascii="Arial" w:cs="Arial" w:eastAsia="Arial" w:hAnsi="Arial"/>
          <w:sz w:val="29"/>
          <w:szCs w:val="29"/>
          <w:color w:val="auto"/>
          <w:vertAlign w:val="superscript"/>
        </w:rPr>
      </w:pPr>
      <w:r>
        <w:rPr>
          <w:rFonts w:ascii="Arial" w:cs="Arial" w:eastAsia="Arial" w:hAnsi="Arial"/>
          <w:sz w:val="18"/>
          <w:szCs w:val="18"/>
          <w:color w:val="auto"/>
        </w:rPr>
        <w:t>disruptions and delays caused by potential workplace, laboratory and office closures and an increased reliance on employees working from home across the healthcare system;</w:t>
      </w:r>
    </w:p>
    <w:p>
      <w:pPr>
        <w:spacing w:after="0" w:line="1" w:lineRule="exact"/>
        <w:rPr>
          <w:rFonts w:ascii="Arial" w:cs="Arial" w:eastAsia="Arial" w:hAnsi="Arial"/>
          <w:sz w:val="29"/>
          <w:szCs w:val="29"/>
          <w:color w:val="auto"/>
          <w:vertAlign w:val="superscript"/>
        </w:rPr>
      </w:pPr>
    </w:p>
    <w:p>
      <w:pPr>
        <w:jc w:val="both"/>
        <w:ind w:left="720" w:right="79" w:hanging="319"/>
        <w:spacing w:after="0" w:line="250"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disruptions in or delays to regulatory approvals, inspections, reviews or other regulatory activities, including review of NDAs and approvals of protocol changes or amendments to Special Protocol Assessments (SPA), as a result of the spread of COVID-19 affecting the operations of the U.S. Food and Drug Administration (FDA) or other regulatory authorities</w:t>
      </w:r>
      <w:r>
        <w:rPr>
          <w:rFonts w:ascii="Arial" w:cs="Arial" w:eastAsia="Arial" w:hAnsi="Arial"/>
          <w:sz w:val="18"/>
          <w:szCs w:val="18"/>
          <w:b w:val="1"/>
          <w:bCs w:val="1"/>
          <w:color w:val="auto"/>
        </w:rPr>
        <w:t>;</w:t>
      </w:r>
    </w:p>
    <w:p>
      <w:pPr>
        <w:spacing w:after="0" w:line="1" w:lineRule="exact"/>
        <w:rPr>
          <w:rFonts w:ascii="Arial" w:cs="Arial" w:eastAsia="Arial" w:hAnsi="Arial"/>
          <w:sz w:val="18"/>
          <w:szCs w:val="18"/>
          <w:color w:val="auto"/>
        </w:rPr>
      </w:pPr>
    </w:p>
    <w:p>
      <w:pPr>
        <w:jc w:val="both"/>
        <w:ind w:left="720" w:right="79" w:hanging="319"/>
        <w:spacing w:after="0" w:line="250"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local regulations as part of a response to the COVID-19 pandemic which may require us to change the ways in which clinical trials are conducted, which may result in unexpected costs, or to discontinue the clinical trials altogether;</w:t>
      </w:r>
    </w:p>
    <w:p>
      <w:pPr>
        <w:spacing w:after="0" w:line="1" w:lineRule="exact"/>
        <w:rPr>
          <w:rFonts w:ascii="Arial" w:cs="Arial" w:eastAsia="Arial" w:hAnsi="Arial"/>
          <w:sz w:val="18"/>
          <w:szCs w:val="18"/>
          <w:color w:val="auto"/>
        </w:rPr>
      </w:pPr>
    </w:p>
    <w:p>
      <w:pPr>
        <w:ind w:left="720" w:hanging="319"/>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refusal of the FDA to accept data from clinical trials in affected geographies outside the United States;</w:t>
      </w:r>
    </w:p>
    <w:p>
      <w:pPr>
        <w:spacing w:after="0" w:line="9"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difficulties launching or commercializing products, including due to reduced access to doctors as a result of social distancing protocols; and</w:t>
      </w:r>
    </w:p>
    <w:p>
      <w:pPr>
        <w:ind w:left="720" w:hanging="319"/>
        <w:spacing w:after="0"/>
        <w:tabs>
          <w:tab w:leader="none" w:pos="7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negative effects on the quality, completeness, integrity, interpretability and cost of our clinical study data.</w:t>
      </w:r>
    </w:p>
    <w:p>
      <w:pPr>
        <w:spacing w:after="0" w:line="155"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The disruptions discussed above and other consequences of COVID-19 pandemic could result in missed study visits or study procedures in our clinical trials, which could lead to an abundance of protocol deviations that impact the interpretability of the trial results. A significant number of deviations may call into question whether the execution of a clinical trial was consistent with the protocol, which is of particular importance where study designs were agreed to as part of a SPA as in the case of our Phase 3 clinical trial for the combination of ublituximab plus umbralisib for patients with chronic lymphocytic leukemia (UNITY-CLL) and our registration program for ublituximab in relapsing multiple sclerosis (ULTIMATE I and II). In extreme cases, significant deviations from the protocol may be considered a violation of the SPA and result in potential rescindment of the SPA agreement, which could adversely affect our ability to use the results of the impacted study to support a future regulatory application.</w:t>
      </w:r>
    </w:p>
    <w:p>
      <w:pPr>
        <w:spacing w:after="0" w:line="113"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We will continue to monitor the potential impact of COVID-19 on our clinical trial program, however, the full extent to which the COVID-19 pandemic may directly or indirectly impact the progress of our current and planned trials will depend on future developments that are highly uncertain and cannot be accurately predicted.</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8" w:name="page39"/>
    <w:bookmarkEnd w:id="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b w:val="1"/>
          <w:bCs w:val="1"/>
          <w:i w:val="1"/>
          <w:iCs w:val="1"/>
          <w:color w:val="auto"/>
        </w:rPr>
        <w:t>The third parties upon whom we rely for the supply of the active pharmaceutical ingredient (API), drug product, regulatory starting materials and intermediates for drug substance and other materials used in our drug candidates are our sole source of supply, and the loss or disruption of any of these suppliers, including as a result of the COVID-19 pandemic, could significantly harm our business.</w:t>
      </w:r>
    </w:p>
    <w:p>
      <w:pPr>
        <w:spacing w:after="0" w:line="119"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The API, drug product and drug substance used in many of our drug candidates are currently supplied to us from single-source suppliers. Our ability to successfully develop our drug candidates, supply our drug candidates for clinical trials and to ultimately supply our commercial drugs in quantities sufficient to meet the market demand, depends in part on our ability to obtain the API, drug product and drug substance for these drugs in accordance with regulatory requirements and in sufficient quantities for clinical testing and commercialization. It is expected that many of our manufacturing partners will be sole source suppliers from single site locations for the foreseeable future. Various raw materials, components, and testing services required for our products may also be single sourced. We are not certain that our single-source suppliers will be able to supply sufficient quantities of their products or on the timelines necessary to meet our needs, either because of the nature of our agreements with those suppliers, our limited experience with those suppliers, our relative importance as a customer to those suppliers, public health emergencies such as the COVID-19 pandemic or natural disasters that may cause those suppliers to stop work for a period of time. If any of our suppliers ceases its operations for any reason or is unable or unwilling to supply API, drug product, drug substance and other materials in sufficient quantities or on the timelines necessary to meet our needs, it could significantly and adversely affect our business, the supply of our drug candidates and our financial condition. In addition, if our current or future supply of any of our product candidates should fail to meet specifications during its stability program there could be a significant interruption of our supply of drug, which would adversely affect the clinical development and commercialization of the product.</w:t>
      </w:r>
    </w:p>
    <w:p>
      <w:pPr>
        <w:spacing w:after="0" w:line="176"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Although COVID-19 has not had a material adverse effect on our supply chain to date, no assurance can be given that it will not in the future if the situation persists or worsens. Umbralisib is manufactured in India, ublituximab is manufactured in South Korea, and TG-1701 is manufactured in China. Each of these countries continues to be, or has been, subject to government-imposed quarantines and travel restrictions due to the COVID-19 pandemic, which, in some cases, have resulted in reduced operations at manufacturing and research locations and time-limited shutdowns. Our contract manufacturers for umbralisib and ublituximab are continuing operations at varying levels of capacity. We are working closely with our contract manufacturer for umbralisib to ensure availability of sufficient commercial supply by a projected Prescription Drug User Fee Act (PDUFA) date, which is based on our current New Drug Application (NDA) submission timeline. We also are working closely with our contract manufacturer for ublituximab to prepare for our anticipated commercial supply needs. We believe that we have sufficient inventory of clinical supplies of umbralisib, ublituximab and TG-1701 to support our current clinical program needs through 2020. We will continue to monitor the situation very closely with our suppliers in impacted regions.</w:t>
      </w:r>
    </w:p>
    <w:p>
      <w:pPr>
        <w:spacing w:after="0" w:line="179"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We continually evaluate our supply chains to identify potential risks and will take steps, as necessary, to identify additional manufacturers and other suppliers to provide API, drug product and drug substance. However, establishing additional or replacement suppliers for the API, drug product and drug substance, if required, may not be accomplished quickly or at all and may involve significant expense. If we are able to find a replacement supplier, such replacement supplier would need to be qualified and require additional regulatory approval, which could result in further delay. While we seek to maintain adequate inventory of the API, drug product and drug substance used in our drug candidates, any interruption or delay in the supply of components or materials, or our inability to obtain such API, drug product and drug substance from alternate sources at acceptable prices in a timely manner could impede, delay, limit or prevent our development efforts, which could harm our business, results of operations, financial condition and prospects.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9" w:name="page40"/>
    <w:bookmarkEnd w:id="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b w:val="1"/>
          <w:bCs w:val="1"/>
          <w:i w:val="1"/>
          <w:iCs w:val="1"/>
          <w:color w:val="auto"/>
        </w:rPr>
        <w:t>If any product candidate for which we receive regulatory approval does not achieve broad market acceptance among physicians, patients, healthcare payors, and the medical community, the revenues that we generate from its sales will be limited.</w:t>
      </w:r>
    </w:p>
    <w:p>
      <w:pPr>
        <w:spacing w:after="0" w:line="184"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Even if our product candidates receive regulatory approval, they may not gain market acceptance among physicians, patients, healthcare payors, and the medical community. Commercial success also will depend, in large part, on the coverage and reimbursement of our product candidates by third-party payors, including private insurance providers and government payors. The degree of market acceptance of any approved product would depend on a number of factors, including:</w:t>
      </w:r>
    </w:p>
    <w:p>
      <w:pPr>
        <w:spacing w:after="0" w:line="188" w:lineRule="exact"/>
        <w:rPr>
          <w:sz w:val="20"/>
          <w:szCs w:val="20"/>
          <w:color w:val="auto"/>
        </w:rPr>
      </w:pPr>
    </w:p>
    <w:p>
      <w:pPr>
        <w:ind w:left="1040" w:hanging="315"/>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efficacy, safety and tolerability as demonstrated in clinical trials;</w:t>
      </w:r>
    </w:p>
    <w:p>
      <w:pPr>
        <w:spacing w:after="0" w:line="23" w:lineRule="exact"/>
        <w:rPr>
          <w:rFonts w:ascii="Arial" w:cs="Arial" w:eastAsia="Arial" w:hAnsi="Arial"/>
          <w:sz w:val="18"/>
          <w:szCs w:val="18"/>
          <w:color w:val="auto"/>
        </w:rPr>
      </w:pPr>
    </w:p>
    <w:p>
      <w:pPr>
        <w:ind w:left="1040" w:hanging="315"/>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of market introduction of such product candidate as well as competitive products;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clinical indications for which the product is approved;</w:t>
      </w:r>
    </w:p>
    <w:p>
      <w:pPr>
        <w:spacing w:after="0" w:line="9" w:lineRule="exact"/>
        <w:rPr>
          <w:rFonts w:ascii="Arial" w:cs="Arial" w:eastAsia="Arial" w:hAnsi="Arial"/>
          <w:sz w:val="18"/>
          <w:szCs w:val="18"/>
          <w:color w:val="auto"/>
        </w:rPr>
      </w:pPr>
    </w:p>
    <w:p>
      <w:pPr>
        <w:ind w:left="1040" w:right="79" w:hanging="315"/>
        <w:spacing w:after="0" w:line="250"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acceptance by physicians, major operators of cancer or neurology clinics and patients of the product as a safe, tolerable and effective treatment;</w:t>
      </w:r>
    </w:p>
    <w:p>
      <w:pPr>
        <w:ind w:left="1040" w:hanging="315"/>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potential and perceived advantages of the product candidate over alternative treatments;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safety and tolerability of the product candidate in a broader patient group;</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availability of adequate reimbursement by third party payors and government authorities;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regulatory requirements by government authorities for the product candidate;</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prevalence and severity of side effects and adverse events;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 and</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favorable or unfavorable publicity relating to the product or relating to the Company.</w:t>
      </w:r>
    </w:p>
    <w:p>
      <w:pPr>
        <w:spacing w:after="0" w:line="211"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Our ability to successfully launch and secure market acceptance of our late-stage pipeline candidates, umbralisib and ublituximab (if approved), may be impacted by the evolving COVID-19 pandemic, although we are currently unable to predict or quantify any such potential impact with any degree of certainty. As a result of the measures state and local governments have taken to date to control the spread of COVID-19, our office-based employees are working remotely and our preparations for commercialization are happening virtually. The progress of these preparations may be impacted by the increased reliance on work-from-home arrangements for our employees, consultants, vendors, and potential customers. If the spread of COVID-19 and the social distancing measures taken by various governments continue, any commercial launch we may undertake may be hindered by various factors, including challenges in hiring the employees necessary to support commercialization; delays in demand due to impacts on the healthcare system and overall economy; delays in coverage decisions from Medicare and third-party payors; restrictions on our personal interactions with physicians, hospitals, payors, and other customers; interruptions or delays in our commercial supply chain; and increases in the number of uninsured or underinsured patients.</w:t>
      </w:r>
    </w:p>
    <w:p>
      <w:pPr>
        <w:spacing w:after="0" w:line="179"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color w:val="auto"/>
        </w:rPr>
        <w:t>If any product candidate is approved but does not achieve an adequate level of acceptance by physicians, hospitals, healthcare payors and patients, we may not generate sufficient revenue from these products and we may not become or remain profitable, which would have a material adverse effect on our business.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Risks Related to Our Financial Position and Need for Additional Capital</w:t>
      </w:r>
    </w:p>
    <w:p>
      <w:pPr>
        <w:spacing w:after="0" w:line="162"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We are a biopharmaceutical company with a limited operating history and have not generated any revenue from drug sales. We have incurred significant operating losses since our inception and anticipate that we will incur continued losses for the foreseeable future.</w:t>
      </w:r>
    </w:p>
    <w:p>
      <w:pPr>
        <w:spacing w:after="0" w:line="116"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We are a biopharmaceutical company with a limited operating history on which investors can base an investment decision. Biopharmaceutical drug development is a highly speculative undertaking and involves a substantial degree of risk. We commenced operations in January 2012. Our operations to date have been limited primarily to organizing and staffing our company, business planning, raising capital, developing our technology, identifying potential drug candidates and undertaking pre-clinical studies and commencing clinical trials. We have never generated any revenue from drug sales. We have not obtained regulatory approvals for any of our drug candidates.</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0" w:name="page41"/>
    <w:bookmarkEnd w:id="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We have not yet demonstrated our ability to successfully obtain regulatory approvals, manufacture a commercial scale drug, or arrange for a third party to do so on our behalf, or conduct sales and marketing activities necessary for successful commercialization. Typically, it takes many years to develop one new drug from the time it is discovered to when it is available for treating patients. Consequently, any predictions about our future success or viability may not be as accurate as they could be if we had a longer operating history. We are transitioning from a company with a research and development focus to a company capable of supporting commercial activities. We may not be successful in such a transition.</w:t>
      </w:r>
    </w:p>
    <w:p>
      <w:pPr>
        <w:spacing w:after="0" w:line="195"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Since inception, we have focused substantially all of our efforts and financial resources on clinical trials and manufacturing of our drug candidates. To date, we have financed our operations primarily through public offerings of our common stock and a debt financing. Through July 30, 2020, we have received an aggregate of approximately $879 million from such transactions. Approximately $849 million of that amount constitutes the aggregate gross proceeds from the sale of common stock in one or more offerings and through the use of our at the market sales program, or ATM. The remaining $30.0 million is from our term loan facility with Hercules (as defined below) that we secured in February 2019.</w:t>
      </w:r>
    </w:p>
    <w:p>
      <w:pPr>
        <w:spacing w:after="0" w:line="164"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Since inception, we have incurred significant operating losses. As of June 30, 2020, we had an accumulated deficit of $805.2 million. Substantially all of our operating losses have resulted from costs incurred in connection with our research and development programs and from general and administrative costs associated with our operations. We expect to continue to incur significant expenses and operating losses for the foreseeable future. Our prior losses, combined with expected future losses, have had and will continue to have an adverse effect on our stockholders’ deficit and working capital. We expect to continue to incur significant research and development expenses in connection with continuing our existing clinical trials and beginning additional clinical trials. In addition, if we obtain regulatory approval for our drug candidates, we will incur significant sales, marketing and outsourced-manufacturing expenses. We also have incurred and will continue to incur additional costs associated with operating as a public company. As a result, we expect to continue to incur significant and increasing operating losses for the foreseeable future. Because of the numerous risks and uncertainties associated with developing pharmaceuticals, we are unable to predict the extent of any future losses or when we will become profitable, if at all. Even if we do become profitable, we may not be able to sustain or increase our profitability on a quarterly or annual basis. Our ability to become profitable depends upon our ability to generate revenue.</w:t>
      </w:r>
    </w:p>
    <w:p>
      <w:pPr>
        <w:spacing w:after="0" w:line="174"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To date, we have not generated any significant revenue from our drug candidates, and it is uncertain when and if we will generate any revenue from the sale of our drugs in the future. Our ability to become profitable depends upon our ability to generate significant and sustained revenues. To obtain significant and sustained revenues, we must succeed, either alone or with others, in developing, obtaining regulatory approval for and manufacturing and marketing our product candidates. Accordingly, we do not expect to generate significant and sustained revenue unless and until we obtain marketing approval of, and begin to sell umbralisib, ublituximab and/or one of our other product candidates. Our ability to generate revenue depends on a number of factors, including, but not limited to, our ability to:</w:t>
      </w:r>
    </w:p>
    <w:p>
      <w:pPr>
        <w:spacing w:after="0" w:line="177" w:lineRule="exact"/>
        <w:rPr>
          <w:sz w:val="20"/>
          <w:szCs w:val="20"/>
          <w:color w:val="auto"/>
        </w:rPr>
      </w:pPr>
    </w:p>
    <w:p>
      <w:pPr>
        <w:ind w:left="1040" w:hanging="315"/>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Successfully complete clinical trials that meet their clinical endpoints;</w:t>
      </w:r>
    </w:p>
    <w:p>
      <w:pPr>
        <w:spacing w:after="0" w:line="23" w:lineRule="exact"/>
        <w:rPr>
          <w:rFonts w:ascii="Arial" w:cs="Arial" w:eastAsia="Arial" w:hAnsi="Arial"/>
          <w:sz w:val="18"/>
          <w:szCs w:val="18"/>
          <w:color w:val="auto"/>
        </w:rPr>
      </w:pPr>
    </w:p>
    <w:p>
      <w:pPr>
        <w:ind w:left="1040" w:right="79" w:hanging="315"/>
        <w:spacing w:after="0" w:line="250"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Initiate and successfully complete all safety, pharmacokinetic, biodistribution, and non-clinical studies required to obtain U.S. and foreign marketing approval for our drug candidates;</w:t>
      </w:r>
    </w:p>
    <w:p>
      <w:pPr>
        <w:ind w:left="1040" w:hanging="315"/>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 approval from the FDA and foreign equivalents to market and sell our drug candidates;</w:t>
      </w:r>
    </w:p>
    <w:p>
      <w:pPr>
        <w:spacing w:after="0" w:line="9" w:lineRule="exact"/>
        <w:rPr>
          <w:rFonts w:ascii="Arial" w:cs="Arial" w:eastAsia="Arial" w:hAnsi="Arial"/>
          <w:sz w:val="18"/>
          <w:szCs w:val="18"/>
          <w:color w:val="auto"/>
        </w:rPr>
      </w:pPr>
    </w:p>
    <w:p>
      <w:pPr>
        <w:jc w:val="both"/>
        <w:ind w:left="1040" w:right="79" w:hanging="315"/>
        <w:spacing w:after="0" w:line="250"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 commercial manufacturing capabilities alone and/or with third parties that are satisfactory to the regulatory authorities, cost effective, and that are capable of providing commercial supply of our drug candidates;</w:t>
      </w:r>
    </w:p>
    <w:p>
      <w:pPr>
        <w:spacing w:after="0" w:line="1" w:lineRule="exact"/>
        <w:rPr>
          <w:rFonts w:ascii="Arial" w:cs="Arial" w:eastAsia="Arial" w:hAnsi="Arial"/>
          <w:sz w:val="18"/>
          <w:szCs w:val="18"/>
          <w:color w:val="auto"/>
        </w:rPr>
      </w:pPr>
    </w:p>
    <w:p>
      <w:pPr>
        <w:ind w:left="1040" w:right="79" w:hanging="315"/>
        <w:spacing w:after="0" w:line="250"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 a commercial infrastructure to commercialize our drug candidates, if approved, by developing a sales force and/or entering into collaborations with third parties; and</w:t>
      </w:r>
    </w:p>
    <w:p>
      <w:pPr>
        <w:ind w:left="1040" w:hanging="315"/>
        <w:spacing w:after="0"/>
        <w:tabs>
          <w:tab w:leader="none" w:pos="10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Achieve market acceptance of our drug candidates in the medical community and with third-party payors.</w:t>
      </w:r>
    </w:p>
    <w:p>
      <w:pPr>
        <w:spacing w:after="0" w:line="222" w:lineRule="exact"/>
        <w:rPr>
          <w:sz w:val="20"/>
          <w:szCs w:val="20"/>
          <w:color w:val="auto"/>
        </w:rPr>
      </w:pPr>
    </w:p>
    <w:p>
      <w:pPr>
        <w:ind w:left="60" w:right="79" w:firstLine="648"/>
        <w:spacing w:after="0" w:line="277" w:lineRule="auto"/>
        <w:rPr>
          <w:sz w:val="20"/>
          <w:szCs w:val="20"/>
          <w:color w:val="auto"/>
        </w:rPr>
      </w:pPr>
      <w:r>
        <w:rPr>
          <w:rFonts w:ascii="Arial" w:cs="Arial" w:eastAsia="Arial" w:hAnsi="Arial"/>
          <w:sz w:val="18"/>
          <w:szCs w:val="18"/>
          <w:color w:val="auto"/>
        </w:rPr>
        <w:t>If we are unable to generate significant and sustained revenues, we will not become profitable and we will be unable to continue our operations without continued funding.</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1" w:name="page42"/>
    <w:bookmarkEnd w:id="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b w:val="1"/>
          <w:bCs w:val="1"/>
          <w:i w:val="1"/>
          <w:iCs w:val="1"/>
          <w:color w:val="auto"/>
        </w:rPr>
        <w:t>We will need to raise substantial additional funding. If we are unable to raise capital when needed, we would be forced to delay, reduce or eliminate some of our drug development programs or commercialization efforts.</w:t>
      </w:r>
    </w:p>
    <w:p>
      <w:pPr>
        <w:spacing w:after="0" w:line="146"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The development of pharmaceuticals is capital-intensive. We are currently advancing our most advanced drug candidates, umbralisib, ublituximab, cosibelimab, TG-1701 and TG-1801 through clinical development. While we may experience short-term decreases in clinical trial expenses as our larger Phase 3 clinical trials complete and before our Phase 1 and 2 programs can advance into Phase 2 and 3, we do expect over time our overall expenses will increase in connection with our ongoing activities, particularly as we continue the research and development of, initiate or continue clinical trials of, seek marketing approval for, and develop an infrastructure to commercialize our drug candidates. In addition, depending on the status of regulatory approval or, if we obtain marketing approval for any of our drug candidates, we expect to incur significant commercialization expenses related to drug sales, marketing, manufacturing and distribution. Moreover, in anticipation of submitting applications for regulatory approvals for umbralisib and ublituximab in chronic lymphocytic leukemia (CLL) and for ublituximab in relapsing multiple sclerosis (MS) we will need to expend substantial resources on manufacturing and NDA/biologics license application (BLA) preparation over the next 12 to 18 months, which could exceed any cost savings associated with lower clinical trial expenses during the same period.</w:t>
      </w:r>
    </w:p>
    <w:p>
      <w:pPr>
        <w:spacing w:after="0" w:line="168"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While this timing is our current estimate, the amount and timing of our future funding requirements will depend on many factors, including, but not limited to, the following:</w:t>
      </w:r>
    </w:p>
    <w:p>
      <w:pPr>
        <w:spacing w:after="0" w:line="170" w:lineRule="exact"/>
        <w:rPr>
          <w:sz w:val="20"/>
          <w:szCs w:val="20"/>
          <w:color w:val="auto"/>
        </w:rPr>
      </w:pPr>
    </w:p>
    <w:p>
      <w:pPr>
        <w:ind w:left="1040" w:right="79" w:hanging="315"/>
        <w:spacing w:after="0" w:line="258"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progress of our clinical trials, including expenses to support the trials and milestone payments that may become payable under our license agreements;</w:t>
      </w:r>
    </w:p>
    <w:p>
      <w:pPr>
        <w:spacing w:after="0" w:line="1" w:lineRule="exact"/>
        <w:rPr>
          <w:rFonts w:ascii="Arial" w:cs="Arial" w:eastAsia="Arial" w:hAnsi="Arial"/>
          <w:sz w:val="18"/>
          <w:szCs w:val="18"/>
          <w:color w:val="auto"/>
        </w:rPr>
      </w:pPr>
    </w:p>
    <w:p>
      <w:pPr>
        <w:ind w:left="1040" w:hanging="315"/>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developments relating to the COVID-19 pandemic in the U.S. and around the world;</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and timing of regulatory approvals;</w:t>
      </w:r>
    </w:p>
    <w:p>
      <w:pPr>
        <w:spacing w:after="0" w:line="9" w:lineRule="exact"/>
        <w:rPr>
          <w:rFonts w:ascii="Arial" w:cs="Arial" w:eastAsia="Arial" w:hAnsi="Arial"/>
          <w:sz w:val="18"/>
          <w:szCs w:val="18"/>
          <w:color w:val="auto"/>
        </w:rPr>
      </w:pPr>
    </w:p>
    <w:p>
      <w:pPr>
        <w:ind w:left="1040" w:right="79" w:hanging="315"/>
        <w:spacing w:after="0" w:line="250"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and timing of clinical and commercial manufacturing supply arrangements for each product candidate;</w:t>
      </w:r>
    </w:p>
    <w:p>
      <w:pPr>
        <w:ind w:left="1040" w:hanging="315"/>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of establishing sales or distribution capabilities;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success of the commercialization of our products;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ability to establish and maintain strategic collaborations, including licensing and other arrangements;</w:t>
      </w:r>
    </w:p>
    <w:p>
      <w:pPr>
        <w:spacing w:after="0" w:line="20" w:lineRule="exact"/>
        <w:rPr>
          <w:rFonts w:ascii="Arial" w:cs="Arial" w:eastAsia="Arial" w:hAnsi="Arial"/>
          <w:sz w:val="17"/>
          <w:szCs w:val="17"/>
          <w:color w:val="auto"/>
        </w:rPr>
      </w:pPr>
    </w:p>
    <w:p>
      <w:pPr>
        <w:ind w:left="1040" w:hanging="315"/>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involved in enforcing or defending patent claims or other intellectual property rights; and</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extent to which we in-license or invest in other indications or product candidates.</w:t>
      </w:r>
    </w:p>
    <w:p>
      <w:pPr>
        <w:spacing w:after="0" w:line="211"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As a result, significant additional funding will be required. Additional sources of financing to continue our operations in the future might not be available on favorable terms, if at all. If we do not succeed in raising additional funds on acceptable terms, we might be unable to complete planned preclinical studies and clinical trials or obtain approval of any of our product candidates from the FDA or any foreign regulatory authorities. In addition, we could be forced to discontinue product development, reduce or forego sales, marketing and medical educational efforts that are required for a successful launch of umbralisib and/or ublituximab or any of our product candidates and otherwise forego attractive business opportunities. Any additional sources of financing will likely involve the issuance of our equity securities, which would have a dilutive effect to stockholders. Currently, none of our product candidates have been approved by the FDA or any foreign regulatory authority for sale. Therefore, for the foreseeable future, we will have to fund all of our operations and capital expenditures from cash on hand and amounts raised in future offerings or financings. Accordingly, our prospects must be considered in light of the uncertainties, risks, expenses and difficulties frequently encountered by companies in the early stages of operations and the competitive environment in which we operate.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2" w:name="page43"/>
    <w:bookmarkEnd w:id="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b w:val="1"/>
          <w:bCs w:val="1"/>
          <w:i w:val="1"/>
          <w:iCs w:val="1"/>
          <w:color w:val="auto"/>
        </w:rPr>
        <w:t>Raising additional capital may cause dilution to our stockholders, restrict our operations or require us to relinquish rights to our technologies or drug candidates and occupy valuable management time and resources.</w:t>
      </w:r>
    </w:p>
    <w:p>
      <w:pPr>
        <w:spacing w:after="0" w:line="124"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Until such time, if ever, as we can generate substantial drug revenues, we expect to finance our cash needs through a combination of public and private equity offerings, debt financings, collaborations, strategic alliances and licensing arrangements. We do not have any committed external source of funds, other than funds already borrowed under the loan and security agreement that we entered into with Hercules in February 2019 (See Note 7 to our consolidated financial statements for more information). To the extent that we raise additional capital through the sale of common stock or securities convertible or exchangeable into common stock, the ownership interest of our stockholders will be diluted, and the terms of these securities may include liquidation or other preferences that materially adversely affect the rights of our common stockholders. We may also seek funds through collaborations, strategic alliances or licensing arrangements with third parties at a time that is not desirable to us and we may be required to relinquish valuable rights to some intellectual property, future revenue streams, research programs or drug candidates or to grant licenses on terms that may not be favorable to us, any of which may have a material adverse effect on our business, operating results and prospects. Debt financing, if available, may involve agreements that include covenants limiting or restricting our ability to take specific actions, such as incurring additional debt, making capital expenditures or declaring dividends. See our risk factors below under the heading “Risks Related to Our Indebtedness”.</w:t>
      </w:r>
    </w:p>
    <w:p>
      <w:pPr>
        <w:spacing w:after="0" w:line="171"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Additionally, fundraising efforts may divert our management from their day-to-day activities, which may adversely affect our ability to develop and commercialize our drug candidates. Dislocations in the financial markets have generally made equity and debt financing more difficult to obtain and may have a material adverse effect on our ability to meet our fundraising needs. We cannot guarantee that future financing will be available in sufficient amounts or on terms acceptable to us, if at all. Moreover, the issuance of additional securities, whether equity or debt, by us, or the possibility of such issuance, may cause the market price of our shares to decline.</w:t>
      </w:r>
    </w:p>
    <w:p>
      <w:pPr>
        <w:spacing w:after="0" w:line="17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All product candidate development timelines and projections in this report are based on the assumption of further financing.</w:t>
      </w:r>
    </w:p>
    <w:p>
      <w:pPr>
        <w:spacing w:after="0" w:line="170"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The timelines and projections in this report are predicated upon the assumption that we will raise additional financing in the future to continue the development of our product candidates. In the event we do not successfully raise subsequent financing, our product development activities will necessarily be curtailed commensurate with the magnitude of the shortfall. If our product development activities are slowed or stopped, we would be unable to meet the timelines and projections outlined in this filing. Failure to progress our product candidates as anticipated will have a negative effect on our business, future prospects, and ability to obtain further financing on acceptable terms, if at all, and the value of the enterprise.</w:t>
      </w:r>
    </w:p>
    <w:p>
      <w:pPr>
        <w:spacing w:after="0" w:line="19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Due to limited resources we may fail to capitalize on programs or product candidates that may present a greater commercial opportunity or for which there is a greater likelihood of success.</w:t>
      </w:r>
    </w:p>
    <w:p>
      <w:pPr>
        <w:spacing w:after="0" w:line="170"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Because we have limited resources, we may forego or delay pursuit of opportunities with certain programs or product candidates or for indications that later prove to have greater commercial potential. Our estimates regarding the potential market for a product candidate could be inaccurate, and our spending on current and future research and development programs may not yield any commercially viable products. If we do not accurately evaluate the commercial potential for a particular product candidate, we may relinquish valuable rights to that product candidate through strategic collaboration, licensing or other arrangements in cases in which it would have been more advantageous for us to retain sole development and commercialization rights to such product candidate. Alternatively, we may allocate internal resources to a product candidate in a therapeutic area in which it would have been more advantageous to enter into a partnering arrangement.</w:t>
      </w:r>
    </w:p>
    <w:p>
      <w:pPr>
        <w:spacing w:after="0" w:line="196"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If any of these events occur, we may be forced to abandon or delay our development efforts with respect to a particular product candidate or fail to develop a potentially successful product candidate, which could have a material adverse effect on our business, financial condition, results of operations and prospects.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3" w:name="page44"/>
    <w:bookmarkEnd w:id="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Risks Related to Our Indebtedness</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Our level of indebtedness and debt service obligations could adversely affect our financial condition, and may make it more difficult for us to fund our operations.</w:t>
      </w:r>
    </w:p>
    <w:p>
      <w:pPr>
        <w:spacing w:after="0" w:line="170"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In February 2019, we entered into a Loan and Security Agreement (the Loan Agreement), with Hercules Capital, Inc., a Maryland corporation (Hercules) (See Note 7 to our consolidated financial statements for more information). Under the Loan Agreement, Hercules will provide access to term loans with an aggregate principal amount of up to $60.0 million (the Term Loan). Concurrently with the closing of the Loan Agreement, we borrowed an initial tranche of $30.0 million. In addition, we have incurred short-term liabilities of approximately $23.7 million with a contract manufacturing organization (CMO) for the scale-up, tech-transfer, and long-term supply of one of our drug candidates. This is an expensive and lengthy process and we expect to incur additional obligations associated with these ongoing manufacturing activities over the course of the next 24 months, and potentially longer. To date, this CMO has provided payment terms which we believe are reasonable; however, no assurance can be given that such terms will continue to be available to us in the future. No assurances can be made that the obligations associated with the Loan Agreement and the CMO will not have a material adverse impact on our financial condition.</w:t>
      </w:r>
    </w:p>
    <w:p>
      <w:pPr>
        <w:spacing w:after="0" w:line="182"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All obligations under the Loan Agreement are secured by substantially all of our existing property and assets, excluding intellectual property. This indebtedness may create additional financing risk for us, particularly if our business or prevailing financial market conditions are not conducive to paying off or refinancing its outstanding debt obligations at maturity. This indebtedness could also have important negative consequences, including:</w:t>
      </w:r>
    </w:p>
    <w:p>
      <w:pPr>
        <w:spacing w:after="0" w:line="171" w:lineRule="exact"/>
        <w:rPr>
          <w:sz w:val="20"/>
          <w:szCs w:val="20"/>
          <w:color w:val="auto"/>
        </w:rPr>
      </w:pPr>
    </w:p>
    <w:p>
      <w:pPr>
        <w:jc w:val="both"/>
        <w:ind w:left="1040" w:right="79" w:hanging="315"/>
        <w:spacing w:after="0" w:line="255"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will need to repay the indebtedness by making payments of interest and principal, which will reduce the amount of money available to finance our operations, our research and development efforts and other general corporate activities; and</w:t>
      </w:r>
    </w:p>
    <w:p>
      <w:pPr>
        <w:spacing w:after="0" w:line="2" w:lineRule="exact"/>
        <w:rPr>
          <w:rFonts w:ascii="Arial" w:cs="Arial" w:eastAsia="Arial" w:hAnsi="Arial"/>
          <w:sz w:val="18"/>
          <w:szCs w:val="18"/>
          <w:color w:val="auto"/>
        </w:rPr>
      </w:pPr>
    </w:p>
    <w:p>
      <w:pPr>
        <w:jc w:val="both"/>
        <w:ind w:left="1040" w:right="79" w:hanging="315"/>
        <w:spacing w:after="0" w:line="255"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failure to comply with the restrictive covenants in the Loan Agreement could result in an event of default that, if not cured or waived, would accelerate our obligation to repay this indebtedness, and Hercules could seek to enforce its security interest in the assets securing such indebtedness.</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To the extent additional debt is added to our current debt levels, the risks described above could increase.</w:t>
      </w:r>
    </w:p>
    <w:p>
      <w:pPr>
        <w:spacing w:after="0" w:line="22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may not have cash available in an amount sufficient to enable us to make interest or principal payments on our indebtedness when due.</w:t>
      </w:r>
    </w:p>
    <w:p>
      <w:pPr>
        <w:spacing w:after="0" w:line="170"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Failure to satisfy our current and future debt obligations under the Loan Agreement, or the breach of any of its covenants, subject to specified cure periods with respect to certain breaches, could result in an event of default and, as a result, Hercules could accelerate all of the amounts due. In the event of an acceleration of amounts due under the Loan Agreement as a result of an event of default, we may not have enough available cash or be able to raise additional funds through equity or debt financings to repay such indebtedness at the time of such acceleration. In that case, we may be required to delay, limit, reduce or terminate our product candidate development or commercialization efforts or grant to others rights to develop and market product candidates that we would otherwise prefer to develop and market ourselves. Hercules could also exercise its rights as collateral agent to take possession and dispose of the collateral securing the Term Loan for its benefit, which collateral includes substantially all of our property other than intellectual property. Our business, financial condition and results of operations could be materially adversely affected as a result of any of these events.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4" w:name="page45"/>
    <w:bookmarkEnd w:id="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648"/>
        <w:spacing w:after="0" w:line="308" w:lineRule="auto"/>
        <w:rPr>
          <w:sz w:val="20"/>
          <w:szCs w:val="20"/>
          <w:color w:val="auto"/>
        </w:rPr>
      </w:pPr>
      <w:r>
        <w:rPr>
          <w:rFonts w:ascii="Arial" w:cs="Arial" w:eastAsia="Arial" w:hAnsi="Arial"/>
          <w:sz w:val="17"/>
          <w:szCs w:val="17"/>
          <w:color w:val="auto"/>
        </w:rPr>
        <w:t>The Loan Agreement imposes operating and other restrictions on the Company. Such restrictions will affect, and in many respects limit or prohibit, our ability and the ability of any future subsidiary to, among other things:</w:t>
      </w:r>
    </w:p>
    <w:p>
      <w:pPr>
        <w:spacing w:after="0" w:line="146" w:lineRule="exact"/>
        <w:rPr>
          <w:sz w:val="20"/>
          <w:szCs w:val="20"/>
          <w:color w:val="auto"/>
        </w:rPr>
      </w:pPr>
    </w:p>
    <w:p>
      <w:pPr>
        <w:ind w:left="1040" w:hanging="315"/>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dispose of certain assets;</w:t>
      </w:r>
    </w:p>
    <w:p>
      <w:pPr>
        <w:spacing w:after="0" w:line="23" w:lineRule="exact"/>
        <w:rPr>
          <w:rFonts w:ascii="Arial" w:cs="Arial" w:eastAsia="Arial" w:hAnsi="Arial"/>
          <w:sz w:val="18"/>
          <w:szCs w:val="18"/>
          <w:color w:val="auto"/>
        </w:rPr>
      </w:pPr>
    </w:p>
    <w:p>
      <w:pPr>
        <w:ind w:left="1040" w:hanging="315"/>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 its lines of business;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engage in mergers, acquisitions or consolidations;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create liens on assets;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pay dividends and make contributions or repurchase our capital stock; and</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engage in certain transactions with affiliates.</w:t>
      </w:r>
    </w:p>
    <w:p>
      <w:pPr>
        <w:spacing w:after="0" w:line="197" w:lineRule="exact"/>
        <w:rPr>
          <w:sz w:val="20"/>
          <w:szCs w:val="20"/>
          <w:color w:val="auto"/>
        </w:rPr>
      </w:pPr>
    </w:p>
    <w:p>
      <w:pPr>
        <w:jc w:val="both"/>
        <w:ind w:left="60" w:right="79" w:firstLine="648"/>
        <w:spacing w:after="0" w:line="246" w:lineRule="auto"/>
        <w:rPr>
          <w:sz w:val="20"/>
          <w:szCs w:val="20"/>
          <w:color w:val="auto"/>
        </w:rPr>
      </w:pPr>
      <w:r>
        <w:rPr>
          <w:rFonts w:ascii="Arial" w:cs="Arial" w:eastAsia="Arial" w:hAnsi="Arial"/>
          <w:sz w:val="18"/>
          <w:szCs w:val="18"/>
          <w:color w:val="auto"/>
        </w:rPr>
        <w:t>The breach of any of these restrictive covenants could have a material adverse effect on our business and prospects.</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Risks Related to Drug Development and Regulatory Approval</w:t>
      </w:r>
    </w:p>
    <w:p>
      <w:pPr>
        <w:spacing w:after="0" w:line="175" w:lineRule="exact"/>
        <w:rPr>
          <w:sz w:val="20"/>
          <w:szCs w:val="20"/>
          <w:color w:val="auto"/>
        </w:rPr>
      </w:pPr>
    </w:p>
    <w:p>
      <w:pPr>
        <w:jc w:val="both"/>
        <w:ind w:left="60" w:right="79"/>
        <w:spacing w:after="0" w:line="235" w:lineRule="auto"/>
        <w:rPr>
          <w:sz w:val="20"/>
          <w:szCs w:val="20"/>
          <w:color w:val="auto"/>
        </w:rPr>
      </w:pPr>
      <w:r>
        <w:rPr>
          <w:rFonts w:ascii="Arial" w:cs="Arial" w:eastAsia="Arial" w:hAnsi="Arial"/>
          <w:sz w:val="18"/>
          <w:szCs w:val="18"/>
          <w:b w:val="1"/>
          <w:bCs w:val="1"/>
          <w:i w:val="1"/>
          <w:iCs w:val="1"/>
          <w:color w:val="auto"/>
        </w:rPr>
        <w:t>If we are unable to obtain regulatory approval for our most advanced drug candidates or other drug candidates and ultimately cannot commercialize our most advanced drug candidates or other drug candidates, or experience significant delays in doing so, our business will be materially harmed.</w:t>
      </w:r>
    </w:p>
    <w:p>
      <w:pPr>
        <w:spacing w:after="0" w:line="148" w:lineRule="exact"/>
        <w:rPr>
          <w:sz w:val="20"/>
          <w:szCs w:val="20"/>
          <w:color w:val="auto"/>
        </w:rPr>
      </w:pPr>
    </w:p>
    <w:p>
      <w:pPr>
        <w:jc w:val="both"/>
        <w:ind w:left="60" w:right="59" w:firstLine="648"/>
        <w:spacing w:after="0" w:line="235" w:lineRule="auto"/>
        <w:rPr>
          <w:sz w:val="20"/>
          <w:szCs w:val="20"/>
          <w:color w:val="auto"/>
        </w:rPr>
      </w:pPr>
      <w:r>
        <w:rPr>
          <w:rFonts w:ascii="Arial" w:cs="Arial" w:eastAsia="Arial" w:hAnsi="Arial"/>
          <w:sz w:val="17"/>
          <w:szCs w:val="17"/>
          <w:color w:val="auto"/>
        </w:rPr>
        <w:t>We are a development-stage biopharmaceutical company, and do not currently have any commercial products that generate revenues or any other sources of revenue. We may never be able to successfully develop marketable products. Our pharmaceutical development methods are unproven and may not lead to commercially viable products for a variety of reasons. We have substantially invested all of our efforts and financial resources in the identification and pre-clinical and clinical development of our drug candidates, including ublituximab, umbralisib, cosibelimab, TG-1701 and TG-1801. Our ability to generate drug revenues will depend completely on the successful completion of our current and future Phase 3 and registration-directed clinical trials and commercialization of our drug candidates, which may never occur. We currently generate no revenues from sales of any drugs, and we may never be able to develop or commercialize a marketable drug. Each of our drug candidates will require additional non-clinical or clinical development, management of clinical, non-clinical and manufacturing activities, regulatory approval in multiple jurisdictions, obtaining or manufacturing supply, building of a commercial organization, substantial investment and significant marketing efforts before we generate any revenues from drug sales. The success of our most advanced drug candidates and other drug candidates will depend on several factors, including the following:</w:t>
      </w:r>
    </w:p>
    <w:p>
      <w:pPr>
        <w:spacing w:after="0" w:line="198" w:lineRule="exact"/>
        <w:rPr>
          <w:sz w:val="20"/>
          <w:szCs w:val="20"/>
          <w:color w:val="auto"/>
        </w:rPr>
      </w:pPr>
    </w:p>
    <w:p>
      <w:pPr>
        <w:ind w:left="1040" w:hanging="315"/>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Successful completion of our UNITY-NHL trial and our ULTIMATE I and II trials;</w:t>
      </w:r>
    </w:p>
    <w:p>
      <w:pPr>
        <w:spacing w:after="0" w:line="23" w:lineRule="exact"/>
        <w:rPr>
          <w:rFonts w:ascii="Arial" w:cs="Arial" w:eastAsia="Arial" w:hAnsi="Arial"/>
          <w:sz w:val="18"/>
          <w:szCs w:val="18"/>
          <w:color w:val="auto"/>
        </w:rPr>
      </w:pPr>
    </w:p>
    <w:p>
      <w:pPr>
        <w:ind w:left="1040" w:right="79" w:hanging="315"/>
        <w:spacing w:after="0" w:line="250"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Successful preparation of the complete data set from the UNITY-CLL trial within the timeframe we have projected;</w:t>
      </w:r>
    </w:p>
    <w:p>
      <w:pPr>
        <w:ind w:left="1040" w:hanging="315"/>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Receipt of regulatory approvals from applicable regulatory authorities for our drug candidates;</w:t>
      </w:r>
    </w:p>
    <w:p>
      <w:pPr>
        <w:spacing w:after="0" w:line="9" w:lineRule="exact"/>
        <w:rPr>
          <w:rFonts w:ascii="Arial" w:cs="Arial" w:eastAsia="Arial" w:hAnsi="Arial"/>
          <w:sz w:val="18"/>
          <w:szCs w:val="18"/>
          <w:color w:val="auto"/>
        </w:rPr>
      </w:pPr>
    </w:p>
    <w:p>
      <w:pPr>
        <w:ind w:left="1040" w:right="79" w:hanging="315"/>
        <w:spacing w:after="0" w:line="250"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Establishing commercially viable arrangements with third-party manufacturers for clinical supply and commercial manufacturing;</w:t>
      </w:r>
    </w:p>
    <w:p>
      <w:pPr>
        <w:ind w:left="1040" w:right="79" w:hanging="315"/>
        <w:spacing w:after="0" w:line="250"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or regulatory exclusivity for our drug candidates;</w:t>
      </w:r>
    </w:p>
    <w:p>
      <w:pPr>
        <w:ind w:left="1040" w:right="79" w:hanging="315"/>
        <w:spacing w:after="0" w:line="250"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Establishing sales and marketing capabilities, whether alone or through a collaboration, to support commercialization of our drug candidates;</w:t>
      </w:r>
    </w:p>
    <w:p>
      <w:pPr>
        <w:ind w:left="1040" w:right="79" w:hanging="315"/>
        <w:spacing w:after="0" w:line="250"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Acceptance of the drug candidates, if and when approved, by patients, the medical community and third-party payors;</w:t>
      </w:r>
    </w:p>
    <w:p>
      <w:pPr>
        <w:ind w:left="1040" w:hanging="315"/>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Effectively differentiating and competing with other therapies;</w:t>
      </w:r>
    </w:p>
    <w:p>
      <w:pPr>
        <w:spacing w:after="0" w:line="9" w:lineRule="exact"/>
        <w:rPr>
          <w:rFonts w:ascii="Arial" w:cs="Arial" w:eastAsia="Arial" w:hAnsi="Arial"/>
          <w:sz w:val="18"/>
          <w:szCs w:val="18"/>
          <w:color w:val="auto"/>
        </w:rPr>
      </w:pPr>
    </w:p>
    <w:p>
      <w:pPr>
        <w:ind w:left="1040" w:right="79" w:hanging="315"/>
        <w:spacing w:after="0" w:line="250"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Establishing appropriate prices for any drug candidates that receive regulatory approval that reflect the value that the drug candidates offer in the indications for which they are approved;</w:t>
      </w:r>
    </w:p>
    <w:p>
      <w:pPr>
        <w:ind w:left="1040" w:hanging="315"/>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Obtaining and maintaining healthcare coverage and adequate reimbursement;</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Enforcing and defending intellectual property rights and claims; and</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Maintaining an acceptable safety profile of the drug candidates following approval.</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5" w:name="page46"/>
    <w:bookmarkEnd w:id="4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60" w:right="59" w:firstLine="648"/>
        <w:spacing w:after="0" w:line="274" w:lineRule="auto"/>
        <w:rPr>
          <w:sz w:val="20"/>
          <w:szCs w:val="20"/>
          <w:color w:val="auto"/>
        </w:rPr>
      </w:pPr>
      <w:r>
        <w:rPr>
          <w:rFonts w:ascii="Arial" w:cs="Arial" w:eastAsia="Arial" w:hAnsi="Arial"/>
          <w:sz w:val="17"/>
          <w:szCs w:val="17"/>
          <w:color w:val="auto"/>
        </w:rPr>
        <w:t>If we do not achieve one or more of these factors in a timely manner or at all, we could experience significant delays or an inability to successfully commercialize our drug candidates, which would materially harm our business.</w:t>
      </w:r>
    </w:p>
    <w:p>
      <w:pPr>
        <w:spacing w:after="0" w:line="121"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7"/>
          <w:szCs w:val="17"/>
          <w:color w:val="auto"/>
        </w:rPr>
        <w:t>If we are unable to develop or receive regulatory approval for or successfully commercialize any of our product candidates, we will not be able to generate product revenues and we may not be able to continue our operations. Even if we are able to develop or receive regulatory approval for or successfully commercialize any of our product candidates, we may not be able to gain market acceptance for our product candidates if healthcare providers and patients do not view the overall safety, tolerability and efficacy profile of our drug candidates favorably.</w:t>
      </w:r>
    </w:p>
    <w:p>
      <w:pPr>
        <w:spacing w:after="0" w:line="121"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Because the results of preclinical studies and early clinical trials are not necessarily predictive of future results, any product candidate we advance into clinical trials may not have favorable results in later clinical trials, if any, or receive regulatory approval.</w:t>
      </w:r>
    </w:p>
    <w:p>
      <w:pPr>
        <w:spacing w:after="0" w:line="116"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Pharmaceutical development has inherent risks. The outcome of pre-clinical development testing and early clinical trials may not be predictive of the outcome of later clinical trials, and interim results of a clinical trial do not necessarily predict final results. Moreover, pre-clinical and clinical data are often susceptible to varying interpretations and analyses, and many companies that have believed their drug candidates performed satisfactorily in pre-clinical studies and clinical trials have nonetheless failed to obtain marketing approval of their drug candidates. Once a drug candidate has displayed sufficient pre-clinical data to warrant clinical investigation, we will be required to demonstrate through adequate and well-controlled clinical trials that our product candidates are effective with a favorable benefit-risk profile for use in populations for their target indications before we can seek regulatory approvals for their commercial sale. Success in early clinical trials does not mean that later clinical trials will be successful because product candidates in later-stage clinical trials may fail to demonstrate sufficient safety or efficacy despite having progressed through initial clinical testing. Companies frequently experience significant setbacks in advanced clinical trials, even after earlier clinical trials have shown promising results. There is an extremely high rate of failure of pharmaceutical candidates proceeding through clinical trials.</w:t>
      </w:r>
    </w:p>
    <w:p>
      <w:pPr>
        <w:spacing w:after="0" w:line="105" w:lineRule="exact"/>
        <w:rPr>
          <w:sz w:val="20"/>
          <w:szCs w:val="20"/>
          <w:color w:val="auto"/>
        </w:rPr>
      </w:pPr>
    </w:p>
    <w:p>
      <w:pPr>
        <w:jc w:val="both"/>
        <w:ind w:left="60" w:right="59" w:firstLine="648"/>
        <w:spacing w:after="0" w:line="248" w:lineRule="auto"/>
        <w:rPr>
          <w:sz w:val="20"/>
          <w:szCs w:val="20"/>
          <w:color w:val="auto"/>
        </w:rPr>
      </w:pPr>
      <w:r>
        <w:rPr>
          <w:rFonts w:ascii="Arial" w:cs="Arial" w:eastAsia="Arial" w:hAnsi="Arial"/>
          <w:sz w:val="16"/>
          <w:szCs w:val="16"/>
          <w:color w:val="auto"/>
        </w:rPr>
        <w:t>For instance, early clinical results seen with ublituximab (TG-1101) and/or umbralisib (TGR-1202) in a small number of patients may not be reproduced in expanded or larger clinical trials such as in our UNITY-CLL, UNITY-NHL or the ULTIMATE I and II trials. Individually reported outcomes of patients treated in clinical trials may not be representative of the entire population of treated patients in such studies. Larger scale Phase 3 studies, which are often conducted internationally, are inherently subject to increased operational risks compared to earlier stage studies, including the risk that the results could vary on a region to region, or country to country basis which could materially adversely affect the outcome of the study or the opinion of the validity of the study results by applicable regulatory agencies. In addition, early clinical trial results from interim analysis or from the review of a Data Safety Monitoring Board (DSMB) or similar safety committee may not be reflective of the safety or efficacy results of the entire study, when completed. Clinical trial results can change over time as additional patients are added to a study or as additional follow-up is conducted, which may result in a material negative impact on the preliminary results. For instance, we announced that the MZL and the FL cohorts of the UNITY-NHL study met the primary endpoint of overall response rate (ORR), falling within our target range which was between 40%-50%, and while we believe that the ORR results have the potential to increase over time within this range, or beyond, as patients continue to be followed, no assurance can be given that this will be the case, and the results may ultimately fall at the lower end of the range. Further, time to event based endpoints such as duration of response (DOR) and PFS have the potential to change, sometimes drastically, with longer follow-up. No assurance can be provided that the ORR, DOR and PFS data from the MZL and FL cohorts of the UNITY-NHL study will be supportive of an FDA approval or will support broad market uptake based on the profile of competitor drugs which may be available. While the MZL and FL cohorts of the UNITY-NHL study met their primary endpoint, each cohort of this study is operated and analyzed independently, and no assurance can be given that other cohorts from the UNITY-NHL study, including the Mantle Cell Lymphoma cohort, the Diffuse Large B-cell Lymphoma (DLBCL) cohort, or the SLL patients enrolled within the FL/SLL cohort will meet their primary endpoint, have a positive outcome, or will be supportive of an FDA submission. In addition, on May 5, 2020, we announced that the UNITY-CLL study met the primary endpoint of PFS at a preplanned interim analysis and that the study would be stopped early based on the recommendation of the independent data safety monitoring board (DSMB) that conducted the interim analysis. The interim analysis was of the primary PFS endpoint only and did not include safety or other secondary endpoints. No assurance can be given that the safety data, when available, will be acceptable or consistent with previously reported results of from studies involving single agent umbralisib or ublituxumab or the two product candidates in combination regimens or that other secondary endpoints in the trial will be met.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6" w:name="page47"/>
    <w:bookmarkEnd w:id="4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Many of our Phase 3 and registration-directed clinical trials such as UNITY-CLL, UNITY-NHL and ULTIMATE I and II utilize international clinical research sites, including sites in eastern European countries. We work with what we believe are reputable CROs and clinical research sites in conducting our studies internationally. Nevertheless, the risk of fraud, misconduct, incompetence, unexpected patient variability and other issues affecting the quality and the outcome of our Phase 3 and registration-directed studies could arise from U.S. or international sites. If that were to occur, the study could be negatively impacted, potentially even preventing it from being useful for regulatory approval. If such event were to occur, it would have a substantial negative impact on our business.</w:t>
      </w:r>
    </w:p>
    <w:p>
      <w:pPr>
        <w:spacing w:after="0" w:line="177" w:lineRule="exact"/>
        <w:rPr>
          <w:sz w:val="20"/>
          <w:szCs w:val="20"/>
          <w:color w:val="auto"/>
        </w:rPr>
      </w:pPr>
    </w:p>
    <w:p>
      <w:pPr>
        <w:jc w:val="both"/>
        <w:ind w:left="60" w:right="59" w:firstLine="648"/>
        <w:spacing w:after="0" w:line="266" w:lineRule="auto"/>
        <w:rPr>
          <w:sz w:val="20"/>
          <w:szCs w:val="20"/>
          <w:color w:val="auto"/>
        </w:rPr>
      </w:pPr>
      <w:r>
        <w:rPr>
          <w:rFonts w:ascii="Arial" w:cs="Arial" w:eastAsia="Arial" w:hAnsi="Arial"/>
          <w:sz w:val="17"/>
          <w:szCs w:val="17"/>
          <w:color w:val="auto"/>
        </w:rPr>
        <w:t>Many of the results reported in our early clinical trials rely on local investigator-assessed safety and efficacy outcomes which may differ from results assessed in a blinded, independent, centrally reviewed manner, often required of adequate and well-controlled registration-directed clinical trials which may be undertaken at a later date. All of our current Phase 3 and registration-directed studies such as UNITY-CLL, UNITY-NHL and the ULTIMATE I and II trials utilize blinded, independent, central review to assess the primary endpoint of such studies. If the results from interim analyses are not consistent with final results or results from our registration-directed trials are different from the results found in the earlier studies of ublituximab and umbralisib, we may need to terminate or revise our clinical development plan, which could extend the time for conducting our development program and could have a material adverse effect on our business. For example, in January 2019, we presented to the FDA, interim results from the MZL cohort of our UNITY-NHL trial that supported the granting of Breakthrough Therapy Designation (BTD). These interim results were also presented at the 2019 AACR annual meeting, 2019 ASCO annual meeting, and the 2019 ICML. In October 2019, we announced that the FL cohort of the UNITY-NHL trial met our target range for overall response rate based on interim preliminary data. No assurance can be given that the final results from the MZL cohort or FL cohort will reflect the activity seen in these interim results, or that the final results will be sufficient to file for accelerated approval for umbralisib for the treatment of MZL and FL. Similarly, while we have reported top-line efficacy results from a preplanned interim analysis of the UNITY-CLL trial announcing that the trial met its primary endpoint of PFS, there is no assurance that the safety profile will be acceptable or that other secondary endpoints will be met. Moreover, while we believe one of the key differentiators for umbralisib is its tolerability and side effect profile compared to other drugs in the same class, no assurance can be given that a differentiated safety and tolerability profile will be realized in our Phase 3 or registration-directed trials such as UNITY-CLL or UNITY-NHL. Specifically, we have not yet assessed the final safety data from the MZL or FL cohorts of the UNITY-NHL study as patients continue on therapy nor have we assessed the safety data from the UNITY-CLL study, therefore there can be no assurance given that the final safety data from these studies, once fully analyzed, will be consistent with prior safety data presented on umbralisib, will be differentiated from other similar agents in the same class, or that it will be favorable enough to support regulatory approvals for the indications studied. In addition, no assurance can be given that new toxicities, or an increase in the severity or frequency of previously seen toxicities, will not be observed, which could have a material negative impact on the approvability or marketability of umbralisib or any of our product candidates. Finally, while the Phase 2 data for ublituximab in MS looked promising, no assurance can be given that the safety, tolerability and efficacy profile will carry into Phase 3 and that the ULTIMATE I and II clinical trials will be positive.</w:t>
      </w:r>
    </w:p>
    <w:p>
      <w:pPr>
        <w:spacing w:after="0" w:line="197"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In addition to umbralisib and ublituximab, we have a number of compounds in early clinical development, such as cosibelimab, TG-1701 and TG-1801. Many drug candidates fail in the early stages of clinical development for safety and tolerability issues or for insufficient clinical activity, despite promising pre-clinical results. Accordingly, no assurance can be made that a safe and efficacious dose can be found for these compounds or that they will ever enter into advanced clinical trials alone or in combination with umbralisib and/or ublituximab.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7" w:name="page48"/>
    <w:bookmarkEnd w:id="4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Clinical drug development involves a lengthy and expensive process, with an uncertain outcome. We may incur additional costs or experience delays in completing, or ultimately be unable to complete, the development and commercialization of our drug candidates.</w:t>
      </w:r>
    </w:p>
    <w:p>
      <w:pPr>
        <w:spacing w:after="0" w:line="116"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Our drug candidates umbralisib and ublituximab are in several Phase 3 and registration-directed clinical trials such as UNITY-CLL, UNITY-NHL and ULTIMATE I and II. Despite promising early results, as with all clinical trials, the risk of failure for our drug candidates is high. It is impossible to predict when or if any of our drug candidates will prove effective and safe in humans or will receive regulatory approval or will have a differentiated safety and tolerability profile. Before obtaining marketing approval from regulatory authorities for the sale of any drug candidate, we must complete pre-clinical studies and then conduct extensive clinical trials to demonstrate the safety and efficacy of our drug candidates in humans. Clinical testing is expensive, difficult to design and implement, can take many years to complete and is uncertain as to outcome. A failure of one or more clinical trials can occur at any stage of testing. Accordingly, our current Phase 3 and registration-directed trials and future clinical trials may not be successful.</w:t>
      </w:r>
    </w:p>
    <w:p>
      <w:pPr>
        <w:spacing w:after="0" w:line="113" w:lineRule="exact"/>
        <w:rPr>
          <w:sz w:val="20"/>
          <w:szCs w:val="20"/>
          <w:color w:val="auto"/>
        </w:rPr>
      </w:pPr>
    </w:p>
    <w:p>
      <w:pPr>
        <w:jc w:val="both"/>
        <w:ind w:left="60" w:right="59" w:firstLine="486"/>
        <w:spacing w:after="0" w:line="257" w:lineRule="auto"/>
        <w:rPr>
          <w:sz w:val="20"/>
          <w:szCs w:val="20"/>
          <w:color w:val="auto"/>
        </w:rPr>
      </w:pPr>
      <w:r>
        <w:rPr>
          <w:rFonts w:ascii="Arial" w:cs="Arial" w:eastAsia="Arial" w:hAnsi="Arial"/>
          <w:sz w:val="18"/>
          <w:szCs w:val="18"/>
          <w:color w:val="auto"/>
        </w:rPr>
        <w:t>Successful completion of our clinical trials is a prerequisite to submitting an New Drug Application (NDA) or a Biologics License Application (BLA) to the U.S. FDA and a Marketing Authorization Application in the European Union for each drug candidate and, consequently, the ultimate approval and commercial marketing of our drug candidates. We do not know whether any of our on-going or future clinical trials for our drug candidates will be completed on schedule, if at all.</w:t>
      </w:r>
    </w:p>
    <w:p>
      <w:pPr>
        <w:spacing w:after="0" w:line="120"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Whether or not and how quickly we complete clinical trials depends in part upon the rate at which we are able to engage clinical research/trial sites and, thereafter, the rate of enrollment of patients, and the rate at which we collect, clean, lock and analyze the clinical trial database. Patient enrollment is a function of many factors, including the size of the patient population, the proximity of patients to clinical sites, the eligibility criteria for the study, the existence of competitive clinical trials, and whether existing or new drugs are approved for the indication we are studying. We are aware that other companies are currently conducting or planning clinical trials that seek to enroll patients with the same diseases that we are studying. We may experience numerous unforeseen events, such as the COVID-19 pandemic, that could delay or prevent our ability to complete current clinical trials, initiate new trials, receive marketing approval or commercialize our drug candidates, including:</w:t>
      </w:r>
    </w:p>
    <w:p>
      <w:pPr>
        <w:spacing w:after="0" w:line="115" w:lineRule="exact"/>
        <w:rPr>
          <w:sz w:val="20"/>
          <w:szCs w:val="20"/>
          <w:color w:val="auto"/>
        </w:rPr>
      </w:pPr>
    </w:p>
    <w:p>
      <w:pPr>
        <w:ind w:left="1040" w:right="79" w:hanging="315"/>
        <w:spacing w:after="0" w:line="228"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FDA or other regulatory authorities may require us to submit additional data or impose other requirements before permitting us to initiate a clinical trial;</w:t>
      </w:r>
    </w:p>
    <w:p>
      <w:pPr>
        <w:jc w:val="both"/>
        <w:ind w:left="1040" w:right="79" w:hanging="315"/>
        <w:spacing w:after="0" w:line="219"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health authorities or institutional review boards (IRBs), or ethics committees may not authorize us or our investigators to commence a clinical trial or conduct a clinical trial at a prospective trial site or country; we may experience delays in reaching, or fail to reach, agreement on acceptable terms with prospective trial sites and prospective CROs, the terms of which can be subject to extensive negotiation and may vary significantly among different CROs and trial sites;</w:t>
      </w:r>
    </w:p>
    <w:p>
      <w:pPr>
        <w:jc w:val="both"/>
        <w:ind w:left="1040" w:right="79" w:hanging="315"/>
        <w:spacing w:after="0" w:line="219"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clinical trials of our drug candidates may produce negative or inconclusive results, and we may decide, or health authorities may require us, to conduct additional pre-clinical studies or clinical trials or we may decide to abandon drug development programs;</w:t>
      </w:r>
    </w:p>
    <w:p>
      <w:pPr>
        <w:jc w:val="both"/>
        <w:ind w:left="1040" w:right="79" w:hanging="315"/>
        <w:spacing w:after="0" w:line="232" w:lineRule="auto"/>
        <w:tabs>
          <w:tab w:leader="none" w:pos="10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number of patients required for clinical trials of our drug candidates may be larger than we anticipate, and enrollment in these clinical trials may be slower than we anticipate or participants may drop out of these clinical trials or fail to return for post-treatment follow-up at a higher rate than we anticipate;</w:t>
      </w:r>
    </w:p>
    <w:p>
      <w:pPr>
        <w:jc w:val="both"/>
        <w:ind w:left="1040" w:right="79" w:hanging="315"/>
        <w:spacing w:after="0" w:line="246" w:lineRule="auto"/>
        <w:tabs>
          <w:tab w:leader="none" w:pos="10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third-party contractors, including our clinical trial sites, may fail to comply with regulatory requirements or meet their contractual obligations to us in a timely manner, or at all, or may deviate from the clinical trial protocol or drop out of the trial, which may require that we add new clinical trial sites or investigators;</w:t>
      </w:r>
    </w:p>
    <w:p>
      <w:pPr>
        <w:spacing w:after="0" w:line="1" w:lineRule="exact"/>
        <w:rPr>
          <w:rFonts w:ascii="Arial" w:cs="Arial" w:eastAsia="Arial" w:hAnsi="Arial"/>
          <w:sz w:val="16"/>
          <w:szCs w:val="16"/>
          <w:color w:val="auto"/>
        </w:rPr>
      </w:pPr>
    </w:p>
    <w:p>
      <w:pPr>
        <w:jc w:val="both"/>
        <w:ind w:left="1040" w:right="79" w:hanging="315"/>
        <w:spacing w:after="0" w:line="232" w:lineRule="auto"/>
        <w:tabs>
          <w:tab w:leader="none" w:pos="10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may elect to, or health authorities or IRBs or ethics committees may require that we or our investigators suspend or terminate clinical research for various reasons, including noncompliance with regulatory requirements or a finding that the participants are being exposed to unacceptable health risks;</w:t>
      </w:r>
    </w:p>
    <w:p>
      <w:pPr>
        <w:ind w:left="1040" w:hanging="315"/>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of clinical trials of our drug candidates may be greater than we anticipate;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8" w:name="page49"/>
    <w:bookmarkEnd w:id="4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1040" w:right="79" w:hanging="315"/>
        <w:spacing w:after="0" w:line="253" w:lineRule="auto"/>
        <w:tabs>
          <w:tab w:leader="none" w:pos="10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supply or quality of our drug candidates or other materials necessary to conduct clinical trials of our drug candidates may be insufficient or inadequate, including, without limitation, as a result of disruptions to our supply chains caused by the COVID-19 pandemic and related work stoppages across the globe; and</w:t>
      </w:r>
    </w:p>
    <w:p>
      <w:pPr>
        <w:spacing w:after="0" w:line="1" w:lineRule="exact"/>
        <w:rPr>
          <w:rFonts w:ascii="Arial" w:cs="Arial" w:eastAsia="Arial" w:hAnsi="Arial"/>
          <w:sz w:val="16"/>
          <w:szCs w:val="16"/>
          <w:color w:val="auto"/>
        </w:rPr>
      </w:pPr>
    </w:p>
    <w:p>
      <w:pPr>
        <w:jc w:val="both"/>
        <w:ind w:left="1040" w:right="79" w:hanging="315"/>
        <w:spacing w:after="0" w:line="226"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drug candidates may have undesirable side effects or other unexpected characteristics, causing us or our investigators, health authorities, IRBs or ethics committees to suspend or terminate the trials, or reports may arise from pre-clinical or clinical testing of other cancer therapies that raise safety or efficacy concerns about our drug candidates.</w:t>
      </w:r>
    </w:p>
    <w:p>
      <w:pPr>
        <w:spacing w:after="0" w:line="190"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We also could encounter delays if a clinical trial is suspended or terminated by us, by the IRBs of the institutions in which such trials are being conducted, by the DSMB for such trial or by the FDA or other regulatory authorities. Such health authorities may impose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The DSMB for the UNITY-NHL study meets regularly to review ongoing safety from that study, in an unblinded manner if applicable, and may recommend modification to the study design or closure of the study entirely based on the DSMB’s interpretation of the benefit/risk of the study. While we develop charters that guide the nature of the DSMB meetings, their analysis and interpretation of study data occurs independently from us and is wholly within their control. Even if the DSMB finds no safety concerns and recommends no modifications to the ongoing study, this does not mean the safety profile reported in the study may support a marketing approval or commercial acceptance if marketing approval is granted. Many of the factors that cause, or lead to, a delay in the commencement or completion of clinical trials may also ultimately lead to the denial of regulatory approval of our drug candidates.</w:t>
      </w:r>
    </w:p>
    <w:p>
      <w:pPr>
        <w:spacing w:after="0" w:line="182"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Further, the FDA may disagree with our clinical trial design and our interpretation of data from clinical trials or may change the requirements for approval even after it has reviewed and commented on the design for our clinical trials. This could happen even for a protocol that has received a SPA. In September 2015, we announced a Phase 3 clinical trial for the combination of ublituximab plus umbralisib for patients with CLL, which is being conducted pursuant to an SPA with the FDA (UNITY-CLL) and in August 2017 we announced an SPA for our registration program for ublituximab in RMS (ULTIMATE I and II). Many companies which have been granted SPAs have ultimately failed to obtain final approval to market their drugs. Since we are seeking approvals under SPAs for some of our product registration strategies, based on protocol designs negotiated with the FDA, we may be subject to enhanced scrutiny. Further, while changes or amendments to protocols are common during conduct of a clinical trial, protocol changes or amendments to a study that is being conducted under SPA will have to be reviewed and approved by the FDA to verify that the SPA agreement is still valid. The FDA’s willingness to agree to changes or amendments to a protocol or statistical analysis plan under a SPA agreement is wholly within the FDA’s discretion. Such re-reviews also provide an opportunity for the FDA to scrutinize any aspect of the study design and conduct, even if previously agreed to under the existing SPA. Failure to reach agreement with the FDA for protocol changes or modifications for any study we conduct under a SPA could have a material negative impact to our ability to execute these studies. Even if the primary endpoint in a Phase 3 clinical trial is achieved, a SPA does not guarantee approval.</w:t>
      </w:r>
    </w:p>
    <w:p>
      <w:pPr>
        <w:spacing w:after="0" w:line="180"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While UNITY-CLL is being operated in a blinded manner, it is an open label study; meaning that trial participants, investigators, site staff, some employees of our contract research organizations, and our field level employees (e.g., clinical research associates and monitors), among others, have knowledge of treatment arm assignments on a patient-level, which has the potential to introduce bias into study conduct. Further, while the ULTIMATE 1 and 2 clinical trials are double-blind, double-dummy studies, unblinding of treatment arm assignment may occur from time to time, for example, on the occurrence of unexpected safety events which may necessitate understanding of study treatment. While we believe we have put in place adequate firewalls to prevent inappropriate unblinding of study data consistent with standard industry practice for these types of studies, no assurance can be given that issues related to study conduct will not be raised. The FDA may raise issues of safety, study conduct, bias, deviation from the protocol, statistical power, patient completion rates, changes in scientific or medical parameters or internal inconsistencies in the study design or data prior to making its final decision. The FDA may also seek the guidance of an outside advisory committee prior to making its final decision.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9" w:name="page50"/>
    <w:bookmarkEnd w:id="4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Negative or inconclusive results from the clinical trials we conduct or unanticipated adverse medical events could cause us to have to repeat or terminate the clinical trials. If we are required to repeat or conduct additional clinical trials or other testing of our drug candidates beyond those that we currently contemplate, if we are unable to successfully complete clinical trials of our drug candidates or other testing, if the results of these trials or tests are not positive or are only modestly positive or if there are safety concerns, we may:</w:t>
      </w:r>
    </w:p>
    <w:p>
      <w:pPr>
        <w:spacing w:after="0" w:line="188" w:lineRule="exact"/>
        <w:rPr>
          <w:sz w:val="20"/>
          <w:szCs w:val="20"/>
          <w:color w:val="auto"/>
        </w:rPr>
      </w:pPr>
    </w:p>
    <w:p>
      <w:pPr>
        <w:ind w:left="1040" w:hanging="315"/>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drug candidates;</w:t>
      </w:r>
    </w:p>
    <w:p>
      <w:pPr>
        <w:spacing w:after="0" w:line="23" w:lineRule="exact"/>
        <w:rPr>
          <w:rFonts w:ascii="Arial" w:cs="Arial" w:eastAsia="Arial" w:hAnsi="Arial"/>
          <w:sz w:val="18"/>
          <w:szCs w:val="18"/>
          <w:color w:val="auto"/>
        </w:rPr>
      </w:pPr>
    </w:p>
    <w:p>
      <w:pPr>
        <w:ind w:left="1040" w:hanging="315"/>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be subject to post-marketing testing requirements; or</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have the drug removed from the market after obtaining marketing approval.</w:t>
      </w:r>
    </w:p>
    <w:p>
      <w:pPr>
        <w:spacing w:after="0" w:line="211"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Our drug development costs will also increase if we experience delays in testing or regulatory approvals. We may also incur additional costs if enrollment is increased. All of our current Phase 3 and registration-directed clinical trials, such as UNITY-CLL, UNITY-NHL and ULTIMATE I and II enrolled a larger number of patients than our initial projections, adding significant costs to those studies over and above what had been projected. We do not know whether any of our clinical trials will begin as planned, will need to be restructured or will be completed on schedule, or at all. Certain clinical trials are designed to continue until a pre-determined number of events have occurred in the patients enrolled. Trials such as this are subject to delays stemming from patient withdrawal and from lower than expected event rates. Significant clinical trial delays also could shorten any periods during which we may have the exclusive right to commercialize our drug candidates or allow our competitors to bring products to market before we do and impair our ability to successfully commercialize our drug candidates. Any delays in our pre-clinical or future clinical development programs may harm our business, financial condition and prospects significantly.</w:t>
      </w:r>
    </w:p>
    <w:p>
      <w:pPr>
        <w:spacing w:after="0" w:line="182"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In addition, principal investigators for our clinical trials may serve as scientific advisors or consultants to us from time to time and receive cash or equity compensation in connection with such services. If these relationships and any related compensation result in perceived or actual conflicts of interest, the integrity of the data generated at the applicable clinical trial site, or the FDA’s willingness to accept such data, may be jeopardized.</w:t>
      </w:r>
    </w:p>
    <w:p>
      <w:pPr>
        <w:spacing w:after="0" w:line="3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The sufficiency of our clinical trial results for accelerated approval are subject to the FDA’s discretion.</w:t>
      </w:r>
    </w:p>
    <w:p>
      <w:pPr>
        <w:spacing w:after="0" w:line="225"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We have and will continue to explore strategies for ublituximab and/or umbralisib that involve use of the FDA’s accelerated approval pathway. Obtaining accelerated approval for an agent requires demonstration of meaningful benefit over all available therapies for a serious condition. While we believe we have an understanding of what is considered available therapy today, ultimately the determination of what constitutes available therapy is wholly up to the FDA and is subject to change. No assurance can be given that other agents will not receive full approval prior to our potential receipt of accelerated approval. If that were to occur, no assurance can be given that we would be successful in proving meaningful benefit over those later approved drugs. If we were unable to prove meaningful benefit over any such agents, we would be effectively blocked from receiving accelerated approval. We announced that we have submitted an NDA for accelerated approval of umbralisib based on the results from the MZL and FL cohorts from our UNITY-NHL trial. No assurance can be given that umbralisib will obtain accelerated approval for either MZL or FL for a variety of reasons, including, without limitation, if we are unable to demonstrate meaningful benefit over a currently approved agent/regimen or any new treatment, if any, that receives full approval prior to our potential receipt of accelerated approval. Previously, we were hopeful to utilize the results from our GENUINE study for accelerated approval but the intervening full approval of a new therapy for the treatment of relapsed/refractory CLL has made that potential application more challenging. In October 2019, we announced that final results from the GENUINE study demonstrated improved progression-free survival for the combination arm compared to ibrutinib alone. Despite this positive outcome, no assurance can be given that a filing based on the GENUINE results will ever be made, or if made would result in a favorable review by regulatory authorities.</w:t>
      </w:r>
    </w:p>
    <w:p>
      <w:pPr>
        <w:spacing w:after="0" w:line="174"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Finally, if any of our drugs were ever to receive accelerated approval, we would be required to conduct a post-market confirmatory study, which we may not complete, or if completed, may prove unsuccessful. In such instance, the FDA can remove the product from the market.</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0" w:name="page51"/>
    <w:bookmarkEnd w:id="5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Our drug candidates may cause undesirable side effects that could delay or prevent their regulatory approval, limit the commercial profile of an approved label, or result in significant negative consequences following marketing approval, if any.</w:t>
      </w:r>
    </w:p>
    <w:p>
      <w:pPr>
        <w:spacing w:after="0" w:line="184"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Unacceptable or undesirable adverse events caused by any of our product candidates that we take into clinical trials could cause either us, a DSMB, or regulatory authorities to interrupt, delay, modify or halt clinical trials and could result in a more restrictive label or the delay or denial of regulatory approval by the FDA or other regulatory authorities. This, in turn, could prevent us from commercializing the affected product candidate and generating revenues from its sale.</w:t>
      </w:r>
    </w:p>
    <w:p>
      <w:pPr>
        <w:spacing w:after="0" w:line="157"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As is the case with all drugs, it is likely that there will be side effects associated with the use of our drug candidates. Results of our trials could reveal a higher than expected and unacceptable severity and prevalence of side effects. In such an event, our trials could be suspended or terminated and the FDA or comparable foreign regulatory authorities could order us to cease further development of or deny approval of our drug candidates for any or all targeted indications. The drug-related side effects could also affect patient recruitment or the ability of enrolled patients to complete the trial or result in potential product liability claims. Any of these occurrences may harm our business, financial condition and prospects significantly.</w:t>
      </w:r>
    </w:p>
    <w:p>
      <w:pPr>
        <w:spacing w:after="0" w:line="195" w:lineRule="exact"/>
        <w:rPr>
          <w:sz w:val="20"/>
          <w:szCs w:val="20"/>
          <w:color w:val="auto"/>
        </w:rPr>
      </w:pPr>
    </w:p>
    <w:p>
      <w:pPr>
        <w:jc w:val="both"/>
        <w:ind w:left="60" w:right="79" w:firstLine="648"/>
        <w:spacing w:after="0" w:line="275" w:lineRule="auto"/>
        <w:rPr>
          <w:sz w:val="20"/>
          <w:szCs w:val="20"/>
          <w:color w:val="auto"/>
        </w:rPr>
      </w:pPr>
      <w:r>
        <w:rPr>
          <w:rFonts w:ascii="Arial" w:cs="Arial" w:eastAsia="Arial" w:hAnsi="Arial"/>
          <w:sz w:val="17"/>
          <w:szCs w:val="17"/>
          <w:color w:val="auto"/>
        </w:rPr>
        <w:t>Many compounds that initially showed promise in early stage testing have later been found to cause side effects that prevented further development of the compound. Further, early clinical trials by their nature utilize a small sample of the potential patient population. With a limited number of patients and limited duration of exposure, rare and severe side effects of our drug candidates may only be uncovered with a significantly larger number of patients exposed to the drug candidate in Phase 3 or registration-directed trials and on the market.</w:t>
      </w:r>
    </w:p>
    <w:p>
      <w:pPr>
        <w:spacing w:after="0" w:line="176"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We are currently running our Phase 3 and registration-directed trials, such as UNITY-CLL, UNITY-NHL and ULTIMATE I and II and have not completed testing of any of our product candidates for the treatment of the indications for which we intend to seek product approval in humans, and we currently do not know the extent that the adverse events, if any, will be observed in patients who receive any of our product candidates. To date, clinical trials using ublituximab and umbralisib have demonstrated a toxicity profile that was deemed acceptable by the investigators performing such studies. Such interpretation may not be shared by future investigators or by the health authorities and in the case of ublituximab and umbralisib, even if deemed acceptable for oncology and/or autoimmune indications, it may not be acceptable for diseases outside the oncology and autoimmune settings, and likewise for any other product candidates we may develop. Additionally, the severity, duration and incidence of adverse events may increase in larger study populations such as found in our on-going Phase 3 and registration-directed trials. Particularly, with respect to umbralisib, although over 1,500 patients have been dosed in umbralisib studies to date, the full adverse effect profile of umbralisib is not known. As additional patients are exposed for longer durations to umbralisib, it is unknown whether greater frequency and/or severity of adverse events are likely to occur. Common toxicities of other drugs in the same class as umbralisib include high levels of liver toxicity, infections and colitis, the latter of which notably has presented with later onset, with incidence increasing with duration of exposure. No assurance can be given that an acceptable safety and tolerability profile for umbralisib will continue to be demonstrated in the future with longer durations of exposure, at the fixed 800mg dose being evaluated in our registration-directed trials and in multiple drug combinations. If any of our product candidates cause unacceptable adverse events in clinical trials, we may not be able to obtain marketing approval and generate revenues from its sale, or even if approved for sale may lack differentiation from competitive products, which could have a material adverse impact on our business and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1" w:name="page52"/>
    <w:bookmarkEnd w:id="5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Additionally, in drug-combination clinical development, there is an inherent risk of drug-drug interactions between combination agents which may affect each component’s individual pharmacologic properties and the overall efficacy and safety of the combination regimen. Both ublituximab and umbralisib are being evaluated in combination with each other, as well as with a variety of other active anti-cancer agents, which may cause unforeseen toxicity, or impact the severity, duration, and incidence of adverse events observed compared to those seen in the single agent studies of these agents. We also intend to explore multiple combination studies involving cosibelimab, TG-1701, and TG-1801. Further, with multi-drug combinations, it is often difficult to interpret or properly assign attribution of an adverse event to any one particular agent, introducing the risk that toxicity caused by a component of a combination regimen could have a material adverse impact on the development of our product candidates. There can be no assurances given that the combination regimens being studied will display tolerability or efficacy suitable to warrant further testing or produce data that is sufficient to obtain marketing approval.</w:t>
      </w:r>
    </w:p>
    <w:p>
      <w:pPr>
        <w:spacing w:after="0" w:line="182"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If any of our drug candidates receive marketing approval and we or others later identify undesirable or unacceptable side effects caused by such drug candidates (or any other similar drugs) after such approval, a number of potentially significant negative consequences could result, including:</w:t>
      </w:r>
    </w:p>
    <w:p>
      <w:pPr>
        <w:spacing w:after="0" w:line="184" w:lineRule="exact"/>
        <w:rPr>
          <w:sz w:val="20"/>
          <w:szCs w:val="20"/>
          <w:color w:val="auto"/>
        </w:rPr>
      </w:pPr>
    </w:p>
    <w:p>
      <w:pPr>
        <w:ind w:left="1040" w:hanging="315"/>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regulatory authorities may withdraw or limit their approval of such drug candidates;</w:t>
      </w:r>
    </w:p>
    <w:p>
      <w:pPr>
        <w:spacing w:after="0" w:line="23" w:lineRule="exact"/>
        <w:rPr>
          <w:rFonts w:ascii="Arial" w:cs="Arial" w:eastAsia="Arial" w:hAnsi="Arial"/>
          <w:sz w:val="18"/>
          <w:szCs w:val="18"/>
          <w:color w:val="auto"/>
        </w:rPr>
      </w:pPr>
    </w:p>
    <w:p>
      <w:pPr>
        <w:ind w:left="1040" w:hanging="315"/>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regulatory authorities may require a more significant clinical benefit for approval to offset the risk;</w:t>
      </w:r>
    </w:p>
    <w:p>
      <w:pPr>
        <w:spacing w:after="0" w:line="9" w:lineRule="exact"/>
        <w:rPr>
          <w:rFonts w:ascii="Arial" w:cs="Arial" w:eastAsia="Arial" w:hAnsi="Arial"/>
          <w:sz w:val="18"/>
          <w:szCs w:val="18"/>
          <w:color w:val="auto"/>
        </w:rPr>
      </w:pPr>
    </w:p>
    <w:p>
      <w:pPr>
        <w:jc w:val="both"/>
        <w:ind w:left="1040" w:right="79" w:hanging="315"/>
        <w:spacing w:after="0" w:line="250"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including warnings, contra-indications, or precautions, that could diminish the usage of the product or otherwise limit the commercial success of the affected product;</w:t>
      </w:r>
    </w:p>
    <w:p>
      <w:pPr>
        <w:spacing w:after="0" w:line="1" w:lineRule="exact"/>
        <w:rPr>
          <w:rFonts w:ascii="Arial" w:cs="Arial" w:eastAsia="Arial" w:hAnsi="Arial"/>
          <w:sz w:val="18"/>
          <w:szCs w:val="18"/>
          <w:color w:val="auto"/>
        </w:rPr>
      </w:pPr>
    </w:p>
    <w:p>
      <w:pPr>
        <w:ind w:left="1040" w:right="79" w:hanging="315"/>
        <w:spacing w:after="0" w:line="250"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such side effects for distribution to patients;</w:t>
      </w:r>
    </w:p>
    <w:p>
      <w:pPr>
        <w:ind w:left="1040" w:right="79" w:hanging="315"/>
        <w:spacing w:after="0" w:line="250"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required to change the way such drug candidates are distributed or administered, or to conduct additional clinical trials;</w:t>
      </w:r>
    </w:p>
    <w:p>
      <w:pPr>
        <w:jc w:val="both"/>
        <w:ind w:left="1040" w:right="79" w:hanging="315"/>
        <w:spacing w:after="0" w:line="265" w:lineRule="auto"/>
        <w:tabs>
          <w:tab w:leader="none" w:pos="10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regulatory authorities may require a Risk Evaluation and Mitigation Strategy (REMS), plan to mitigate risks, which could include medication guides, physician communication plans, or elements to assure safe use, such as restricted distribution methods, patient registries and other risk minimization tools;</w:t>
      </w:r>
    </w:p>
    <w:p>
      <w:pPr>
        <w:ind w:left="1040" w:hanging="315"/>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subject to regulatory investigations and government enforcement actions;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decide to remove such drug candidates from the marketplace;</w:t>
      </w:r>
    </w:p>
    <w:p>
      <w:pPr>
        <w:spacing w:after="0" w:line="9" w:lineRule="exact"/>
        <w:rPr>
          <w:rFonts w:ascii="Arial" w:cs="Arial" w:eastAsia="Arial" w:hAnsi="Arial"/>
          <w:sz w:val="18"/>
          <w:szCs w:val="18"/>
          <w:color w:val="auto"/>
        </w:rPr>
      </w:pPr>
    </w:p>
    <w:p>
      <w:pPr>
        <w:ind w:left="1040" w:right="79" w:hanging="315"/>
        <w:spacing w:after="0" w:line="250"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not be able to enter into collaboration agreements on acceptable terms and execute on our business model;</w:t>
      </w:r>
    </w:p>
    <w:p>
      <w:pPr>
        <w:ind w:left="1040" w:right="79" w:hanging="315"/>
        <w:spacing w:after="0" w:line="250"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could be sued and held liable for injury caused to individuals exposed to or taking our drug candidates; and</w:t>
      </w:r>
    </w:p>
    <w:p>
      <w:pPr>
        <w:ind w:left="1040" w:hanging="315"/>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11"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Any one or a combination of these events could prevent us from obtaining or maintaining regulatory approval and achieving or maintaining market acceptance of the affected product or could substantially increase the costs and expenses of commercializing the affected product, which in turn could significantly impact our ability to successfully commercialize our drug candidates and generate revenues.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2" w:name="page53"/>
    <w:bookmarkEnd w:id="5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b w:val="1"/>
          <w:bCs w:val="1"/>
          <w:i w:val="1"/>
          <w:iCs w:val="1"/>
          <w:color w:val="auto"/>
        </w:rPr>
        <w:t>Any product candidates we may advance through clinical development are subject to extensive regulation, which can be costly and time consuming, cause unanticipated delays or prevent the receipt of the required approvals.</w:t>
      </w:r>
    </w:p>
    <w:p>
      <w:pPr>
        <w:spacing w:after="0" w:line="124"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The clinical development, manufacturing, labeling, storage, record-keeping, advertising, promotion, import, export, marketing and distribution of our product candidates or any future product candidates are subject to extensive regulation by the FDA in the United States and by comparable health authorities worldwide. In the United States, we are not permitted to market a product candidate until we receive approval of a BLA or NDA from the FDA. The process of obtaining BLA and NDA approval is expensive, often takes many years and can vary substantially based upon the type, complexity and novelty of the products involved. Approval policies or regulations may change, and the FDA has substantial discretion in the pharmaceutical approval process, including the ability to delay, limit or deny approval of a product candidate for many reasons. In addition, the FDA may require post-approval clinical trials or studies which also may be costly. The FDA approval for a limited indication or approval with required warning language, such as a box warning, could significantly impact our ability to successfully market our product candidates. Finally, the FDA may require adoption of a REMS requiring prescriber training, post-market registries, or otherwise restricting the marketing and dissemination of these products. Despite the time and expense invested in the clinical development of product candidates, regulatory approval is never guaranteed. Assuming successful clinical development, we intend to seek product approvals in countries outside the United States. As a result, we would be subject to regulation by the EMA, as well as the other regulatory agencies in these countries.</w:t>
      </w:r>
    </w:p>
    <w:p>
      <w:pPr>
        <w:spacing w:after="0" w:line="182"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Approval procedures vary among countries and can involve additional product testing and additional administrative review periods. The time required to obtain approval in other countries might differ from that required to obtain FDA approval. Interruptions or delays in the operations of the FDA and foreign regulatory authorities as a result of the COVID-19 pandemic may negatively impact review, inspection, and approval timelines. Regulatory approval in one country does not ensure regulatory approval in another, but a failure or delay in obtaining regulatory approval in one country may negatively impact the regulatory process in others. As in the United States, the regulatory approval process in Europe and in other countries is lengthy and challenging. The FDA, and any other regulatory body around the world can delay, limit or deny approval of a product candidate for many reasons, including:</w:t>
      </w:r>
    </w:p>
    <w:p>
      <w:pPr>
        <w:spacing w:after="0" w:line="178" w:lineRule="exact"/>
        <w:rPr>
          <w:sz w:val="20"/>
          <w:szCs w:val="20"/>
          <w:color w:val="auto"/>
        </w:rPr>
      </w:pPr>
    </w:p>
    <w:p>
      <w:pPr>
        <w:ind w:left="1040" w:right="79" w:hanging="315"/>
        <w:spacing w:after="0" w:line="258"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1" w:lineRule="exact"/>
        <w:rPr>
          <w:rFonts w:ascii="Arial" w:cs="Arial" w:eastAsia="Arial" w:hAnsi="Arial"/>
          <w:sz w:val="18"/>
          <w:szCs w:val="18"/>
          <w:color w:val="auto"/>
        </w:rPr>
      </w:pPr>
    </w:p>
    <w:p>
      <w:pPr>
        <w:ind w:left="1040" w:right="79" w:hanging="315"/>
        <w:spacing w:after="0" w:line="250"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safe and effective for an indication;</w:t>
      </w:r>
    </w:p>
    <w:p>
      <w:pPr>
        <w:ind w:left="1040" w:right="79" w:hanging="315"/>
        <w:spacing w:after="0" w:line="250"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FDA may not accept clinical data from trials conducted by individual investigators or in countries where the standard of care is potentially different from the United States;</w:t>
      </w:r>
    </w:p>
    <w:p>
      <w:pPr>
        <w:ind w:left="1040" w:right="79" w:hanging="315"/>
        <w:spacing w:after="0" w:line="250"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ind w:left="1040" w:right="79" w:hanging="315"/>
        <w:spacing w:after="0" w:line="250"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ind w:left="1040" w:right="79" w:hanging="315"/>
        <w:spacing w:after="0" w:line="250"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interpretation of data from preclinical studies or clinical trials;</w:t>
      </w:r>
    </w:p>
    <w:p>
      <w:pPr>
        <w:jc w:val="both"/>
        <w:ind w:left="1040" w:right="79" w:hanging="315"/>
        <w:spacing w:after="0" w:line="250"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 BLA, NDA or other submission or to obtain regulatory approval in the United States or elsewhere;</w:t>
      </w:r>
    </w:p>
    <w:p>
      <w:pPr>
        <w:spacing w:after="0" w:line="1" w:lineRule="exact"/>
        <w:rPr>
          <w:rFonts w:ascii="Arial" w:cs="Arial" w:eastAsia="Arial" w:hAnsi="Arial"/>
          <w:sz w:val="18"/>
          <w:szCs w:val="18"/>
          <w:color w:val="auto"/>
        </w:rPr>
      </w:pPr>
    </w:p>
    <w:p>
      <w:pPr>
        <w:jc w:val="both"/>
        <w:ind w:left="1040" w:right="79" w:hanging="315"/>
        <w:spacing w:after="0" w:line="250"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not approve the manufacturing processes or facilities of third-party manufacturers with which we or our collaborators currently contract for clinical supplies and plan to contract for commercial supplies; or</w:t>
      </w:r>
    </w:p>
    <w:p>
      <w:pPr>
        <w:spacing w:after="0" w:line="1" w:lineRule="exact"/>
        <w:rPr>
          <w:rFonts w:ascii="Arial" w:cs="Arial" w:eastAsia="Arial" w:hAnsi="Arial"/>
          <w:sz w:val="18"/>
          <w:szCs w:val="18"/>
          <w:color w:val="auto"/>
        </w:rPr>
      </w:pPr>
    </w:p>
    <w:p>
      <w:pPr>
        <w:ind w:left="1040" w:right="79" w:hanging="315"/>
        <w:spacing w:after="0" w:line="260"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18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Regulatory approvals for our product candidates may not be obtained without lengthy delays, if at all. Any delay in obtaining, or inability to obtain, applicable regulatory approvals would prevent us from commercializing our product candidates.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3" w:name="page54"/>
    <w:bookmarkEnd w:id="5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301" w:lineRule="auto"/>
        <w:rPr>
          <w:sz w:val="20"/>
          <w:szCs w:val="20"/>
          <w:color w:val="auto"/>
        </w:rPr>
      </w:pPr>
      <w:r>
        <w:rPr>
          <w:rFonts w:ascii="Arial" w:cs="Arial" w:eastAsia="Arial" w:hAnsi="Arial"/>
          <w:sz w:val="16"/>
          <w:szCs w:val="16"/>
          <w:b w:val="1"/>
          <w:bCs w:val="1"/>
          <w:i w:val="1"/>
          <w:iCs w:val="1"/>
          <w:color w:val="auto"/>
        </w:rPr>
        <w:t>A breakthrough therapy designation by the FDA for our drug candidates, including umbralisib for the treatment of adult patients with relapsed or refractory Marginal Zone Lymphoma who have received at least one prior treatment including an anti-CD20 monoclonal antibody, may not lead to a faster development or regulatory review or approval process, and it does not ensure that our drug candidates will receive marketing approval.</w:t>
      </w:r>
    </w:p>
    <w:p>
      <w:pPr>
        <w:spacing w:after="0" w:line="157"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In January 2019, the FDA granted breakthrough therapy designation (also referred to as BTD) to umbralisib for the treatment of adult patients with relapsed or refractory MZL who have received at least one prior treatment including an anti-CD20 monoclonal antibody. We may also seek breakthrough therapy designation for some of our other drug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Our breakthrough therapy designation was based on interim data from the MZL cohort of the UNITY-NHL clinical trial. No assurance can be given that the full results from the MZL cohort of the UNITY-NHL clinical trial will support accelerated approval.</w:t>
      </w:r>
    </w:p>
    <w:p>
      <w:pPr>
        <w:spacing w:after="0" w:line="181"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For drugs that have been designated as breakthrough therapies, interaction and communication between the FDA and the sponsor of the trial can help to identify the most efficient path for clinical development while minimizing the number of patients who may be placed in potentially less effective control regimens. Drugs designated as breakthrough therapies by the FDA are also eligible for accelerated approval. Designation as a breakthrough therapy is wholly within the discretion of the FDA. Accordingly, even if we believe one of our drug candidates meets the criteria for designation as a breakthrough therapy, the FDA may disagree and instead determine not to grant such designation to the drug candidate. In any event, the receipt of a breakthrough therapy designation for a drug candidate may not result in a faster development process, review or approval compared to drugs considered for approval under conventional FDA procedures and does not assure ultimate approval by the FDA. In addition, even if one or more of our drug candidates qualify as breakthrough therapies, the FDA may later decide that the drugs no longer meet the conditions for qualification and rescind the designation.</w:t>
      </w:r>
    </w:p>
    <w:p>
      <w:pPr>
        <w:spacing w:after="0" w:line="18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A fast track designation by the FDA may not actually lead to a faster development or regulatory review or approval process.</w:t>
      </w:r>
    </w:p>
    <w:p>
      <w:pPr>
        <w:spacing w:after="0" w:line="170"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We may seek fast track designation for some of our other drug candidates. If a drug is intended for the treatment of a serious or life-threatening condition and the drug demonstrates the potential to address unmet medical needs for this condition, the drug sponsor may apply for fast track designation. The FDA has broad discretion whether or not to grant this designation, so even if we believe a particular drug candidate is eligible for this designation, we cannot assure you that the FDA would decide to grant it. Even if we receive fast track designation for our other drug candidates, we may not experience a faster development process, review or approval compared to conventional FDA procedures. The FDA may withdraw fast track designation if it believes that the designation is no longer supported by data from our clinical development program.</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4" w:name="page55"/>
    <w:bookmarkEnd w:id="5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b w:val="1"/>
          <w:bCs w:val="1"/>
          <w:i w:val="1"/>
          <w:iCs w:val="1"/>
          <w:color w:val="auto"/>
        </w:rPr>
        <w:t>While we have received orphan drug designation for umbralisib and ublituximab for specified indications, we may seek additional orphan drug designation for those and some of our other drug candidates. However, we may be unsuccessful in obtaining or may be unable to maintain the benefits associated with orphan drug designation, including the potential for market exclusivity.</w:t>
      </w:r>
    </w:p>
    <w:p>
      <w:pPr>
        <w:spacing w:after="0" w:line="187"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Ublituximab received orphan drug designation from the FDA for the treatment of MZL (nodal and extranodal) in September 2013, for the treatment of CLL in August of 2010, and orphan drug designation by the EMA for the treatment of CLL in November of 2009. We also obtained orphan drug designation for umbralisib as monotherapy for the treatment of CLL in August 2016 and all three types of MZL (nodal, extranodal and splenic) in April 2019, and in January 2017, we announced that the FDA granted orphan drug designation covering the combination of ublituximab and umbralisib for the treatment of patients with CLL and DLBCL. As part of our business strategy, we may seek orphan drug designation for our other drug candidates; however, we may be unsuccessful. Regulatory authorities in some jurisdictions, including the United States and the European Union, may designate drugs for relatively small patient populations as orphan drugs. Under the U.S. Orphan Drug Act,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clinical trial costs, tax advantages and user-fee waivers.</w:t>
      </w:r>
    </w:p>
    <w:p>
      <w:pPr>
        <w:spacing w:after="0" w:line="184"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Even if we obtain orphan drug exclusivity for a drug, that exclusivity may not effectively protect the designated drug from competition because different drugs can be approved for the same condition. Even after an orphan drug is approved, the FDA can subsequently approve another product that meets the definition of a “same drug” under 21 C.F.R. 316.3 for the same condition if the FDA concludes that the later product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drug designation. Moreover,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Orphan drug designation neither shortens the development time or regulatory review time of a drug nor gives the drug any advantage in the regulatory review or approval process. While we intend to seek additional orphan drug designation for our other drug candidates, we may never receive such designations. Even if we receive orphan drug designation for any of our drug candidates, there is no guarantee that we will enjoy the benefits of those designations.</w:t>
      </w:r>
    </w:p>
    <w:p>
      <w:pPr>
        <w:spacing w:after="0" w:line="18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An approval of one of our product candidates in the United States would not assure approval of that candidate in foreign jurisdictions.</w:t>
      </w:r>
    </w:p>
    <w:p>
      <w:pPr>
        <w:spacing w:after="0" w:line="170"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The approval procedures for pharmaceuticals vary among countries and obtaining approval in one jurisdiction does not guarantee approval in another jurisdiction. For example, even if the FDA grants approval of a product candidate, comparable regulatory authorities in foreign jurisdictions may not approve the same product candidate or may require additional evidence for approval. In many countries outside the United States, the product must be approved for reimbursement before it can be marketed. As a general matter, however, the foreign regulatory approval process involves risks similar or identical to the risks associated with FDA approval discussed above. Therefore, we cannot guarantee that we, or future collaborators, will obtain approvals of our product candidates in any foreign jurisdiction on a timely basis, if at all. Failure to receive approval in certain foreign markets could significantly impact the full market potential of our product candidates. Furthermore, if we obtain regulatory approval for a product candidate in a foreign jurisdiction, we will be subject to the burden of complying with complex regulatory, legal, and other requirements that could be costly and could subject us to additional risks and uncertainties.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5" w:name="page56"/>
    <w:bookmarkEnd w:id="5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81" w:lineRule="auto"/>
        <w:rPr>
          <w:sz w:val="20"/>
          <w:szCs w:val="20"/>
          <w:color w:val="auto"/>
        </w:rPr>
      </w:pPr>
      <w:r>
        <w:rPr>
          <w:rFonts w:ascii="Arial" w:cs="Arial" w:eastAsia="Arial" w:hAnsi="Arial"/>
          <w:sz w:val="15"/>
          <w:szCs w:val="15"/>
          <w:b w:val="1"/>
          <w:bCs w:val="1"/>
          <w:i w:val="1"/>
          <w:iCs w:val="1"/>
          <w:color w:val="auto"/>
        </w:rPr>
        <w:t>As all of our product candidates are still under development, manufacturing site additions, scale-up and process improvements implemented in the production of those product candidates may affect their ultimate activity or function.</w:t>
      </w:r>
    </w:p>
    <w:p>
      <w:pPr>
        <w:spacing w:after="0" w:line="100" w:lineRule="exact"/>
        <w:rPr>
          <w:sz w:val="20"/>
          <w:szCs w:val="20"/>
          <w:color w:val="auto"/>
        </w:rPr>
      </w:pPr>
    </w:p>
    <w:p>
      <w:pPr>
        <w:jc w:val="both"/>
        <w:ind w:left="60" w:right="59" w:firstLine="648"/>
        <w:spacing w:after="0" w:line="284" w:lineRule="auto"/>
        <w:rPr>
          <w:sz w:val="20"/>
          <w:szCs w:val="20"/>
          <w:color w:val="auto"/>
        </w:rPr>
      </w:pPr>
      <w:r>
        <w:rPr>
          <w:rFonts w:ascii="Arial" w:cs="Arial" w:eastAsia="Arial" w:hAnsi="Arial"/>
          <w:sz w:val="16"/>
          <w:szCs w:val="16"/>
          <w:color w:val="auto"/>
        </w:rPr>
        <w:t>Our product candidates are currently manufactured in relatively small batches for use in pre-clinical and clinical studies. Process improvements implemented to date have changed, and process improvements in the future may change, the activity and/or analytical profile of the product candidates, which may affect the safety and efficacy of the products. For instance, the manufacturing process for ublituximab has undergone several process improvements during the clinical trial process which have resulted in analytical differences between the materials. Such process improvements continued during the conduct of Phase 3 and materials from more than one manufacturing process were utilized in the Phase 3 UNITY-CLL trial. While analytical differences exist between those materials, we do not believe the differences will alter the safety or efficacy profile of ublituximab. However, it is possible that additional and/or different adverse events may appear among patients exposed to drug product manufactured under one process compared to the other, or that adverse events may arise with greater frequency, intensity and duration among patients exposed to drug product manufactured under one process compared to the other. Additionally, the efficacy of ublituximab also can be negatively impacted by such process changes. Given the uncertainty of the impact on product specifications, quality and performance, process improvements made during Phase 3 development carry a higher level of risk than those made prior to Phase 3 development. If there are significant differences in product attributes between the two materials, we may need to adjust our statistical analysis plans of the Phase 3 study to confirm that there is no difference in safety or efficacy between product made by each process in order to allow us to utilize data from all enrolled patients, as well as be able to integrate clinical safety and/or efficacy results across studies to support any potential marketing application. There can be no assurance given that such analyses will be successful in demonstrating no clinical differences between these drug products, which could substantially impact the approvability of the combination umbralisib and ublituximab based on the results of the UNITY-CLL study. In such circumstances, that would have a material adverse effect on the Company.</w:t>
      </w:r>
    </w:p>
    <w:p>
      <w:pPr>
        <w:spacing w:after="0" w:line="182"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Further, no assurance can be given that the material manufactured from any future optimized processes, if any, for ublituximab or any of our product candidates will perform comparably to the product candidates as manufactured to date which could result in an unexpected safety or efficacy outcome as compared to the data published or presented to date. Similarly, following each round of process improvements, if any, for any of our drug candidates, future clinical trial results conducted with the new material will be subject to uncertainty related to the effects, if any, of those additional process improvements that were made.</w:t>
      </w:r>
    </w:p>
    <w:p>
      <w:pPr>
        <w:spacing w:after="0" w:line="19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In addition, we have engaged a secondary manufacturer for ublituximab to meet our current clinical and future commercial needs and anticipate engaging additional manufacturing sources for umbralisib to meet expanded clinical trial and commercial needs. If a secondary manufacturer is not successful in replicating the product or experiences delays, or if regulatory authorities impose unforeseen requirements with respect to product comparability from multiple manufacturing sources, we may experience delays in clinical development. No assurance can be given that any additional manufacturers will be successful or that material manufactured by the additional manufacturers will perform comparably to ublituximab or umbralisib as manufactured to date and used in currently available pre-clinical data and or in clinical trials presented publicly or reported in this or any previous filing, or that the relevant regulatory agencies will agree with our interpretation of comparability.</w:t>
      </w:r>
    </w:p>
    <w:p>
      <w:pPr>
        <w:spacing w:after="0" w:line="196"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In addition, as we move closer to commercialization for ublituximab and umbralisib, we are scaling-up production to ensure adequate commercial supply. This is an expensive process and there can be no assurance given that such scale-up will be successful in providing pharmaceutical product that is of sufficient quantity, or of a quality that is consistent with our previously established specifications, or that meets the requirements set by regulatory agencies under which we may seek approval of our product candidates. If scale-up were not to succeed our ability to supply our anticipated market at a reasonable cost of goods would be negatively impacted. In such event, that would have a material adverse effect on the Company. Scale up could also require additional process improvement that might be required to accommodate new and larger equipment utilized in the scaled-up process. If that were to occur and we could not demonstrate to the FDA that the materials were analytically substantially similar, we might be required to run additional clinical testing to demonstrate that they are substantially similar. That would entail a significant delay and significant increase in total cost, all of which would have a material adverse effect on the Company.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6" w:name="page57"/>
    <w:bookmarkEnd w:id="5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Risks Related to Commercialization</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b w:val="1"/>
          <w:bCs w:val="1"/>
          <w:i w:val="1"/>
          <w:iCs w:val="1"/>
          <w:color w:val="auto"/>
        </w:rPr>
        <w:t>The incidence and prevalence for target patient populations of our drug candidates have not been established with precision. If the market opportunities for our drug candidates are smaller than we estimate or if any approval that we obtain is based on a narrower definition of the patient population, our revenue and ability to achieve profitability will be adversely affected, possibly materially.</w:t>
      </w:r>
    </w:p>
    <w:p>
      <w:pPr>
        <w:spacing w:after="0" w:line="187"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The precise incidence and/or prevalence of CLL, relapsed/refractory MZL, relapsed/refractory FL and multiple sclerosis (MS) are unknown. Our projections of both the number of people who are affected by disease within our target indications, as well as the subset of these people who have the potential to benefit from treatment with our product candidates, are based on our beliefs and estimates. Our beliefs are typically based on one on one and group interactions with target physicians, and our estimates have been derived from a variety of sources, including the scientific literature, healthcare utilization databases and market research, and may prove to be incorrect. Further, new studies may change the estimated incidence or prevalence of these diseases.</w:t>
      </w:r>
    </w:p>
    <w:p>
      <w:pPr>
        <w:spacing w:after="0" w:line="177"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The total addressable market opportunity for umbralisib and ublituximab for the treatment of patients with CLL, MZL, FL and MS will ultimately depend upon, among other things, the final label indication, approval for sale for these indications, acceptance by the medical community, patient access, drug pricing and reimbursement. The number of patients in major markets, including the number of addressable patients in those markets, may turn out to be lower than expected, patients may not be otherwise amenable to treatment with our drugs, new patients may become increasingly difficult to identify or gain access to, or patients and physicians may choose to utilize competitive products, all of which would adversely affect our results of operations and our business.</w:t>
      </w:r>
    </w:p>
    <w:p>
      <w:pPr>
        <w:spacing w:after="0" w:line="177" w:lineRule="exact"/>
        <w:rPr>
          <w:sz w:val="20"/>
          <w:szCs w:val="20"/>
          <w:color w:val="auto"/>
        </w:rPr>
      </w:pPr>
    </w:p>
    <w:p>
      <w:pPr>
        <w:jc w:val="both"/>
        <w:ind w:left="60" w:right="59"/>
        <w:spacing w:after="0" w:line="381" w:lineRule="auto"/>
        <w:rPr>
          <w:sz w:val="20"/>
          <w:szCs w:val="20"/>
          <w:color w:val="auto"/>
        </w:rPr>
      </w:pPr>
      <w:r>
        <w:rPr>
          <w:rFonts w:ascii="Arial" w:cs="Arial" w:eastAsia="Arial" w:hAnsi="Arial"/>
          <w:sz w:val="15"/>
          <w:szCs w:val="15"/>
          <w:b w:val="1"/>
          <w:bCs w:val="1"/>
          <w:i w:val="1"/>
          <w:iCs w:val="1"/>
          <w:color w:val="auto"/>
        </w:rPr>
        <w:t>We face substantial competition for treatments for our target indications, which may result in others commercializing drugs before or more successfully than we do resulting in the reduction or elimination of our commercial opportunity.</w:t>
      </w:r>
    </w:p>
    <w:p>
      <w:pPr>
        <w:spacing w:after="0" w:line="100"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We operate in a highly competitive segment of the biotechnology and biopharmaceutical market. We face competition from numerous sources, including commercial pharmaceutical and biotechnology enterprises, academic institutions, government agencies, and private and public research institutions. Many of our competitors have significantly greater financial, product development, manufacturing and marketing resources. Large pharmaceutical companies have extensive experience in clinical testing and obtaining regulatory approval for drugs. Additionally, many universities and private and public research institutes are active in cancer research, some in direct competition with us. We may also compete with these organizations to recruit scientists and clinical development personnel. Smaller or early-stage companies may also prove to be significant competitors, particularly through collaborative arrangements with large and established companies.</w:t>
      </w:r>
    </w:p>
    <w:p>
      <w:pPr>
        <w:spacing w:after="0" w:line="196"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Our commercial opportunity could be reduced or eliminated if our competitors develop and commercialize drugs that are more effective, have fewer or less severe side effects, are more convenient or are priced or contracted differently than any drugs that we or our collaborators may develop. Our competitors also may obtain FDA or other regulatory approval for their drugs more rapidly than we may obtain approval for ours, which could result in our competitors establishing a strong market position before we or our collaborators are able to enter the market. The key competitive factors affecting the success of all of our drug candidates, if approved, are likely to be their efficacy, safety, convenience, price, the effectiveness of any related companion diagnostic tests, the level of generic competition and the availability of reimbursement from government and other third-party payors.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7" w:name="page58"/>
    <w:bookmarkEnd w:id="5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648"/>
        <w:spacing w:after="0" w:line="277" w:lineRule="auto"/>
        <w:rPr>
          <w:sz w:val="20"/>
          <w:szCs w:val="20"/>
          <w:color w:val="auto"/>
        </w:rPr>
      </w:pPr>
      <w:r>
        <w:rPr>
          <w:rFonts w:ascii="Arial" w:cs="Arial" w:eastAsia="Arial" w:hAnsi="Arial"/>
          <w:sz w:val="18"/>
          <w:szCs w:val="18"/>
          <w:color w:val="auto"/>
        </w:rPr>
        <w:t>For the cancer indications for which we are developing our products there are a number of established therapies with which we will compete:</w:t>
      </w:r>
    </w:p>
    <w:p>
      <w:pPr>
        <w:spacing w:after="0" w:line="170" w:lineRule="exact"/>
        <w:rPr>
          <w:sz w:val="20"/>
          <w:szCs w:val="20"/>
          <w:color w:val="auto"/>
        </w:rPr>
      </w:pPr>
    </w:p>
    <w:p>
      <w:pPr>
        <w:jc w:val="both"/>
        <w:ind w:left="1040" w:right="79" w:hanging="315"/>
        <w:spacing w:after="0" w:line="267" w:lineRule="auto"/>
        <w:tabs>
          <w:tab w:leader="none" w:pos="10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For the treatment of CLL, if the combination of umbralisib and ublituximab (U2) is approved, we expect U2 to compete with recently approved drugs such as ibrutinib (AbbVie and Janssen), acalabrutinib (AstraZeneca), venetoclax (AbbVie and Roche), obinutuzumab (Roche), idelalisib (Gilead) and duvelisib (Verastem), and established treatments such as rituximab (Roche), and several generically available chemotherapies. Additionally, there are second generation BTK inhibitors similar to ibrutinib in late-stage clinical testing for CLL that could enter the market in the next 12-36 months. These agents can be used as monotherapy or in combination with one or more of the other agents.</w:t>
      </w:r>
    </w:p>
    <w:p>
      <w:pPr>
        <w:spacing w:after="0" w:line="4" w:lineRule="exact"/>
        <w:rPr>
          <w:rFonts w:ascii="Arial" w:cs="Arial" w:eastAsia="Arial" w:hAnsi="Arial"/>
          <w:sz w:val="17"/>
          <w:szCs w:val="17"/>
          <w:color w:val="auto"/>
        </w:rPr>
      </w:pPr>
    </w:p>
    <w:p>
      <w:pPr>
        <w:jc w:val="both"/>
        <w:ind w:left="1040" w:right="79" w:hanging="315"/>
        <w:spacing w:after="0" w:line="265" w:lineRule="auto"/>
        <w:tabs>
          <w:tab w:leader="none" w:pos="10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For the treatment of MZL, if approved, we expect umbralisib to compete with ibrutinib (AbbVie and Janssen), and the combination of rituximab and lenalidomide (Bristol-Myers Squibb), as well as established treatments such as rituximab (Roche) and several generically available chemotherapies.</w:t>
      </w:r>
    </w:p>
    <w:p>
      <w:pPr>
        <w:jc w:val="both"/>
        <w:ind w:left="1040" w:right="79" w:hanging="315"/>
        <w:spacing w:after="0" w:line="265" w:lineRule="auto"/>
        <w:tabs>
          <w:tab w:leader="none" w:pos="10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For the treatment of FL, if approved, we expect umbralisib to compete with recently approved drugs such as obinutuzumab (Roche), idelalisib (Gilead), copanlisib (Bayer), duvelisib (Verastem), tazemetostat (Epizyme), and the combination of rituximab and lenalidomide (Bristol-Myers Squibb), and established treatments such as rituximab (Roche), and several generically available chemotherapies. There are also several PI3K delta inhibitors in earlier stages of development for FL.</w:t>
      </w:r>
    </w:p>
    <w:p>
      <w:pPr>
        <w:jc w:val="both"/>
        <w:ind w:left="1040" w:right="79" w:hanging="315"/>
        <w:spacing w:after="0" w:line="253"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addition, a number of pharmaceutical companies are developing antibodies and bispecific antibodies targeting CD20, CD19, CD47 and other B-cell associated targets, chimeric antigen receptor T-cell (CAR-T) immunotherapy, and other B-cell ablative therapy which, if approved, would potentially compete with U2 and umbralisib.</w:t>
      </w:r>
    </w:p>
    <w:p>
      <w:pPr>
        <w:spacing w:after="0" w:line="193" w:lineRule="exact"/>
        <w:rPr>
          <w:sz w:val="20"/>
          <w:szCs w:val="20"/>
          <w:color w:val="auto"/>
        </w:rPr>
      </w:pPr>
    </w:p>
    <w:p>
      <w:pPr>
        <w:ind w:left="60" w:right="79" w:firstLine="648"/>
        <w:spacing w:after="0" w:line="277" w:lineRule="auto"/>
        <w:rPr>
          <w:sz w:val="20"/>
          <w:szCs w:val="20"/>
          <w:color w:val="auto"/>
        </w:rPr>
      </w:pPr>
      <w:r>
        <w:rPr>
          <w:rFonts w:ascii="Arial" w:cs="Arial" w:eastAsia="Arial" w:hAnsi="Arial"/>
          <w:sz w:val="18"/>
          <w:szCs w:val="18"/>
          <w:color w:val="auto"/>
        </w:rPr>
        <w:t>For Multiple Sclerosis for which we are developing ublituximab there are a number of established therapies with which we will compete:</w:t>
      </w:r>
    </w:p>
    <w:p>
      <w:pPr>
        <w:spacing w:after="0" w:line="170" w:lineRule="exact"/>
        <w:rPr>
          <w:sz w:val="20"/>
          <w:szCs w:val="20"/>
          <w:color w:val="auto"/>
        </w:rPr>
      </w:pPr>
    </w:p>
    <w:p>
      <w:pPr>
        <w:jc w:val="both"/>
        <w:ind w:left="1040" w:right="79" w:hanging="315"/>
        <w:spacing w:after="0" w:line="25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ublituximab is approved, we expect ublituximab will primarily compete against other CD20 targeted agents, while the group of CD20 targeted agents will also compete broadly against a number of already approved MS therapies. Currently, there is one anti-CD20 monoclonal antibody approved, ocrelizumab (Roche), and another in Phase 3 development, ofatumumab (Novartis), which is expected to enter the market in the next 2-3 months.</w:t>
      </w:r>
    </w:p>
    <w:p>
      <w:pPr>
        <w:spacing w:after="0" w:line="188"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Cosibelimab, TG-1701 and TG-1801 if approved will also face competition from drugs on the market and under development in the same therapeutic class as each of those drugs.</w:t>
      </w:r>
    </w:p>
    <w:p>
      <w:pPr>
        <w:spacing w:after="0" w:line="170"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New developments, including the development of other pharmaceutical technologies and methods of treating disease, occur in the pharmaceutical and life sciences industries at a rapid pace. These developments may render our product candidates obsolete or noncompetitive. Compared to us, many of our potential competitors have substantially greater:</w:t>
      </w:r>
    </w:p>
    <w:p>
      <w:pPr>
        <w:spacing w:after="0" w:line="187" w:lineRule="exact"/>
        <w:rPr>
          <w:sz w:val="20"/>
          <w:szCs w:val="20"/>
          <w:color w:val="auto"/>
        </w:rPr>
      </w:pPr>
    </w:p>
    <w:p>
      <w:pPr>
        <w:ind w:left="1040" w:hanging="315"/>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research and development resources, including personnel and technology;</w:t>
      </w:r>
    </w:p>
    <w:p>
      <w:pPr>
        <w:spacing w:after="0" w:line="23" w:lineRule="exact"/>
        <w:rPr>
          <w:rFonts w:ascii="Arial" w:cs="Arial" w:eastAsia="Arial" w:hAnsi="Arial"/>
          <w:sz w:val="18"/>
          <w:szCs w:val="18"/>
          <w:color w:val="auto"/>
        </w:rPr>
      </w:pPr>
    </w:p>
    <w:p>
      <w:pPr>
        <w:ind w:left="1040" w:hanging="315"/>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regulatory experience;</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pharmaceutical development, clinical trial and pharmaceutical commercialization experience;</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experience and expertise in exploitation of intellectual property rights; and</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capital resources.</w:t>
      </w:r>
    </w:p>
    <w:p>
      <w:pPr>
        <w:spacing w:after="0" w:line="211" w:lineRule="exact"/>
        <w:rPr>
          <w:sz w:val="20"/>
          <w:szCs w:val="20"/>
          <w:color w:val="auto"/>
        </w:rPr>
      </w:pPr>
    </w:p>
    <w:p>
      <w:pPr>
        <w:ind w:left="60" w:right="59" w:firstLine="648"/>
        <w:spacing w:after="0" w:line="342" w:lineRule="auto"/>
        <w:rPr>
          <w:sz w:val="20"/>
          <w:szCs w:val="20"/>
          <w:color w:val="auto"/>
        </w:rPr>
      </w:pPr>
      <w:r>
        <w:rPr>
          <w:rFonts w:ascii="Arial" w:cs="Arial" w:eastAsia="Arial" w:hAnsi="Arial"/>
          <w:sz w:val="16"/>
          <w:szCs w:val="16"/>
          <w:color w:val="auto"/>
        </w:rPr>
        <w:t>We will also face competition from these third parties in recruiting and retaining qualified personnel, establishing clinical trial sites, patient registration for clinical trials, and in identifying and in-licensing new product candidates.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8" w:name="page59"/>
    <w:bookmarkEnd w:id="5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could limit commercialization of any drug candidates that we may develop.</w:t>
      </w:r>
    </w:p>
    <w:p>
      <w:pPr>
        <w:spacing w:after="0" w:line="170"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We face an inherent risk of product liability exposure related to the testing of our drug candidates in human clinical trials and use of our drug candidates through compassionate use programs in the event we establish such programs, and we will face an even greater risk if we commercially sell any drug candidates that we may develop. If we cannot successfully defend ourselves against claims that our drug candidates caused injuries, we could incur substantial liabilities. Regardless of merit or eventual outcome, liability claims may result in:</w:t>
      </w:r>
    </w:p>
    <w:p>
      <w:pPr>
        <w:spacing w:after="0" w:line="176" w:lineRule="exact"/>
        <w:rPr>
          <w:sz w:val="20"/>
          <w:szCs w:val="20"/>
          <w:color w:val="auto"/>
        </w:rPr>
      </w:pPr>
    </w:p>
    <w:p>
      <w:pPr>
        <w:ind w:left="1040" w:hanging="315"/>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decreased demand for any drug candidates that we may develop;</w:t>
      </w:r>
    </w:p>
    <w:p>
      <w:pPr>
        <w:spacing w:after="0" w:line="23" w:lineRule="exact"/>
        <w:rPr>
          <w:rFonts w:ascii="Arial" w:cs="Arial" w:eastAsia="Arial" w:hAnsi="Arial"/>
          <w:sz w:val="18"/>
          <w:szCs w:val="18"/>
          <w:color w:val="auto"/>
        </w:rPr>
      </w:pPr>
    </w:p>
    <w:p>
      <w:pPr>
        <w:ind w:left="1040" w:hanging="315"/>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inability to commercialize any drug candidates that we may develop.</w:t>
      </w:r>
    </w:p>
    <w:p>
      <w:pPr>
        <w:spacing w:after="0" w:line="211"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Although we maintain product liability insurance coverage, it may not be adequate to cover all liabilities that we may incur. We anticipate that we will need to increase our insurance coverage if we successfully commercialize any drug candidate. Insurance coverage is increasingly expensive. We may not be able to maintain insurance coverage at a reasonable cost or in an amount adequate to satisfy any liability that may arise.</w:t>
      </w:r>
    </w:p>
    <w:p>
      <w:pPr>
        <w:spacing w:after="0" w:line="171"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b w:val="1"/>
          <w:bCs w:val="1"/>
          <w:i w:val="1"/>
          <w:iCs w:val="1"/>
          <w:color w:val="auto"/>
        </w:rPr>
        <w:t>Even if we are able to commercialize any drug candidates, such drugs may become subject to unfavorable pricing regulations or third-party coverage and reimbursement policies, which would harm our business.</w:t>
      </w:r>
    </w:p>
    <w:p>
      <w:pPr>
        <w:spacing w:after="0" w:line="146"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The regulations that govern regulatory approvals, pricing and reimbursement for new drugs vary widely from country to country. Some countries require approval of the sale price of a drug before it can be marketed. In many countries, the pricing review period begins after marketing approval is granted. In some foreign markets, prescription pharmaceutical pricing remains subject to continuing governmental control even after initial approval is granted. As a result, we might obtain marketing approval for a drug candidate in a particular country, but then be subject to price regulations that delay our commercial launch of the drug candidate, possibly for lengthy time periods, and negatively impact the revenues we are able to generate from the sale of the drug candidate in that country. Adverse pricing limitations may hinder our ability to recoup our investment in one or more drug candidates, even if our drug candidates obtain marketing approval. In addition, if we are successful in receiving FDA approval for ublituximab for the treatment of CLL and MS, we will need to identify and execute a pricing strategy that takes into account the value of the product in each indication independently to realize the product’s full potential in both indications. If we are unable to identify and execute such a strategy, the pricing of ublituximab across indications may not be optimal, which may have a material adverse impact on the sales in one or both of the indications and on our overall business.</w:t>
      </w:r>
    </w:p>
    <w:p>
      <w:pPr>
        <w:spacing w:after="0" w:line="186"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Our ability to commercialize any drug candidates successfully also will depend in part on the extent to which coverage and reimbursement for these drug candidates and related treatments will be available from government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drugs. Increasingly, third-party payors are requiring that drug companies provide them with predetermined discounts from list prices and are challenging the prices charged for drugs. We cannot be sure that coverage will be available for any drug candidate that we commercialize and, if coverage is available, the level of reimbursement. Reimbursement may impact the demand for, or the price of, any drug candidate for which we obtain marketing approval. If reimbursement is not available or is available only to limited levels, we may not be able to successfully commercialize any drug candidate for which we obtain marketing approval.</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9" w:name="page60"/>
    <w:bookmarkEnd w:id="5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There may be significant delays in obtaining reimbursement for newly approved drugs, and coverage may be more limited than the purposes for which the drug is approved by the FDA or similar regulatory authorities outside the United States.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inability to promptly obtain coverage and profitable payment rates from both government-funded and private payors for any approved drugs that we develop could have a material adverse effect on our operating results, our ability to raise capital needed to commercialize drugs and our overall financial condition.</w:t>
      </w:r>
    </w:p>
    <w:p>
      <w:pPr>
        <w:spacing w:after="0" w:line="174"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b w:val="1"/>
          <w:bCs w:val="1"/>
          <w:i w:val="1"/>
          <w:iCs w:val="1"/>
          <w:color w:val="auto"/>
        </w:rPr>
        <w:t>We are subject to new legislation, regulatory proposals and managed care initiatives that may increase our costs of compliance and adversely affect our ability to market our products, obtain collaborators and raise capital.</w:t>
      </w:r>
    </w:p>
    <w:p>
      <w:pPr>
        <w:spacing w:after="0" w:line="124"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In both the United States and certain foreign countries, there have been a number of legislative and regulatory changes or proposed changes to the healthcare system, many of which have focused on prescription drug pricing and lowering overall healthcare costs, that could impact our ability to sell our products profitably. We expect prescription drug pricing and other healthcare costs to continue to be subject to intense political and social pressures on a global basis.</w:t>
      </w:r>
    </w:p>
    <w:p>
      <w:pPr>
        <w:spacing w:after="0" w:line="157" w:lineRule="exact"/>
        <w:rPr>
          <w:sz w:val="20"/>
          <w:szCs w:val="20"/>
          <w:color w:val="auto"/>
        </w:rPr>
      </w:pPr>
    </w:p>
    <w:p>
      <w:pPr>
        <w:jc w:val="both"/>
        <w:ind w:left="60" w:right="79" w:firstLine="648"/>
        <w:spacing w:after="0" w:line="273" w:lineRule="auto"/>
        <w:rPr>
          <w:sz w:val="20"/>
          <w:szCs w:val="20"/>
          <w:color w:val="auto"/>
        </w:rPr>
      </w:pPr>
      <w:r>
        <w:rPr>
          <w:rFonts w:ascii="Arial" w:cs="Arial" w:eastAsia="Arial" w:hAnsi="Arial"/>
          <w:sz w:val="17"/>
          <w:szCs w:val="17"/>
          <w:color w:val="auto"/>
        </w:rPr>
        <w:t>In the United States, the President, federal and state legislatures, health agencies and third-party payors continue to focus on containing the cost of healthcare and addressing public concern over access and affordability of prescription drugs. The Patient Protection and Affordable Care Act, as amended by the Health Care and Education Reconciliation Act of 2010 (collectively, the ACA) was enacted in 2010 and made significant changes to the U.S. healthcare system. The ACA and any revisions or replacements of that Act, any substitute legislation, and other changes in the law or regulatory framework could have a material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0" w:name="page61"/>
    <w:bookmarkEnd w:id="6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Among the provisions of the ACA, those of importance to our potential product candidates include:</w:t>
      </w:r>
    </w:p>
    <w:p>
      <w:pPr>
        <w:spacing w:after="0" w:line="225" w:lineRule="exact"/>
        <w:rPr>
          <w:sz w:val="20"/>
          <w:szCs w:val="20"/>
          <w:color w:val="auto"/>
        </w:rPr>
      </w:pPr>
    </w:p>
    <w:p>
      <w:pPr>
        <w:jc w:val="both"/>
        <w:ind w:left="1040" w:right="79" w:hanging="315"/>
        <w:spacing w:after="0" w:line="255"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specified branded prescription drugs and biologic agents, apportioned among these entities according to their market share in certain government healthcare programs;</w:t>
      </w:r>
    </w:p>
    <w:p>
      <w:pPr>
        <w:spacing w:after="0" w:line="2" w:lineRule="exact"/>
        <w:rPr>
          <w:rFonts w:ascii="Arial" w:cs="Arial" w:eastAsia="Arial" w:hAnsi="Arial"/>
          <w:sz w:val="18"/>
          <w:szCs w:val="18"/>
          <w:color w:val="auto"/>
        </w:rPr>
      </w:pPr>
    </w:p>
    <w:p>
      <w:pPr>
        <w:ind w:left="1040" w:right="79" w:hanging="315"/>
        <w:spacing w:after="0" w:line="281" w:lineRule="auto"/>
        <w:tabs>
          <w:tab w:leader="none" w:pos="10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an increase in the statutory minimum rebates a manufacturer must pay under the Medicaid Drug Rebate Program to 23.1% and 13.0% of the average manufacturer price for branded and generic drugs, respectively;</w:t>
      </w:r>
    </w:p>
    <w:p>
      <w:pPr>
        <w:spacing w:after="0" w:line="1" w:lineRule="exact"/>
        <w:rPr>
          <w:rFonts w:ascii="Arial" w:cs="Arial" w:eastAsia="Arial" w:hAnsi="Arial"/>
          <w:sz w:val="16"/>
          <w:szCs w:val="16"/>
          <w:color w:val="auto"/>
        </w:rPr>
      </w:pPr>
    </w:p>
    <w:p>
      <w:pPr>
        <w:ind w:left="1040" w:right="79" w:hanging="315"/>
        <w:spacing w:after="0" w:line="281" w:lineRule="auto"/>
        <w:tabs>
          <w:tab w:leader="none" w:pos="10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expansion of healthcare fraud and abuse laws, including the federal False Claims Act and the federal Anti-Kickback Statute, new government investigative powers and enhanced penalties for non-compliance;</w:t>
      </w:r>
    </w:p>
    <w:p>
      <w:pPr>
        <w:spacing w:after="0" w:line="1" w:lineRule="exact"/>
        <w:rPr>
          <w:rFonts w:ascii="Arial" w:cs="Arial" w:eastAsia="Arial" w:hAnsi="Arial"/>
          <w:sz w:val="16"/>
          <w:szCs w:val="16"/>
          <w:color w:val="auto"/>
        </w:rPr>
      </w:pPr>
    </w:p>
    <w:p>
      <w:pPr>
        <w:jc w:val="both"/>
        <w:ind w:left="1040" w:right="79" w:hanging="315"/>
        <w:spacing w:after="0" w:line="265" w:lineRule="auto"/>
        <w:tabs>
          <w:tab w:leader="none" w:pos="10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 new Medicare Part D coverage gap discount program, in which manufacturers must agree to offer 50% point-of-sale discounts off negotiated prices of applicable brand drugs to eligible beneficiaries during their coverage gap period, as a condition for a manufacturer’s outpatient drugs to be covered under Medicare Part D (subsequent legislation increased this amount to 70% effective as of January 1, 2019);</w:t>
      </w:r>
    </w:p>
    <w:p>
      <w:pPr>
        <w:ind w:left="1040" w:right="79" w:hanging="315"/>
        <w:spacing w:after="0" w:line="250"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extension of a manufacturer’s Medicaid rebate liability to covered drugs dispensed to individuals who are enrolled in Medicaid managed care organizations;</w:t>
      </w:r>
    </w:p>
    <w:p>
      <w:pPr>
        <w:jc w:val="both"/>
        <w:ind w:left="1040" w:right="79" w:hanging="315"/>
        <w:spacing w:after="0" w:line="250"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adding new eligibility categories for certain individuals with income at or below 133% of the federal poverty level, thereby potentially increasing a manufacturer’s Medicaid rebate liability;</w:t>
      </w:r>
    </w:p>
    <w:p>
      <w:pPr>
        <w:spacing w:after="0" w:line="1" w:lineRule="exact"/>
        <w:rPr>
          <w:rFonts w:ascii="Arial" w:cs="Arial" w:eastAsia="Arial" w:hAnsi="Arial"/>
          <w:sz w:val="18"/>
          <w:szCs w:val="18"/>
          <w:color w:val="auto"/>
        </w:rPr>
      </w:pPr>
    </w:p>
    <w:p>
      <w:pPr>
        <w:jc w:val="both"/>
        <w:ind w:left="1040" w:right="79" w:hanging="315"/>
        <w:spacing w:after="0" w:line="281" w:lineRule="auto"/>
        <w:tabs>
          <w:tab w:leader="none" w:pos="10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expansion of the list of covered entities eligible to enroll in the 340B Drug Pricing Program to include certain free-standing cancer hospitals, critical access hospitals, rural referral centers, and sole community hospitals, but exempting orphan drugs from the ceiling price requirements for these covered entities;</w:t>
      </w:r>
    </w:p>
    <w:p>
      <w:pPr>
        <w:spacing w:after="0" w:line="1" w:lineRule="exact"/>
        <w:rPr>
          <w:rFonts w:ascii="Arial" w:cs="Arial" w:eastAsia="Arial" w:hAnsi="Arial"/>
          <w:sz w:val="16"/>
          <w:szCs w:val="16"/>
          <w:color w:val="auto"/>
        </w:rPr>
      </w:pPr>
    </w:p>
    <w:p>
      <w:pPr>
        <w:ind w:left="1040" w:hanging="315"/>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new requirements under the federal Open Payments program and its implementing regulations;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 new requirement to annually report drug samples that manufacturers and distributors provide to physicians;</w:t>
      </w:r>
    </w:p>
    <w:p>
      <w:pPr>
        <w:spacing w:after="0" w:line="32" w:lineRule="exact"/>
        <w:rPr>
          <w:rFonts w:ascii="Arial" w:cs="Arial" w:eastAsia="Arial" w:hAnsi="Arial"/>
          <w:sz w:val="16"/>
          <w:szCs w:val="16"/>
          <w:color w:val="auto"/>
        </w:rPr>
      </w:pPr>
    </w:p>
    <w:p>
      <w:pPr>
        <w:ind w:left="1040" w:hanging="315"/>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new regulatory pathway for the approval of biosimilar biological products; and</w:t>
      </w:r>
    </w:p>
    <w:p>
      <w:pPr>
        <w:spacing w:after="0" w:line="9" w:lineRule="exact"/>
        <w:rPr>
          <w:rFonts w:ascii="Arial" w:cs="Arial" w:eastAsia="Arial" w:hAnsi="Arial"/>
          <w:sz w:val="18"/>
          <w:szCs w:val="18"/>
          <w:color w:val="auto"/>
        </w:rPr>
      </w:pPr>
    </w:p>
    <w:p>
      <w:pPr>
        <w:ind w:left="1040" w:right="79" w:hanging="315"/>
        <w:spacing w:after="0" w:line="260"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85"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Certain provisions of the ACA have been subject to judicial challenges as well as efforts to repeal or replace them or to alter their interpretation or implementation. For example, the 2017 Tax Cuts and Jobs Act (Tax Act) repealed the penalty for individuals who fail to maintain minimum essential health coverage as required by the ACA, commonly referred to as the individual mandate, effective January 1, 2019. Another example is the Bipartisan Budget Act of 2018 (the BBA), which set government spending levels for Fiscal Years 2018 and 2019 and revised certain provisions of the ACA. Specifically, beginning in 2019, the BBA increased manufacturer point-of-sale discounts off negotiated prices of applicable brand drugs in the Medicare Part D coverage gap from 50% to 70% effective as of January 1, 2019, ultimately increasing the liability for brand drug manufacturers.</w:t>
      </w:r>
    </w:p>
    <w:p>
      <w:pPr>
        <w:spacing w:after="0" w:line="178"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In December 2018, the U.S. District Court for the Northern District of Texas ruled that (i) that the individual mandate was unconstitutional as a result of the associated tax penalty being repealed as part of the Tax Act; and (ii) the individual mandate is not severable from the rest of the ACA and, as a result, the ACA in its entirety is invalid. In December 2019, the U.S. Court of Appeals for the Fifth Circuit affirmed the district court’s decision that the individual mandate is unconstitutional but remanded the case back to the district court to reconsider the severability question. It is unclear how the ultimate decision in this case, which is now pending before the U.S. Supreme Court, or other efforts to repeal, replace, or invalidate the ACA or its implementing regulations, or portions thereof, will affect the ACA, our industry more generally, and the availability of adequate reimbursement for our products if commercialized.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1" w:name="page62"/>
    <w:bookmarkEnd w:id="6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Beyond the ACA, there has been increasing legislative, regulatory and enforcement interest with respect to prescription drug pricing practices. In May 2018, the Trump Administration issued the Blueprint to Lower Drug Prices and Reduce Out-of-Pocket Costs (Drug Pricing Blueprint), a plan to lower prescription drug prices. Under this blueprint for action, the Administration outlined a wide range of high-level proposals to address prescription drug list prices and patient out-of-pocket costs. Since that time, the Administration has taken several regulatory steps with respect to prescription drug pricing. Most recently, in July 2020, President Trump signed four Executive Orders directing the Department of Health and Human Services (HHS) to take several steps to lower costs on prescription drugs. Many of the policy changes included in the Executive Orders were proposed in President Trump’s May 2018 Drug Pricing Blueprint. The Executive Orders cover a range of policies, including but not limited to (i) tying the prices paid by the U.S. government (e.g., Medicare) for drugs and biological products to prices paid in other countries; (ii) ensuring that rebates that drug makers pay to pharmacy benefit managers and insurers in the Medicare Part D program get passed directly to patients when they purchase a medication, so long as the change is not projected to increase Federal spending, Medicare beneficiary premiums or patients’ total out-of-pocket costs; and (iii) allowing states, wholesalers and pharmacies to import FDA-approved drugs from Canada and other countries and sell them in the U.S. if the FDA deems them safe. Many of these policy proposals have been considered in recent legislative and regulatory proposals. The impact and timing of these Executive Orders is uncertain, as the directives contained therein would require agency rulemaking and implementation. These policy proposals, if implemented, could significantly impact the pharmaceutical industry in the U.S. and adversely affect our ability to generate revenues or commercialize our product candidates in the U.S.</w:t>
      </w:r>
    </w:p>
    <w:p>
      <w:pPr>
        <w:spacing w:after="0" w:line="171"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In December 2019, HHS, in conjunction with the FDA, released two pharmaceutical importation models: (a) a Notice of Proposed Rulemaking to permit importation of pharmaceuticals from Canada, and (b) draft FDA guidance permitting manufacturers to import their own pharmaceuticals that were originally intended for marketing in other countries. In addition, HHS finalized Medicare fee-for-service hospital payment reductions for Part B drugs acquired through the 340B Drug Pricing Program, which remains subject to ongoing legal challenge. HHS also has signaled its intent to continue to pursue reimbursement policy changes for Medicare Part B drugs as a whole that likely would reduce hospital and physician reimbursement for these drugs.</w:t>
      </w:r>
    </w:p>
    <w:p>
      <w:pPr>
        <w:spacing w:after="0" w:line="195"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In addition to the actions taken by the President and HHS, there have been several recent U.S. Congressional inquiries and proposed and enacted legislation designed to bring more transparency to drug pricing, reduce the cost of prescription drugs under Medicare, limit price increases, evaluate the relationship between pricing and manufacturer patient programs, and reform government health care program reimbursement methodologies for prescription drugs. We expect that health care reform measures that may be adopted in the future, may result in more rigorous coverage criteria and in additional downward pressure on the price that we may receive for any of our product candidates, if approved. Any reduction in reimbursement from Medicare or other government health care programs may result in a similar reduction in payments from private payors</w:t>
      </w:r>
    </w:p>
    <w:p>
      <w:pPr>
        <w:spacing w:after="0" w:line="178"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At the state level, individual states are experiencing significant economic pressure within their state Medicaid programs and responding to public concern over the cost of healthcare. The economic impact of the COVID-19 pandemic has further exacerbated state budgetary pressures. States, including California, Florida, Nevada and Maine, among others, have responded to these pressures with a range of legislative enactments and policy proposals designed to control prescription drug prices by, for example, allowing importation of pharmaceutical products from jurisdictions outside the U.S., imposing price controls on state drug purchases, consolidating state drug purchasing to a single purchaser, and imposing transparency measures around prescription drug prices and marketing costs. These measures, which vary by state, could reduce the ultimate demand for our products, if approved, or put pressure on our product pricing.</w:t>
      </w:r>
    </w:p>
    <w:p>
      <w:pPr>
        <w:spacing w:after="0" w:line="165"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Furthermore, legislative and regulatory proposals have been made to expand post-approval requirements and restrict sales and promotional activities for drugs.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2" w:name="page63"/>
    <w:bookmarkEnd w:id="6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In many international markets, including the European Union, the government regulates prescription drug prices, patient access, and/or reimbursement levels to control the biopharmaceutical budget of their government-sponsored healthcare system. The European Union and some individual countries have announced or implemented measures and may in the future implement new or additional measures, to reduce biopharmaceutical costs to contain the overall level of healthcare expenditures. These measures vary by country and may include, among other things, non-coverage decisions, patient access restrictions, international price referencing, mandatory discounts or rebates, and cross-border sales of prescription drugs. These measures may adversely affect our ability to generate revenues or commercialize our product candidates in certain international markets.</w:t>
      </w:r>
    </w:p>
    <w:p>
      <w:pPr>
        <w:spacing w:after="0" w:line="178"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There likely will continue to be pressure on prescription drug prices globally and legislative and regulatory proposals, including at the federal and state levels in the U.S., directed at broadening the availability of health care and containing or lowering the cost of health care products and services. We cannot predict the initiatives that may be adopted in the future. The continuing efforts of the government, health insurance companies, managed care organizations and other payors of health care services to contain or reduce costs of health care may adversely affect, among other things:</w:t>
      </w:r>
    </w:p>
    <w:p>
      <w:pPr>
        <w:spacing w:after="0" w:line="161" w:lineRule="exact"/>
        <w:rPr>
          <w:sz w:val="20"/>
          <w:szCs w:val="20"/>
          <w:color w:val="auto"/>
        </w:rPr>
      </w:pPr>
    </w:p>
    <w:p>
      <w:pPr>
        <w:ind w:left="1040" w:hanging="315"/>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generate revenues and achieve or maintain profitability;</w:t>
      </w:r>
    </w:p>
    <w:p>
      <w:pPr>
        <w:spacing w:after="0" w:line="23" w:lineRule="exact"/>
        <w:rPr>
          <w:rFonts w:ascii="Arial" w:cs="Arial" w:eastAsia="Arial" w:hAnsi="Arial"/>
          <w:sz w:val="18"/>
          <w:szCs w:val="18"/>
          <w:color w:val="auto"/>
        </w:rPr>
      </w:pPr>
    </w:p>
    <w:p>
      <w:pPr>
        <w:ind w:left="1040" w:hanging="315"/>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demand for any products for which we may obtain regulatory approval;</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21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 addition, governments may impose price controls, which may adversely affect our future profitability.</w:t>
      </w:r>
    </w:p>
    <w:p>
      <w:pPr>
        <w:spacing w:after="0" w:line="22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cannot predict the likelihood, nature or extent of government regulation that may arise from future legislation or administrative or executive action, either in the United States or abroad.</w:t>
      </w:r>
    </w:p>
    <w:p>
      <w:pPr>
        <w:spacing w:after="0" w:line="170" w:lineRule="exact"/>
        <w:rPr>
          <w:sz w:val="20"/>
          <w:szCs w:val="20"/>
          <w:color w:val="auto"/>
        </w:rPr>
      </w:pPr>
    </w:p>
    <w:p>
      <w:pPr>
        <w:jc w:val="both"/>
        <w:ind w:left="60" w:right="59" w:firstLine="648"/>
        <w:spacing w:after="0" w:line="284" w:lineRule="auto"/>
        <w:rPr>
          <w:sz w:val="20"/>
          <w:szCs w:val="20"/>
          <w:color w:val="auto"/>
        </w:rPr>
      </w:pPr>
      <w:r>
        <w:rPr>
          <w:rFonts w:ascii="Arial" w:cs="Arial" w:eastAsia="Arial" w:hAnsi="Arial"/>
          <w:sz w:val="16"/>
          <w:szCs w:val="16"/>
          <w:color w:val="auto"/>
        </w:rPr>
        <w:t>We cannot predict the likelihood, nature or extent of how government regulation that may arise from future legislation or administrative or executive action taken by the U.S. presidential administration may impact our business and industry. In particular, the U.S. President has taken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Notably, on January 23, 2017, President Trump ordered a civilian hiring freeze for all executive departments and agencies, including the FDA, which prohibits the FDA from filling employee vacancies or creating new positions. Under the terms of the order, the freeze was to remain in effect until implementation of a plan to be recommended by the Director for the Office of Management and Budget (OMB) in consultation with the Director of the Office of Personnel Management, to reduce the size of the federal workforce through attrition. An under-staffed FDA could result in delays in the FDA’s responsiveness or in its ability to review submissions or applications, issue regulations or guidance or implement or enforce regulatory requirements in a timely fashion or at all. This hiring freeze was lifted later in 2017. Moreover, on January 30, 2017, President Trump issued an Executive Order, applicable to all executive agencies, including the FDA, which requires that for each notice of proposed rulemaking or final regulation to be issued in fiscal year 2017, the agency shall identify at least two existing regulations to be repealed, unless prohibited by law. These requirements are referred to as the two-for-one provisions. This Executive Order includes a budget neutrality provision that requires the total incremental cost of all new regulations in the 2017 fiscal year, including repealed regulations, to be no greater than zero, except in limited circumstances. For fiscal years 2018 and beyond, the Executive Order requires agencies to identify regulations to offset any incremental cost of a new regulation and approximate the total costs or savings associated with each new regulation or repealed regulation. In interim guidance issued by the Office of Information and Regulatory Affairs within OMB on February 2, 2017, the administration indicates that the two-for-one provisions may apply not only to agency regulations, but also to significant agency guidance documents. It is difficult to predict how these requirements will be implemented, and the extent to which they will impact the FDA’s ability to exercise its regulatory authority. If these executive actions impose constraints on the FDA’s ability to engage in oversight and implementation activities in the normal course, our business may be negatively impacted.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3" w:name="page64"/>
    <w:bookmarkEnd w:id="6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In addition, on October 12, 2017, the President released an Executive Order intended to promote health care choices and competition and on June 24, 2019, the President released an Executive Order intended to improve price transparency and quality transparency. These may push HHS, the FDA, and other relevant agencies to engage in rulemaking that may impact the pharmaceutical industry.</w:t>
      </w:r>
    </w:p>
    <w:p>
      <w:pPr>
        <w:spacing w:after="0" w:line="18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If, in the future, we are unable to establish sales and marketing capabilities or enter into agreements with third parties to sell and market our drug candidates, we may not be successful in commercializing our drug candidates if and when they are approved, and we may not be able to generate any revenue.</w:t>
      </w:r>
    </w:p>
    <w:p>
      <w:pPr>
        <w:spacing w:after="0" w:line="184"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We do not currently have a sales infrastructure and have limited experience in the sale, marketing or distribution of drugs. As we plan for potential FDA approval of our first product, umbralisib, we are making significant investments to build a commercial organization and infrastructure. We are hiring commercial and medical support personnel and will need to hire a sales force, in order to build processes and systems to support a commercial launch prior to knowing whether umbralisib will receive FDA approval. It is possible that the FDA approval is unexpectedly delayed or our product is not approved at all. In either case we will incur delays that may impede or significantly delay our ability to generate revenue and at the same time will incur significant expenses. If this were to occur, it would have a material adverse effect on the Company.</w:t>
      </w:r>
    </w:p>
    <w:p>
      <w:pPr>
        <w:spacing w:after="0" w:line="192"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There are risks involved with both establishing our own sales, marketing, and other commercialization capabilities. For example, recruiting and training a sales force are expensive and time-consuming and could delay any drug launch. If the commercial launch of a drug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Factors that may inhibit our efforts to commercialize our drug candidates on our own include:</w:t>
      </w:r>
    </w:p>
    <w:p>
      <w:pPr>
        <w:spacing w:after="0" w:line="225" w:lineRule="exact"/>
        <w:rPr>
          <w:sz w:val="20"/>
          <w:szCs w:val="20"/>
          <w:color w:val="auto"/>
        </w:rPr>
      </w:pPr>
    </w:p>
    <w:p>
      <w:pPr>
        <w:ind w:left="1040" w:hanging="315"/>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and marketing personnel;</w:t>
      </w:r>
    </w:p>
    <w:p>
      <w:pPr>
        <w:spacing w:after="0" w:line="23" w:lineRule="exact"/>
        <w:rPr>
          <w:rFonts w:ascii="Arial" w:cs="Arial" w:eastAsia="Arial" w:hAnsi="Arial"/>
          <w:sz w:val="18"/>
          <w:szCs w:val="18"/>
          <w:color w:val="auto"/>
        </w:rPr>
      </w:pPr>
    </w:p>
    <w:p>
      <w:pPr>
        <w:ind w:left="1040" w:hanging="315"/>
        <w:spacing w:after="0"/>
        <w:tabs>
          <w:tab w:leader="none" w:pos="10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inability of sales personnel to obtain access to physicians or to effectively promote any future drugs;</w:t>
      </w:r>
    </w:p>
    <w:p>
      <w:pPr>
        <w:spacing w:after="0" w:line="20" w:lineRule="exact"/>
        <w:rPr>
          <w:rFonts w:ascii="Arial" w:cs="Arial" w:eastAsia="Arial" w:hAnsi="Arial"/>
          <w:sz w:val="17"/>
          <w:szCs w:val="17"/>
          <w:color w:val="auto"/>
        </w:rPr>
      </w:pPr>
    </w:p>
    <w:p>
      <w:pPr>
        <w:ind w:left="1040" w:right="79" w:hanging="315"/>
        <w:spacing w:after="0" w:line="250"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lack of complementary drugs to be offered by sales personnel, which may put us at a competitive disadvantage relative to companies with more extensive product lines; and</w:t>
      </w:r>
    </w:p>
    <w:p>
      <w:pPr>
        <w:ind w:left="1040" w:hanging="315"/>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 sales and marketing organization.</w:t>
      </w:r>
    </w:p>
    <w:p>
      <w:pPr>
        <w:spacing w:after="0" w:line="211"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In the future, we may choose to participate in sales activities with collaborators for some of our drug candidates if and when they are approved. However, there are also risks with entering into these types of arrangements with third parties to perform sales, marketing and distribution services. For example, we may not be able to enter into such arrangements on terms that are favorable to us. Our drug revenues or the profitability of these drug revenues to us are likely to be lower than if we were to market and sell any drug candidates that we develop ourselves. In addition, we likely will have little control over such third parties, and any of them may fail to devote the necessary resources and attention to sell and market our drug candidates effectively. If we do not establish sales and marketing capabilities successfully, either on our own or in collaboration with third parties, we will not be successful in commercializing our drug candidates. Further, our business, results of operations, financial condition and prospects will be materially adversely affected.</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4" w:name="page65"/>
    <w:bookmarkEnd w:id="6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b w:val="1"/>
          <w:bCs w:val="1"/>
          <w:i w:val="1"/>
          <w:iCs w:val="1"/>
          <w:color w:val="auto"/>
        </w:rPr>
        <w:t>Our relationships with customers and third-party payors will be subject to applicable fraud and abuse laws, false claims laws, transparency and disclosure laws, health information and security laws, and other healthcare laws and regulations, which could expose us to criminal sanctions, civil penalties, exclusion from government healthcare programs, contractual damages, reputational harm and diminished profits and future earnings.</w:t>
      </w:r>
    </w:p>
    <w:p>
      <w:pPr>
        <w:spacing w:after="0" w:line="157"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Although we do not currently have any drugs on the market, once we begin commercializing our drug candidates, we will be subject to additional extensive healthcare statutory and regulatory requirements and oversight by the federal government and the states and foreign governments in which we conduct our business. Healthcare providers, physicians and third-party payors play a primary role in the recommendation and prescription of any drug candidates for which we obtain marketing approval. Our future arrangements with third-party payors and customers will expose us to broadly applicable fraud and abuse and other healthcare laws and regulations that may constrain the business or financial arrangements and relationships through which we market, sell and distribute our drug candidates for which we obtain marketing approval. Restrictions under applicable federal and state healthcare laws and regulations include the following:</w:t>
      </w:r>
    </w:p>
    <w:p>
      <w:pPr>
        <w:spacing w:after="0" w:line="165" w:lineRule="exact"/>
        <w:rPr>
          <w:sz w:val="20"/>
          <w:szCs w:val="20"/>
          <w:color w:val="auto"/>
        </w:rPr>
      </w:pPr>
    </w:p>
    <w:p>
      <w:pPr>
        <w:jc w:val="both"/>
        <w:ind w:left="1040" w:right="79" w:hanging="315"/>
        <w:spacing w:after="0" w:line="253"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federal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w:t>
      </w:r>
    </w:p>
    <w:p>
      <w:pPr>
        <w:spacing w:after="0" w:line="1" w:lineRule="exact"/>
        <w:rPr>
          <w:rFonts w:ascii="Arial" w:cs="Arial" w:eastAsia="Arial" w:hAnsi="Arial"/>
          <w:sz w:val="18"/>
          <w:szCs w:val="18"/>
          <w:color w:val="auto"/>
        </w:rPr>
      </w:pPr>
    </w:p>
    <w:p>
      <w:pPr>
        <w:jc w:val="both"/>
        <w:ind w:left="1040" w:right="79" w:hanging="315"/>
        <w:spacing w:after="0" w:line="281" w:lineRule="auto"/>
        <w:tabs>
          <w:tab w:leader="none" w:pos="10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federal False Claims Act imposes civil penalties, including through civil whistleblower or qui tam actions, against individuals or entities for, among other things, knowingly presenting, or causing to be presented, to the federal government, claims for payment that are false or fraudulent or making a false statement to avoid, decrease or conceal an obligation to pay money to the federal government. In addition, the government may assert that a claim including items and services resulting from a violation of the federal Anti-Kickback Statute constitutes a false or fraudulent claim for purposes of the False Claims Act;</w:t>
      </w:r>
    </w:p>
    <w:p>
      <w:pPr>
        <w:spacing w:after="0" w:line="3" w:lineRule="exact"/>
        <w:rPr>
          <w:rFonts w:ascii="Arial" w:cs="Arial" w:eastAsia="Arial" w:hAnsi="Arial"/>
          <w:sz w:val="16"/>
          <w:szCs w:val="16"/>
          <w:color w:val="auto"/>
        </w:rPr>
      </w:pPr>
    </w:p>
    <w:p>
      <w:pPr>
        <w:jc w:val="both"/>
        <w:ind w:left="1040" w:right="79" w:hanging="315"/>
        <w:spacing w:after="0" w:line="250"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imposes criminal and civil liability for executing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2" w:lineRule="exact"/>
        <w:rPr>
          <w:rFonts w:ascii="Arial" w:cs="Arial" w:eastAsia="Arial" w:hAnsi="Arial"/>
          <w:sz w:val="18"/>
          <w:szCs w:val="18"/>
          <w:color w:val="auto"/>
        </w:rPr>
      </w:pPr>
    </w:p>
    <w:p>
      <w:pPr>
        <w:jc w:val="both"/>
        <w:ind w:left="1040" w:right="79" w:hanging="315"/>
        <w:spacing w:after="0" w:line="281" w:lineRule="auto"/>
        <w:tabs>
          <w:tab w:leader="none" w:pos="10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federal physician payment transparency requirements, sometimes referred to as the Sunshine Act under the Affordable Care Act require manufacturers of drugs, devices, biologics and medical supplies that are reimbursable under Medicare, Medicaid, or the Children’s Health Insurance Program to report to the Department of Health and Human Services information related to physician payments and other transfers of value and the ownership and investment interests of such physicians and their immediate family members;</w:t>
      </w:r>
    </w:p>
    <w:p>
      <w:pPr>
        <w:spacing w:after="0" w:line="2" w:lineRule="exact"/>
        <w:rPr>
          <w:rFonts w:ascii="Arial" w:cs="Arial" w:eastAsia="Arial" w:hAnsi="Arial"/>
          <w:sz w:val="16"/>
          <w:szCs w:val="16"/>
          <w:color w:val="auto"/>
        </w:rPr>
      </w:pPr>
    </w:p>
    <w:p>
      <w:pPr>
        <w:jc w:val="both"/>
        <w:ind w:left="1040" w:right="79" w:hanging="315"/>
        <w:spacing w:after="0" w:line="250"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and its implementing regulations, which also imposes obligations on certain covered entity healthcare providers, health plans, and healthcare clearinghouses as well as their business associates that perform certain services involving the use or disclosure of individually identifiable health information, including mandatory contractual terms, with respect to safeguarding the privacy, security and transmission of individually identifiable health information;</w:t>
      </w:r>
    </w:p>
    <w:p>
      <w:pPr>
        <w:spacing w:after="0" w:line="2" w:lineRule="exact"/>
        <w:rPr>
          <w:rFonts w:ascii="Arial" w:cs="Arial" w:eastAsia="Arial" w:hAnsi="Arial"/>
          <w:sz w:val="18"/>
          <w:szCs w:val="18"/>
          <w:color w:val="auto"/>
        </w:rPr>
      </w:pPr>
    </w:p>
    <w:p>
      <w:pPr>
        <w:ind w:left="1040" w:right="79" w:hanging="315"/>
        <w:spacing w:after="0" w:line="250"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 and</w:t>
      </w:r>
    </w:p>
    <w:p>
      <w:pPr>
        <w:jc w:val="both"/>
        <w:ind w:left="1040" w:right="79" w:hanging="315"/>
        <w:spacing w:after="0" w:line="268" w:lineRule="auto"/>
        <w:tabs>
          <w:tab w:leader="none" w:pos="10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analogous state laws and regulations, such as state anti-kickback and false claims laws that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 guidance promulgated by the federal government in addition to requiring drug manufacturers to report information related to pricing of products or payments to physicians and other health care providers or marketing expenditures, and governing the privacy and security of health information in certain circumstances, many of which differ from each other in significant ways and often are not preempted by HIPAA, thus complicating compliance efforts.</w:t>
      </w:r>
    </w:p>
    <w:p>
      <w:pPr>
        <w:sectPr>
          <w:pgSz w:w="11900" w:h="16838" w:orient="portrait"/>
          <w:cols w:equalWidth="0" w:num="1">
            <w:col w:w="9019"/>
          </w:cols>
          <w:pgMar w:left="1440" w:top="517" w:right="1440"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5" w:name="page66"/>
    <w:bookmarkEnd w:id="6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Ensuring that our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to be found to be in violation of any of these laws or any other governmental regulations that may apply to us, we may be subject to significant civil, criminal and administrative penalties, damages, fines, exclusion from government-funded healthcare programs, such as Medicare and Medicaid, qui tam actions brought by individual whistleblowers in the name of the government, and the curtailment or restructuring of our operations. If any of the physicians or other providers or entities with whom we expect to do business is found to be not in compliance with applicable laws, they may be subject to criminal, civil or administrative sanctions, including exclusions from government-funded healthcare programs.</w:t>
      </w:r>
    </w:p>
    <w:p>
      <w:pPr>
        <w:spacing w:after="0" w:line="155"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b w:val="1"/>
          <w:bCs w:val="1"/>
          <w:i w:val="1"/>
          <w:iCs w:val="1"/>
          <w:color w:val="auto"/>
        </w:rPr>
        <w:t>If we fail to adequately understand and comply with the local laws and customs as we expand into new international markets, these operations may incur losses or otherwise adversely affect our business and results of operations.</w:t>
      </w:r>
    </w:p>
    <w:p>
      <w:pPr>
        <w:spacing w:after="0" w:line="110"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We expect to operate a portion of our business in certain countries through subsidiaries or through supply, marketing, and distributor arrangements. In those countries where we have limited experience in operating subsidiaries and in reviewing equity investees, we will be subject to additional risks related to complying with a wide variety of national and local laws, including restrictions on the import and export of certain intermediates, drugs, technologies and multiple and possibly overlapping tax laws. In addition, we may face competition in certain countries from companies that may have more experience with operations in such countries or with international operations generally. We may also face difficulties integrating new facilities in different countries into our existing operations, as well as integrating employees hired in different countries into our existing corporate culture. If we do not effectively manage our operations in these subsidiaries and review equity investees effectively, or if we fail to manage our alliances, we may lose money in these countries and it may adversely affect our business and results of our operations. In all interactions with foreign regulatory authorities, we are exposed to liability risks under the Foreign Corrupt Practices Act or similar anti-bribery laws.</w:t>
      </w:r>
    </w:p>
    <w:p>
      <w:pPr>
        <w:spacing w:after="0" w:line="15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Any product for which we obtain marketing approval could be subject to restrictions or withdrawal from the market and we may be subject to penalties if we fail to comply with regulatory requirements or if we experience unanticipated problems with products.</w:t>
      </w:r>
    </w:p>
    <w:p>
      <w:pPr>
        <w:spacing w:after="0" w:line="116"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Any regulatory approvals that we receive for our drug candidates may be subject to limitations on the indicated uses for which the drug may be marketed or to conditions of approval that may require potentially costly post-marketing clinical trials or surveillance to monitor safety and efficacy of the drug candidate. In addition, any product for which we obtain marketing approval, along with the manufacturing processes and facilities, post-approval clinical data, labeling, advertising and promotional activities for such product, will be subject to continual requirements of, and review by, the FDA and comparable regulatory authorities. These requirements include submissions of safety and other post-marketing information and reports, registration requirements, current Good Manufacturing Practice (cGMP) requirements relating to quality control, quality assurance and corresponding maintenance of records and documents, and requirements regarding promotional interactions with healthcare professionals. Failure to comply with these regulatory requirements or later discovery of previously unknown problems with products, manufacturers, or manufacturing processes, may result in actions such as:</w:t>
      </w:r>
    </w:p>
    <w:p>
      <w:pPr>
        <w:spacing w:after="0" w:line="99" w:lineRule="exact"/>
        <w:rPr>
          <w:sz w:val="20"/>
          <w:szCs w:val="20"/>
          <w:color w:val="auto"/>
        </w:rPr>
      </w:pPr>
    </w:p>
    <w:p>
      <w:pPr>
        <w:ind w:left="1040" w:hanging="315"/>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restrictions on product manufacturing, distribution or use;</w:t>
      </w:r>
    </w:p>
    <w:p>
      <w:pPr>
        <w:ind w:left="1040" w:hanging="315"/>
        <w:spacing w:after="0" w:line="219"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restrictions on the labeling or marketing of a product;</w:t>
      </w:r>
    </w:p>
    <w:p>
      <w:pPr>
        <w:ind w:left="1040" w:hanging="315"/>
        <w:spacing w:after="0" w:line="219"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ind w:left="1040" w:hanging="315"/>
        <w:spacing w:after="0" w:line="219"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warning letters;</w:t>
      </w:r>
    </w:p>
    <w:p>
      <w:pPr>
        <w:ind w:left="1040" w:hanging="315"/>
        <w:spacing w:after="0" w:line="219"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withdrawal of the products from the market;</w:t>
      </w:r>
    </w:p>
    <w:p>
      <w:pPr>
        <w:ind w:left="1040" w:right="79" w:hanging="315"/>
        <w:spacing w:after="0" w:line="219"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or our subsidiaries submit;</w:t>
      </w:r>
    </w:p>
    <w:p>
      <w:pPr>
        <w:ind w:left="1040" w:hanging="315"/>
        <w:spacing w:after="0" w:line="219"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recalls;</w:t>
      </w:r>
    </w:p>
    <w:p>
      <w:pPr>
        <w:ind w:left="1040" w:hanging="315"/>
        <w:spacing w:after="0" w:line="219"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fines;</w:t>
      </w:r>
    </w:p>
    <w:p>
      <w:pPr>
        <w:ind w:left="1040" w:hanging="315"/>
        <w:spacing w:after="0" w:line="219"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suspension or withdrawal of marketing or regulatory approvals;</w:t>
      </w:r>
    </w:p>
    <w:p>
      <w:pPr>
        <w:ind w:left="1040" w:hanging="315"/>
        <w:spacing w:after="0" w:line="219"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refusal to permit the import or export of products;</w:t>
      </w:r>
    </w:p>
    <w:p>
      <w:pPr>
        <w:ind w:left="1040" w:hanging="315"/>
        <w:spacing w:after="0" w:line="219"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product seizure or detentions;</w:t>
      </w:r>
    </w:p>
    <w:p>
      <w:pPr>
        <w:ind w:left="1040" w:hanging="315"/>
        <w:spacing w:after="0" w:line="219"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and</w:t>
      </w:r>
    </w:p>
    <w:p>
      <w:pPr>
        <w:ind w:left="1040" w:hanging="315"/>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adverse publicity.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6" w:name="page67"/>
    <w:bookmarkEnd w:id="6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If we, or our respective suppliers, third-party contractors, clinical investigators or collaborators are slow to adapt, or are unable to adapt, to changes in existing regulatory requirements or adoption of new regulatory requirements or policies, we, our subsidiaries, or our respective collaborators may be subject to the actions listed above, including losing marketing approval for products, resulting in decreased revenue from milestones, product sales or royalties.</w:t>
      </w:r>
    </w:p>
    <w:p>
      <w:pPr>
        <w:spacing w:after="0" w:line="157"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will need to obtain FDA approval of any proposed product brand names, and any failure or delay associated with such approval may adversely impact our business.</w:t>
      </w:r>
    </w:p>
    <w:p>
      <w:pPr>
        <w:spacing w:after="0" w:line="170"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A pharmaceutical product candidate cannot be marketed in the United States or other countries until we have completed a rigorous and extensive regulatory review process, including approval of a brand name. Any brand names we intend to use for ublituximab, umbralisib or any future product candidates will require approval from the FDA regardless of whether we have secured a formal trademark registration from the United States Patent and Trademark Office (USPTO). The FDA typically conducts a review of proposed product brand names, including an evaluation of potential for confusion with other product names. The FDA may also object to a product brand name if it believes the name inappropriately implies medical claims. If the FDA objects to any of our proposed product brand names, we may be required to adopt an alternative brand name. If we adopt an alternative brand name, we would lose the benefit of our existing trademark applications for such product candidate and may be required to expend significant additional resources in an effort to identify a suitable product brand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w:t>
      </w:r>
    </w:p>
    <w:p>
      <w:pPr>
        <w:spacing w:after="0" w:line="168"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The FDA has conditionally accepted a brand name for umbralisib. However, final approval of the brand name is conditional on FDA approval of the NDA for umbralisib. In the event that FDA has any objection to the brand name following conditional acceptance, our ability to successfully launch and commercialize umbralisib would be negatively impacted.</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Risks Related to Our Dependence on Third Parties</w:t>
      </w:r>
    </w:p>
    <w:p>
      <w:pPr>
        <w:spacing w:after="0" w:line="229"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b w:val="1"/>
          <w:bCs w:val="1"/>
          <w:i w:val="1"/>
          <w:iCs w:val="1"/>
          <w:color w:val="auto"/>
        </w:rPr>
        <w:t>We rely on third parties to generate clinical, preclinical and other data necessary to support the regulatory applications needed to conduct clinical trials and file for marketing approval. We rely on third parties to help conduct our planned clinical trials. If these third parties do not perform their services as required, we may not be able to obtain regulatory approval for or commercialize our product candidates when expected or at all.</w:t>
      </w:r>
    </w:p>
    <w:p>
      <w:pPr>
        <w:spacing w:after="0" w:line="171"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In order to submit an Investigational New Drug application (IND), BLA, or NDA to the FDA and maintain these applications, it is necessary to submit all information on the clinical, non-clinical, chemistry, manufacturing, controls and quality aspects of the product candidate. Clinical trial authorizations and marketing applications for foreign regulatory bodies have substantially similar requirements. We rely on our third-party contractors and our licensing partners to provide portions of this data. If we are unable to obtain this data, or the data is not sufficient to meet the regulatory requirements, we may experience significant delays in our development programs. While we maintain an active IND for ublituximab, umbralisib, and cosibelimab enabling the conduct of studies in the FDA’s Division of Hematology and Oncology, and an active IND for ublituximab under the FDA’s Division of Neurology, there can be no assurance that the FDA will allow us to continue the development of our product candidates in those divisions where we maintain an active IND.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7" w:name="page68"/>
    <w:bookmarkEnd w:id="6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60" w:right="59" w:firstLine="648"/>
        <w:spacing w:after="0" w:line="284" w:lineRule="auto"/>
        <w:rPr>
          <w:sz w:val="20"/>
          <w:szCs w:val="20"/>
          <w:color w:val="auto"/>
        </w:rPr>
      </w:pPr>
      <w:r>
        <w:rPr>
          <w:rFonts w:ascii="Arial" w:cs="Arial" w:eastAsia="Arial" w:hAnsi="Arial"/>
          <w:sz w:val="16"/>
          <w:szCs w:val="16"/>
          <w:color w:val="auto"/>
        </w:rPr>
        <w:t>Additionally, we use CROs to assist in the conduct of our current clinical trials and expect to use such services for future clinical trials and we rely upon medical institutions, clinical investigators and contract laboratories to conduct our trials in accordance with our clinical protocols and appropriate regulations. Our current and future CROs, investigators and other third parties play a significant role in the conduct of our trials and the subsequent collection and analysis of data from the clinical trials. There is no guarantee that any CROs, investigators and other third parties will devote adequate time and resources to our clinical trials or perform as contractually required. If any third parties upon whom we rely for administration and conduct of our clinical trials fail to meet expected deadlines, fail to adhere to its clinical protocols or otherwise perform in a substandard manner, our clinical trials may be extended, delayed or terminated, and we may not be able to commercialize our product candidates. In addition to the third parties identified above, we are also heavily reliant on the conduct of our patients enrolled to our studies by our third-party investigators. We rely on our clinical trial sites and investigators to properly identify and screen eligible candidates for our clinical trials, and for them to ensure participants adhere to our clinical protocol requirements. The majority of our clinical trial conduct occurs in the out-patient setting, where patients are expected to continue to adhere to our study protocol specified requirements. The ability of our enrolled patients to properly identify, document, and report adverse events; take protocol specified study drugs at the correct quantity, time, and setting, as applicable; avoid contraindicated medications; and comply with other protocol specified procedures such as returning to the trial site for scheduled laboratory and disease assessments, is wholly out of our control. Deviations from protocol procedures, such as those identified previously, could materially affect the quality of our clinical trial data, and therefore ultimately affect our ability to develop and commercialize our drug candidates. If any of our clinical trial sites terminates for any reason, we may experience the loss of follow-up information on patients enrolled in our ongoing clinical trials unless we are able to transfer the care of those patients to another qualified clinical trial site. If any of our clinical trial sites are required by the FDA or IRB to close down due to data management or patient management or any other issues, we may lose patients. In our MS Phase 2 trial, during routine monitoring and site audits, significant Good Clinical Practice (GCP) violations and other noncompliance issues were identified at one of our US-based large academic sites. The investigator left the institution and shortly thereafter the site terminated their participation in our study before all data could be source document verified. While we do not believe this will have any effect on the overall results of the MS Phase 2 trial, sensitivity analyses excluding data from this site will be performed and no assurance can be given that the results were not affected.</w:t>
      </w:r>
    </w:p>
    <w:p>
      <w:pPr>
        <w:spacing w:after="0" w:line="387" w:lineRule="exact"/>
        <w:rPr>
          <w:sz w:val="20"/>
          <w:szCs w:val="20"/>
          <w:color w:val="auto"/>
        </w:rPr>
      </w:pPr>
    </w:p>
    <w:p>
      <w:pPr>
        <w:jc w:val="both"/>
        <w:ind w:left="60" w:right="59" w:firstLine="648"/>
        <w:spacing w:after="0" w:line="284" w:lineRule="auto"/>
        <w:rPr>
          <w:sz w:val="20"/>
          <w:szCs w:val="20"/>
          <w:color w:val="auto"/>
        </w:rPr>
      </w:pPr>
      <w:r>
        <w:rPr>
          <w:rFonts w:ascii="Arial" w:cs="Arial" w:eastAsia="Arial" w:hAnsi="Arial"/>
          <w:sz w:val="16"/>
          <w:szCs w:val="16"/>
          <w:color w:val="auto"/>
        </w:rPr>
        <w:t>Whether conducted through a CRO or through our internal staff, we are solely responsible for ensuring that each of our clinical trials is conducted in accordance with the applicable protocol, legal and regulatory requirements and scientific standards, and our reliance on CROs will not relieve us of our regulatory responsibilities. For any violations of laws and regulations during the conduct of our clinical trials, we could be subject to warning letters or other enforcement actions that may include civil penalties up to and including criminal prosecution. We and our CROs are required to comply with regulations, including GCP guidelines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 and comparable foreign regulatory authorities for any drug candidates in clinical development. The FDA enforces GCP regulations through periodic inspections of clinical trial sponsors, clinical investigators, CROs, institutional review boards, and non-clinical laboratories. If we, our CROs, our investigators or other third parties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our current or future clinical trials comply with GCPs. In addition, our clinical trials must be conducted with drug candidates produced under cGMP regulations. Our failure or the failure of our CROs or CMOs to comply with these regulations may require us to repeat clinical trials, which would delay the regulatory approval process and could also subject us to enforcement action. We also are required to register most ongoing clinical trials and post the results of completed clinical trials on government-sponsored databases, e.g. ClinicalTrials.gov, within certain timeframes. Failure to do so can result in fines, adverse publicity and civil and criminal sanctions.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8" w:name="page69"/>
    <w:bookmarkEnd w:id="6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Although we intend to design the clinical trials for our drug candidates, CROs play an important role in the conduct of our clinical trials, especially outside of the United States. As a result, many important aspects of our development programs, including their conduct and timing, will be outside of our direct control. Our reliance on third parties to conduct current or future clinical trials will also result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195" w:lineRule="exact"/>
        <w:rPr>
          <w:sz w:val="20"/>
          <w:szCs w:val="20"/>
          <w:color w:val="auto"/>
        </w:rPr>
      </w:pPr>
    </w:p>
    <w:p>
      <w:pPr>
        <w:ind w:left="1040" w:hanging="315"/>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have staffing difficulties;</w:t>
      </w:r>
    </w:p>
    <w:p>
      <w:pPr>
        <w:spacing w:after="0" w:line="23" w:lineRule="exact"/>
        <w:rPr>
          <w:rFonts w:ascii="Arial" w:cs="Arial" w:eastAsia="Arial" w:hAnsi="Arial"/>
          <w:sz w:val="18"/>
          <w:szCs w:val="18"/>
          <w:color w:val="auto"/>
        </w:rPr>
      </w:pPr>
    </w:p>
    <w:p>
      <w:pPr>
        <w:ind w:left="1040" w:hanging="315"/>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fail to comply with contractual obligations;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experience regulatory compliance issues;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undergo changes in priorities or become financially distressed; or</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form relationships with other entities, some of which may be our competitors.</w:t>
      </w:r>
    </w:p>
    <w:p>
      <w:pPr>
        <w:spacing w:after="0" w:line="211"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These factors may materially adversely affect the willingness or ability of third parties to conduct our clinical trials and may subject us to unexpected cost increases that are beyond our control. If the CROs do not perform clinical trials in a satisfactory manner, breach their obligations to us or fail to comply with regulatory requirements, the development, regulatory approval and commercialization of our drug candidates may be delayed, we may not be able to obtain regulatory approval and commercialize our drug candidates, or our development program may be materially and irreversibly harmed. If we are unable to rely on clinical data collected by our CROs, we could be required to repeat, extend the duration of, or increase the size of any clinical trials we conduct and this could significantly delay commercialization and require significantly greater expenditures.</w:t>
      </w:r>
    </w:p>
    <w:p>
      <w:pPr>
        <w:spacing w:after="0" w:line="178"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If any of our relationships with these third-party CROs terminate, we may not be able to enter into arrangements with alternative CROs.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clinical trials such CROs are associated with may be extended, delayed or terminated, and we may not be able to obtain regulatory approval for or successfully commercialize our drug candidates. As a result, we believe that our financial results and the commercial prospects for our drug candidates in the subject indication would be harmed, our costs could increase and our ability to generate revenue could be delayed.</w:t>
      </w:r>
    </w:p>
    <w:p>
      <w:pPr>
        <w:spacing w:after="0" w:line="178"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b w:val="1"/>
          <w:bCs w:val="1"/>
          <w:i w:val="1"/>
          <w:iCs w:val="1"/>
          <w:color w:val="auto"/>
        </w:rPr>
        <w:t>We contract with third parties for the manufacture of our drug candidates for pre-clinical development and clinical trials, and we expect to continue to do so for commercialization. This reliance on third parties increases the risk that we will not have sufficient quantities of our drug candidates or drugs or such quantities at an acceptable cost or quality, which could delay, prevent or impair our development or commercialization efforts.</w:t>
      </w:r>
    </w:p>
    <w:p>
      <w:pPr>
        <w:spacing w:after="0" w:line="157"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We do not currently own or operate, nor do we have any plans to establish in the future, any manufacturing facilities. We rely, and expect to continue to rely, on third parties for the manufacture of our drug candidates for pre-clinical development and clinical testing, as well as for the commercial manufacture of our drugs if any of our drug candidates receive marketing approval. In some circumstances, our licensor has entered into arrangements with contract manufacturers to supply product for our clinical and commercial demand. Our reliance on third parties increases the risk that we will not have sufficient quantities of our drug candidates or drugs or such quantities at an acceptable cost or quality, which could delay, prevent or impair our development or commercialization efforts.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9" w:name="page70"/>
    <w:bookmarkEnd w:id="6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The facilities used by contract manufacturers to manufacture our drug candidates must be approved by the FDA or a comparable foreign regulatory authority pursuant to inspections that may be conducted after we submit our marketing applications to the FDA or a comparable foreign regulatory authority. We do not control the manufacturing process of, and will be completely dependent on, our contract manufacturers for compliance with cGMPs in connection with the manufacture of our drug candidates. If our contract manufacturers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contract manufacturers to maintain adequate quality control, quality assurance and qualified personnel. If the FDA or a comparable foreign regulatory authority does not approve these facilities for the manufacture of our drug candidates or if it withdraws any such approval in the future, we may need to find alternative manufacturing facilities, which would significantly impact, including causing substantial delay, in our ability to develop, obtain regulatory approval for or market our drug candidates. Further,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drug candidates or drugs, operating restrictions and criminal prosecutions, any of which could significantly and adversely affect our business and supplies of our drug candidates.</w:t>
      </w:r>
    </w:p>
    <w:p>
      <w:pPr>
        <w:spacing w:after="0" w:line="180"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For certain of our drug candidates, we do not have long-term supply agreements with contract manufacturers. For these drug candidates, we purchase our required drug supply, including the drug product and drug substance on a purchase order basis. We may be unable to establish or maintain agreements with third-party manufacturers for these drug candidates or do so on acceptable terms. No assurance can be given that long-term, scalable manufacturers can be identified or that they can make clinical and commercial supplies of our product candidates that meet the product specifications of previously manufactured batches, or are of a sufficient quality, or at an appropriate scale and cost to make it commercially feasible. If they are unable to do so, it could have a material adverse impact on our business.</w:t>
      </w:r>
    </w:p>
    <w:p>
      <w:pPr>
        <w:spacing w:after="0" w:line="177"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Even if we are able to establish and maintain agreements with third-party manufacturers, reliance on third-party manufacturers entails additional risks, including:</w:t>
      </w:r>
    </w:p>
    <w:p>
      <w:pPr>
        <w:spacing w:after="0" w:line="170" w:lineRule="exact"/>
        <w:rPr>
          <w:sz w:val="20"/>
          <w:szCs w:val="20"/>
          <w:color w:val="auto"/>
        </w:rPr>
      </w:pPr>
    </w:p>
    <w:p>
      <w:pPr>
        <w:ind w:left="1040" w:hanging="315"/>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and quality assurance;</w:t>
      </w:r>
    </w:p>
    <w:p>
      <w:pPr>
        <w:spacing w:after="0" w:line="23" w:lineRule="exact"/>
        <w:rPr>
          <w:rFonts w:ascii="Arial" w:cs="Arial" w:eastAsia="Arial" w:hAnsi="Arial"/>
          <w:sz w:val="18"/>
          <w:szCs w:val="18"/>
          <w:color w:val="auto"/>
        </w:rPr>
      </w:pPr>
    </w:p>
    <w:p>
      <w:pPr>
        <w:ind w:left="1040" w:hanging="315"/>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possible breach of the manufacturing or supply agreement by the third party;</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possible misappropriation of our proprietary information, including our trade secrets and know-how; and</w:t>
      </w:r>
    </w:p>
    <w:p>
      <w:pPr>
        <w:spacing w:after="0" w:line="32" w:lineRule="exact"/>
        <w:rPr>
          <w:rFonts w:ascii="Arial" w:cs="Arial" w:eastAsia="Arial" w:hAnsi="Arial"/>
          <w:sz w:val="16"/>
          <w:szCs w:val="16"/>
          <w:color w:val="auto"/>
        </w:rPr>
      </w:pPr>
    </w:p>
    <w:p>
      <w:pPr>
        <w:ind w:left="1040" w:right="79" w:hanging="315"/>
        <w:spacing w:after="0" w:line="260"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w:t>
      </w:r>
    </w:p>
    <w:p>
      <w:pPr>
        <w:spacing w:after="0" w:line="185"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Moreover, our current long-term supply agreements contain certain minimum purchases in what are commonly referred to as “take or pay” provisions, and we would expect all future supply agreements to contain such provisions. To the extent our demand does not meet the minimum supply required amounts, we would be forced to pay more than desired. This could create a situation where we are spending more than required and could impact our on-going operations and entail curtailing other important research and development or commercialization efforts, all of which could have a material adverse effect on the Company.</w:t>
      </w:r>
    </w:p>
    <w:p>
      <w:pPr>
        <w:spacing w:after="0" w:line="192"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Our drug candidates and any drugs that we may develop may compete with other drug candidates and approved drugs for access to manufacturing facilities. There are a limited number of manufacturers that operate under cGMP regulations and that might be capable of manufacturing for us.</w:t>
      </w:r>
    </w:p>
    <w:p>
      <w:pPr>
        <w:spacing w:after="0" w:line="184"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color w:val="auto"/>
        </w:rPr>
        <w:t>Any performance failure on the part of our existing or future manufacturers could delay clinical development or marketing approval. If our current contract manufacturers cannot perform as agreed, we may be required to replace such manufacturers causing additional costs and delays in identifying and qualifying any such replacement.</w:t>
      </w:r>
    </w:p>
    <w:p>
      <w:pPr>
        <w:spacing w:after="0" w:line="165" w:lineRule="exact"/>
        <w:rPr>
          <w:sz w:val="20"/>
          <w:szCs w:val="20"/>
          <w:color w:val="auto"/>
        </w:rPr>
      </w:pPr>
    </w:p>
    <w:p>
      <w:pPr>
        <w:jc w:val="both"/>
        <w:ind w:left="60" w:right="79" w:firstLine="648"/>
        <w:spacing w:after="0" w:line="259" w:lineRule="auto"/>
        <w:rPr>
          <w:sz w:val="20"/>
          <w:szCs w:val="20"/>
          <w:color w:val="auto"/>
        </w:rPr>
      </w:pPr>
      <w:r>
        <w:rPr>
          <w:rFonts w:ascii="Arial" w:cs="Arial" w:eastAsia="Arial" w:hAnsi="Arial"/>
          <w:sz w:val="18"/>
          <w:szCs w:val="18"/>
          <w:color w:val="auto"/>
        </w:rPr>
        <w:t>Our current and anticipated future dependence upon others for the manufacture of our drug candidates or drugs could result in significant delays or gaps in availability of such drug candidates or drugs and may adversely affect our future profit margins and our ability to commercialize any drugs that receive marketing approval on a timely and competitive basis.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0" w:name="page71"/>
    <w:bookmarkEnd w:id="7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We also expect to rely on other third parties to store and distribute drug supplies for our clinical trials and for commercial demand, if and when our product candidates receive approval. Any performance failure on the part of our distributors could delay clinical development or marketing approval of any future product candidates or commercialization of our products, producing additional losses and depriving us of potential product revenue.</w:t>
      </w:r>
    </w:p>
    <w:p>
      <w:pPr>
        <w:spacing w:after="0" w:line="171"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In addition, we do not have the capability to package finished products for distribution to hospitals and other customers. Prior to commercial launch, we intend to enter into agreements with one or more alternate packaging and labeling suppliers so that we can ensure proper supply chain management once we are authorized to make commercial sales of our product candidates. If we receive marketing approval from the FDA, we intend to sell pharmaceutical product finished and packaged by such suppliers. We have not yet entered into long-term agreements with our fill/finish suppliers for all of our drug candidates, and we may be unable to enter into such an agreement or do so on commercially reasonable terms, which could have a material adverse impact upon our business.</w:t>
      </w:r>
    </w:p>
    <w:p>
      <w:pPr>
        <w:spacing w:after="0" w:line="164" w:lineRule="exact"/>
        <w:rPr>
          <w:sz w:val="20"/>
          <w:szCs w:val="20"/>
          <w:color w:val="auto"/>
        </w:rPr>
      </w:pPr>
    </w:p>
    <w:p>
      <w:pPr>
        <w:jc w:val="both"/>
        <w:ind w:left="60" w:right="59"/>
        <w:spacing w:after="0" w:line="307" w:lineRule="auto"/>
        <w:rPr>
          <w:sz w:val="20"/>
          <w:szCs w:val="20"/>
          <w:color w:val="auto"/>
        </w:rPr>
      </w:pPr>
      <w:r>
        <w:rPr>
          <w:rFonts w:ascii="Arial" w:cs="Arial" w:eastAsia="Arial" w:hAnsi="Arial"/>
          <w:sz w:val="16"/>
          <w:szCs w:val="16"/>
          <w:b w:val="1"/>
          <w:bCs w:val="1"/>
          <w:i w:val="1"/>
          <w:iCs w:val="1"/>
          <w:color w:val="auto"/>
        </w:rPr>
        <w:t>Because we have in-licensed our product candidates from third parties, any dispute with or non-performance by our licensors will adversely affect our ability to develop and commercialize the applicable product candidates.</w:t>
      </w:r>
    </w:p>
    <w:p>
      <w:pPr>
        <w:spacing w:after="0" w:line="96" w:lineRule="exact"/>
        <w:rPr>
          <w:sz w:val="20"/>
          <w:szCs w:val="20"/>
          <w:color w:val="auto"/>
        </w:rPr>
      </w:pPr>
    </w:p>
    <w:p>
      <w:pPr>
        <w:jc w:val="both"/>
        <w:ind w:left="60" w:right="59" w:firstLine="648"/>
        <w:spacing w:after="0" w:line="246" w:lineRule="auto"/>
        <w:rPr>
          <w:sz w:val="20"/>
          <w:szCs w:val="20"/>
          <w:color w:val="auto"/>
        </w:rPr>
      </w:pPr>
      <w:r>
        <w:rPr>
          <w:rFonts w:ascii="Arial" w:cs="Arial" w:eastAsia="Arial" w:hAnsi="Arial"/>
          <w:sz w:val="17"/>
          <w:szCs w:val="17"/>
          <w:color w:val="auto"/>
        </w:rPr>
        <w:t>Because we license our product candidates from third parties and we expect to continue to in-license additional product candidates, if there is any dispute between us and our licensor regarding our rights under a license agreement, our ability to develop and commercialize our product candidates may be adversely affected. Disputes may arise with the third parties from whom we license our product candidates for a variety of reasons, including:</w:t>
      </w:r>
    </w:p>
    <w:p>
      <w:pPr>
        <w:spacing w:after="0" w:line="142" w:lineRule="exact"/>
        <w:rPr>
          <w:sz w:val="20"/>
          <w:szCs w:val="20"/>
          <w:color w:val="auto"/>
        </w:rPr>
      </w:pPr>
    </w:p>
    <w:p>
      <w:pPr>
        <w:ind w:left="1040" w:hanging="315"/>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ind w:left="1040" w:right="79" w:hanging="315"/>
        <w:spacing w:after="0" w:line="219"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extent to which our technology and processes infringe on intellectual property of the licensor that is not subject to the license agreement;</w:t>
      </w:r>
    </w:p>
    <w:p>
      <w:pPr>
        <w:ind w:left="1040" w:right="79" w:hanging="315"/>
        <w:spacing w:after="0" w:line="219"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sublicensing of patent and other rights under our collaborative development relationships and obligations associated with sublicensing;</w:t>
      </w:r>
    </w:p>
    <w:p>
      <w:pPr>
        <w:ind w:left="1040" w:hanging="315"/>
        <w:spacing w:after="0"/>
        <w:tabs>
          <w:tab w:leader="none" w:pos="10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our diligence obligations under the license agreement and what activities satisfy those diligence obligations;</w:t>
      </w:r>
    </w:p>
    <w:p>
      <w:pPr>
        <w:spacing w:after="0" w:line="5" w:lineRule="exact"/>
        <w:rPr>
          <w:rFonts w:ascii="Arial" w:cs="Arial" w:eastAsia="Arial" w:hAnsi="Arial"/>
          <w:sz w:val="16"/>
          <w:szCs w:val="16"/>
          <w:color w:val="auto"/>
        </w:rPr>
      </w:pPr>
    </w:p>
    <w:p>
      <w:pPr>
        <w:ind w:left="1040" w:right="79" w:hanging="315"/>
        <w:spacing w:after="0" w:line="219"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 and our partners; and</w:t>
      </w:r>
    </w:p>
    <w:p>
      <w:pPr>
        <w:ind w:left="1040" w:hanging="315"/>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182" w:lineRule="exact"/>
        <w:rPr>
          <w:sz w:val="20"/>
          <w:szCs w:val="20"/>
          <w:color w:val="auto"/>
        </w:rPr>
      </w:pPr>
    </w:p>
    <w:p>
      <w:pPr>
        <w:jc w:val="both"/>
        <w:ind w:left="60" w:right="59" w:firstLine="648"/>
        <w:spacing w:after="0" w:line="236" w:lineRule="auto"/>
        <w:rPr>
          <w:sz w:val="20"/>
          <w:szCs w:val="20"/>
          <w:color w:val="auto"/>
        </w:rPr>
      </w:pPr>
      <w:r>
        <w:rPr>
          <w:rFonts w:ascii="Arial" w:cs="Arial" w:eastAsia="Arial" w:hAnsi="Arial"/>
          <w:sz w:val="17"/>
          <w:szCs w:val="17"/>
          <w:color w:val="auto"/>
        </w:rPr>
        <w:t>In addition, the agreements under which we currently license product candidates from third parties are complex, and certain provisions in such agreements may be susceptible to multiple interpretations, or may conflict in such a way that puts us in breach of one or more agreements, which would make us susceptible to lengthy and expensive disputes with one or more of our licensing partners.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have a material adverse effect on our business, financial conditions, results of operations, and prospects.</w:t>
      </w:r>
    </w:p>
    <w:p>
      <w:pPr>
        <w:spacing w:after="0" w:line="154"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b w:val="1"/>
          <w:bCs w:val="1"/>
          <w:i w:val="1"/>
          <w:iCs w:val="1"/>
          <w:color w:val="auto"/>
        </w:rPr>
        <w:t>If conflicts arise between us and our future collaborators or strategic partners, these parties may act in a manner adverse to us and could limit our ability to implement our strategies.</w:t>
      </w:r>
    </w:p>
    <w:p>
      <w:pPr>
        <w:spacing w:after="0" w:line="143"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6"/>
          <w:szCs w:val="16"/>
          <w:color w:val="auto"/>
        </w:rPr>
        <w:t>If conflicts arise between our future corporate or academic collaborators or strategic partners and us, the other party may act in a manner adverse to us and could limit our ability to implement our strategies. Future collaborators or strategic partners, may develop, either alone or with others, products in related fields that are competitive with the products or potential products that are the subject of these collaborations. Competing products, either developed by the collaborators or strategic partners or to which the collaborators or strategic partners have rights, may result in the withdrawal of partner support for any future product candidates. Our current or future collaborators or strategic partners may preclude us from entering into collaborations with their competitors, fail to obtain timely regulatory approvals, terminate their agreements with us prematurely, or fail to devote sufficient resources to the development and commercialization of products. Any of these developments could harm any future product development efforts.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1" w:name="page72"/>
    <w:bookmarkEnd w:id="7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b w:val="1"/>
          <w:bCs w:val="1"/>
          <w:i w:val="1"/>
          <w:iCs w:val="1"/>
          <w:color w:val="auto"/>
        </w:rPr>
        <w:t>We may seek to establish additional collaborations, and, if we are not able to establish them on commercially reasonable terms, we may have to alter our development and commercialization plans.</w:t>
      </w:r>
    </w:p>
    <w:p>
      <w:pPr>
        <w:spacing w:after="0" w:line="143" w:lineRule="exact"/>
        <w:rPr>
          <w:sz w:val="20"/>
          <w:szCs w:val="20"/>
          <w:color w:val="auto"/>
        </w:rPr>
      </w:pPr>
    </w:p>
    <w:p>
      <w:pPr>
        <w:jc w:val="both"/>
        <w:ind w:left="60" w:right="59" w:firstLine="648"/>
        <w:spacing w:after="0" w:line="231" w:lineRule="auto"/>
        <w:rPr>
          <w:sz w:val="20"/>
          <w:szCs w:val="20"/>
          <w:color w:val="auto"/>
        </w:rPr>
      </w:pPr>
      <w:r>
        <w:rPr>
          <w:rFonts w:ascii="Arial" w:cs="Arial" w:eastAsia="Arial" w:hAnsi="Arial"/>
          <w:sz w:val="18"/>
          <w:szCs w:val="18"/>
          <w:color w:val="auto"/>
        </w:rPr>
        <w:t>Our drug development programs and the potential commercialization of our drug candidates will require substantial additional cash to fund expenses. For some of our drug candidates, we may decide to collaborate with additional pharmaceutical and biotechnology companies for the development and potential commercialization of those drug candidates.</w:t>
      </w:r>
    </w:p>
    <w:p>
      <w:pPr>
        <w:spacing w:after="0" w:line="148" w:lineRule="exact"/>
        <w:rPr>
          <w:sz w:val="20"/>
          <w:szCs w:val="20"/>
          <w:color w:val="auto"/>
        </w:rPr>
      </w:pPr>
    </w:p>
    <w:p>
      <w:pPr>
        <w:jc w:val="both"/>
        <w:ind w:left="60" w:right="59" w:firstLine="648"/>
        <w:spacing w:after="0" w:line="252" w:lineRule="auto"/>
        <w:rPr>
          <w:sz w:val="20"/>
          <w:szCs w:val="20"/>
          <w:color w:val="auto"/>
        </w:rPr>
      </w:pPr>
      <w:r>
        <w:rPr>
          <w:rFonts w:ascii="Arial" w:cs="Arial" w:eastAsia="Arial" w:hAnsi="Arial"/>
          <w:sz w:val="16"/>
          <w:szCs w:val="16"/>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our clinical trials, the likelihood of approval by the FDA or similar regulatory authorities outside the United States, the potential market for the subject drug candidate, the costs and complexities of manufacturing and delivering such drug candidate to patients, the potential of competing drugs, the existence of uncertainty with respect to our ownership of technology, which can exist if there is a challenge to such ownership without regard to the merits of the challenge, and industry and market conditions generally. The collaborator may also consider alternative drug candidates or technologies for similar indications that may be available to collaborate on and whether such a collaboration could be more attractive than the one with us for our drug candidate. The terms of any additional collaborations or other arrangements that we may establish may not be favorable to us.</w:t>
      </w:r>
    </w:p>
    <w:p>
      <w:pPr>
        <w:spacing w:after="0" w:line="156"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We may be restricted under our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87" w:lineRule="exact"/>
        <w:rPr>
          <w:sz w:val="20"/>
          <w:szCs w:val="20"/>
          <w:color w:val="auto"/>
        </w:rPr>
      </w:pPr>
    </w:p>
    <w:p>
      <w:pPr>
        <w:jc w:val="both"/>
        <w:ind w:left="60" w:right="59" w:firstLine="486"/>
        <w:spacing w:after="0" w:line="271" w:lineRule="auto"/>
        <w:rPr>
          <w:sz w:val="20"/>
          <w:szCs w:val="20"/>
          <w:color w:val="auto"/>
        </w:rPr>
      </w:pPr>
      <w:r>
        <w:rPr>
          <w:rFonts w:ascii="Arial" w:cs="Arial" w:eastAsia="Arial" w:hAnsi="Arial"/>
          <w:sz w:val="17"/>
          <w:szCs w:val="17"/>
          <w:color w:val="auto"/>
        </w:rPr>
        <w:t>We may not be able to negotiate additional collaborations on a timely basis, on acceptable terms, or at all. If we are unable to do so, we may have to curtail the development of the drug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drug candidates or bring them to market and generate drug revenue.</w:t>
      </w:r>
    </w:p>
    <w:p>
      <w:pPr>
        <w:spacing w:after="0" w:line="178"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Any future collaborations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drug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termination or expiration of any future collaboration agreement could adversely affect us financially or harm our business reputation.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2" w:name="page73"/>
    <w:bookmarkEnd w:id="7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Risks Relating to Our Intellectual Property</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b w:val="1"/>
          <w:bCs w:val="1"/>
          <w:i w:val="1"/>
          <w:iCs w:val="1"/>
          <w:color w:val="auto"/>
        </w:rPr>
        <w:t>Our success depends upon our ability to obtain and protect our intellectual property and proprietary technologies and if the scope of our patent protection obtained is not sufficiently broad, our competitors could develop and commercialize technology and drugs similar or identical to ours, and our ability to successfully commercialize our technology and drugs may be impaired.</w:t>
      </w:r>
    </w:p>
    <w:p>
      <w:pPr>
        <w:spacing w:after="0" w:line="146" w:lineRule="exact"/>
        <w:rPr>
          <w:sz w:val="20"/>
          <w:szCs w:val="20"/>
          <w:color w:val="auto"/>
        </w:rPr>
      </w:pPr>
    </w:p>
    <w:p>
      <w:pPr>
        <w:jc w:val="both"/>
        <w:ind w:left="60" w:right="59" w:firstLine="648"/>
        <w:spacing w:after="0" w:line="225" w:lineRule="auto"/>
        <w:rPr>
          <w:sz w:val="20"/>
          <w:szCs w:val="20"/>
          <w:color w:val="auto"/>
        </w:rPr>
      </w:pPr>
      <w:r>
        <w:rPr>
          <w:rFonts w:ascii="Arial" w:cs="Arial" w:eastAsia="Arial" w:hAnsi="Arial"/>
          <w:sz w:val="18"/>
          <w:szCs w:val="18"/>
          <w:color w:val="auto"/>
        </w:rPr>
        <w:t>Our commercial success in part depends on obtaining and maintaining patent protection and trade secret protection in the United States and other countries with respect to our product candidates or any future product candidate that we may license or acquire, their formulations and uses and the methods we use to manufacture them, as well as successfully defending these patents against third-party challenges. We seek to protect our proprietary and intellectual property position by filing patent applications in the United States and abroad related to our novel technologies and product candidates, and by maintenance of our trade secrets through proper procedures. Because we in-license our drug candidates, we also rely on our licensors to protect the patent and other intellectual property rights necessary for commercialization of our drug candidates.</w:t>
      </w:r>
    </w:p>
    <w:p>
      <w:pPr>
        <w:spacing w:after="0" w:line="149"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7"/>
          <w:szCs w:val="17"/>
          <w:color w:val="auto"/>
        </w:rPr>
        <w:t>We will only be able to protect our technologies from unauthorized use by third parties to the extent that valid and enforceable patents or trade secrets cover them in the market they are being used or developed. The degree of patent protection we require to successfully commercialize our drug candidates may be unavailable or severely limited in some cases and may not adequately protect our rights or permit us to gain or keep any competitive advantage. We cannot provide any assurances that any of our patents have, or that any of our pending patent applications that mature into issued patents will include, claims with a scope sufficient to protect any of our drug candidates. In addition, the laws of foreign countries may not protect our rights to the same extent as the laws of the United States.</w:t>
      </w:r>
    </w:p>
    <w:p>
      <w:pPr>
        <w:spacing w:after="0" w:line="149" w:lineRule="exact"/>
        <w:rPr>
          <w:sz w:val="20"/>
          <w:szCs w:val="20"/>
          <w:color w:val="auto"/>
        </w:rPr>
      </w:pPr>
    </w:p>
    <w:p>
      <w:pPr>
        <w:jc w:val="both"/>
        <w:ind w:left="60" w:right="59" w:firstLine="648"/>
        <w:spacing w:after="0" w:line="258" w:lineRule="auto"/>
        <w:rPr>
          <w:sz w:val="20"/>
          <w:szCs w:val="20"/>
          <w:color w:val="auto"/>
        </w:rPr>
      </w:pPr>
      <w:r>
        <w:rPr>
          <w:rFonts w:ascii="Arial" w:cs="Arial" w:eastAsia="Arial" w:hAnsi="Arial"/>
          <w:sz w:val="16"/>
          <w:szCs w:val="16"/>
          <w:color w:val="auto"/>
        </w:rPr>
        <w:t>Furthermore, patents have a limited lifespan. In the United States, the natural expiration of a patent is generally twenty years after it is filed. Various extensions may be available; however, the life of a patent, and the protection it affords, is limited. Given the amount of time required for the development, testing and regulatory review of new drug candidates, patents protecting such candidates might expire before or shortly after such candidates are commercialized. As a result, our owned patent portfolio may not provide us with adequate and continuing patent protection sufficient to exclude others from commercializing drugs similar or identical to our drug candidates, including generic versions of such drugs.</w:t>
      </w:r>
    </w:p>
    <w:p>
      <w:pPr>
        <w:spacing w:after="0" w:line="136" w:lineRule="exact"/>
        <w:rPr>
          <w:sz w:val="20"/>
          <w:szCs w:val="20"/>
          <w:color w:val="auto"/>
        </w:rPr>
      </w:pPr>
    </w:p>
    <w:p>
      <w:pPr>
        <w:jc w:val="both"/>
        <w:ind w:left="60" w:right="59" w:firstLine="648"/>
        <w:spacing w:after="0" w:line="252" w:lineRule="auto"/>
        <w:rPr>
          <w:sz w:val="20"/>
          <w:szCs w:val="20"/>
          <w:color w:val="auto"/>
        </w:rPr>
      </w:pPr>
      <w:r>
        <w:rPr>
          <w:rFonts w:ascii="Arial" w:cs="Arial" w:eastAsia="Arial" w:hAnsi="Arial"/>
          <w:sz w:val="16"/>
          <w:szCs w:val="16"/>
          <w:color w:val="auto"/>
        </w:rPr>
        <w:t>Currently, the composition of matter patent for ublituximab and umbralisib are granted in both the United States and EU, among other countries. A method of use patent covering the combination of ublituximab and umbralisib has also been granted in the United States, European Union, Japan, and several other territories. Additionally, several method of use patents for ublituximab and umbralisib in various indications and settings have also been applied for but have not yet been issued or have been issued in certain territories but not under all jurisdictions in which such applications have been filed. There can be no guarantee that any patents for which an application has already been filed, nor any patents filed in the future, for our cosibelimab, TG-1701 and TG-1801 or for our pre-clinical product candidates will be granted in any or all jurisdictions in which they were filed, or that all claims initially included in such patent applications will be allowed in the final patent that is issued. The patent application process is subject to numerous risks and uncertainties, and there can be no assurance that we or our partners will be successful in protecting our product candidates by obtaining and defending patents, or what the scope of an issued patent may ultimately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3" w:name="page74"/>
    <w:bookmarkEnd w:id="7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These risks and uncertainties include the following:</w:t>
      </w:r>
    </w:p>
    <w:p>
      <w:pPr>
        <w:spacing w:after="0" w:line="185" w:lineRule="exact"/>
        <w:rPr>
          <w:sz w:val="20"/>
          <w:szCs w:val="20"/>
          <w:color w:val="auto"/>
        </w:rPr>
      </w:pPr>
    </w:p>
    <w:p>
      <w:pPr>
        <w:ind w:left="1040" w:hanging="315"/>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patent applications that we or our licensors file may not result in any patents being issued;</w:t>
      </w:r>
    </w:p>
    <w:p>
      <w:pPr>
        <w:spacing w:after="0" w:line="23" w:lineRule="exact"/>
        <w:rPr>
          <w:rFonts w:ascii="Arial" w:cs="Arial" w:eastAsia="Arial" w:hAnsi="Arial"/>
          <w:sz w:val="18"/>
          <w:szCs w:val="18"/>
          <w:color w:val="auto"/>
        </w:rPr>
      </w:pPr>
    </w:p>
    <w:p>
      <w:pPr>
        <w:ind w:left="1040" w:right="79" w:hanging="315"/>
        <w:spacing w:after="0" w:line="250"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patents that may be issued or in-licensed may be challenged, invalidated, modified, revoked or circumvented, or otherwise may not provide any competitive advantage;</w:t>
      </w:r>
    </w:p>
    <w:p>
      <w:pPr>
        <w:ind w:left="1040" w:right="79" w:hanging="315"/>
        <w:spacing w:after="0" w:line="250"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as of March 16, 2013, the United States converted from a first to invent to a first to file system. If we do not win the filing race, we will not be entitled to inventive priority;</w:t>
      </w:r>
    </w:p>
    <w:p>
      <w:pPr>
        <w:jc w:val="both"/>
        <w:ind w:left="1040" w:right="79" w:hanging="315"/>
        <w:spacing w:after="0" w:line="265" w:lineRule="auto"/>
        <w:tabs>
          <w:tab w:leader="none" w:pos="10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our competitors, many of which have substantially greater resources than we do, and many of which have made significant investments in competing technologies, may seek, or may already have obtained, patents that will limit, interfere with, or eliminate its ability to file new patent applications or make, use, and sell our potential products either in the United States or in international markets;</w:t>
      </w:r>
    </w:p>
    <w:p>
      <w:pPr>
        <w:jc w:val="both"/>
        <w:ind w:left="1040" w:right="79" w:hanging="315"/>
        <w:spacing w:after="0" w:line="265" w:lineRule="auto"/>
        <w:tabs>
          <w:tab w:leader="none" w:pos="10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there may be significant pressure on the United States government and other international governmental bodies to limit the scope of patent protection both inside and outside the United States for disease treatments that prove successful as a matter of public policy regarding worldwide health concerns; and</w:t>
      </w:r>
    </w:p>
    <w:p>
      <w:pPr>
        <w:jc w:val="both"/>
        <w:ind w:left="1040" w:right="79" w:hanging="315"/>
        <w:spacing w:after="0" w:line="255"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countries other than the United States may have less restrictive patent laws than those upheld by United States courts, allowing foreign competitors the ability to exploit these laws to create, develop, and market competing products.</w:t>
      </w:r>
    </w:p>
    <w:p>
      <w:pPr>
        <w:spacing w:after="0" w:line="190"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If patents are not issued that protect our product candidates, it could have a material adverse effect on our financial condition and results of operations.</w:t>
      </w:r>
    </w:p>
    <w:p>
      <w:pPr>
        <w:spacing w:after="0" w:line="170" w:lineRule="exact"/>
        <w:rPr>
          <w:sz w:val="20"/>
          <w:szCs w:val="20"/>
          <w:color w:val="auto"/>
        </w:rPr>
      </w:pPr>
    </w:p>
    <w:p>
      <w:pPr>
        <w:jc w:val="both"/>
        <w:ind w:left="60" w:right="59" w:firstLine="648"/>
        <w:spacing w:after="0" w:line="284" w:lineRule="auto"/>
        <w:rPr>
          <w:sz w:val="20"/>
          <w:szCs w:val="20"/>
          <w:color w:val="auto"/>
        </w:rPr>
      </w:pPr>
      <w:r>
        <w:rPr>
          <w:rFonts w:ascii="Arial" w:cs="Arial" w:eastAsia="Arial" w:hAnsi="Arial"/>
          <w:sz w:val="16"/>
          <w:szCs w:val="16"/>
          <w:color w:val="auto"/>
        </w:rPr>
        <w:t>In addition, the patent prosecution process is expensive and time-consuming, and we may not be able to file and prosecute all necessary or desirable patent applications at a reasonable cost or in a timely manner. Further, with respect to some of the pending patent applications covering our drug candidates, prosecution has yet to commence. Patent prosecution is a lengthy process, during which the scope of the claims initially submitted for examination by the USPTO have been significantly narrowed by the time they issue, if at all. It is also possible that we will fail to identify any patentable aspects of our research and development output and methodology, and, even if we do, an opportunity to obtain patent protection may have passed. Given the uncertain and time-consuming process of filing patent applications and prosecuting them, it is possible that our product(s) or process(es) originally covered by the scope of the patent application may have changed or been modified, leaving our product(s) or process(es) without patent protection. Moreover, in some circumstances, we do not have the right to control the preparation, filing and prosecution of patent applications, or to maintain the patents, covering technology that we license from third parties. Therefore, these patents and applications may not be prosecuted and enforced in a manner consistent with the best interests of our business. If our licensors or we fail to appropriately prosecute and maintain patent protection or trade secret protection for one or more product candidates or any future product candidate we may license or acquire, our ability to develop and commercialize these product candidates may be adversely affected and we may not be able to prevent competitors from making, using and selling competing products. This failure to properly protect the intellectual property rights relating to these product candidates could impair our ability to compete in the market and adversely affect our ability to generate revenues and achieve profitability, which would have a material adverse effect on our financial condition and results of operations. Furthermore, should we enter into other collaborations, including out-licensing or partnerships, we may be required to consult with or cede control to collaborators regarding the prosecution, maintenance and enforcement of licensed patents. Therefore, these patents and applications may not be prosecuted and enforced in a manner consistent with the best interests of our business.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4" w:name="page75"/>
    <w:bookmarkEnd w:id="7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67" w:lineRule="auto"/>
        <w:rPr>
          <w:sz w:val="20"/>
          <w:szCs w:val="20"/>
          <w:color w:val="auto"/>
        </w:rPr>
      </w:pPr>
      <w:r>
        <w:rPr>
          <w:rFonts w:ascii="Arial" w:cs="Arial" w:eastAsia="Arial" w:hAnsi="Arial"/>
          <w:sz w:val="17"/>
          <w:szCs w:val="17"/>
          <w:color w:val="auto"/>
        </w:rPr>
        <w:t>The patent position of biotechnology and pharmaceutical companies generally is highly uncertain, involves complex legal and factual questions, and has in recent years been the subject of much litigation. In addition, no consistent policy regarding the breadth of claims allowed in pharmaceutical or biotechnology patents has emerged to date in the United States. The patent situation outside the United States is even more uncertain. The laws of foreign countries may not protect our rights to the same extent as the laws of the United States, and we may fail to seek or obtain patent protection in all major markets. For example, European patent law restricts the patentability of methods of treatment of the human body more than United States law does. Our pending and future patent applications may not result in patents being issued which protect our technology or products, in whole or in part, or which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 For example, the federal courts of the United States have taken an increasingly dim view of the patent eligibility of certain subject matter, such as naturally occurring nucleic acid sequences, amino acid sequences and certain methods of utilizing same, which include their detection in a biological sample and diagnostic conclusions arising from their detection. Such subject matter, which had long been a staple of the biotechnology and biopharmaceutical industry to protect their discoveries, is now considered, with few exceptions, ineligible in the first instance for protection under the patent laws of the United States. Accordingly, we cannot predict the breadth of claims that may be allowed or enforced in our patents or in those licensed from a third-party.</w:t>
      </w:r>
    </w:p>
    <w:p>
      <w:pPr>
        <w:spacing w:after="0" w:line="191"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In addition, U.S. patent laws may change, which could prevent or limit us, our subsidiaries, or our licensors from filing patent applications or patent claims to protect products and/or technologies or limit the exclusivity periods that are available to patent holders, as well as affect the validity, enforceability, or scope of issued patents. For example, on September 16, 2011, the Leahy-Smith America Invents Act was signed into law. The Leahy-Smith Act includes a number of significant changes to United States patent law. These include changes to transition from a first-to-invent system to a first-to-file system and to the way issued patents are challenged. The formation of the Patent Trial and Appeal Board now provides a quicker and less expensive process for challenging issued patents.</w:t>
      </w:r>
    </w:p>
    <w:p>
      <w:pPr>
        <w:spacing w:after="0" w:line="177"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We may be subject to a third-party pre-issuance submission of prior art to the USPTO, or become involved in opposition, derivation, reexamination, inter parties review, post-grant review or interference proceedings challenging our patent rights or the patent rights of others. The costs of these proceedings could be substantial, and it is possible that our efforts to establish priority of invention would be unsuccessful, resulting in a material adverse effect on our United States patent position. An adverse determination in any such submission, patent office trial, proceeding or litigation could reduce the scope of, render unenforceable, or invalidate, our patent rights, allow third parties to commercialize our technology or products and compete directly with us, without payment to us, or result in our inability to manufacture or commercialize products without infringing third-party patent rights. In addition, if the breadth or strength of protection provided by patents and patent applications for our drug candidates is threatened, it could dissuade companies from collaborating with us to license, develop or commercialize current or future product candidates.</w:t>
      </w:r>
    </w:p>
    <w:p>
      <w:pPr>
        <w:spacing w:after="0" w:line="168"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The issuance of a patent does not foreclose challenges to its inventorship, scope, validity or enforceability. Therefore, our owned and licensed patents may be challenged in the courts or patent offices in the United States and abroad. Such challenges may result in loss of exclusivity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Given the amount of time required for the development, testing and regulatory review of new product candidates, patents protecting such product candidates might expire before or shortly after such product candidates are commercialized. As a result, our owned and licensed patent portfolio may not provide us with enough rights to exclude others from commercializing products similar or identical to ours.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5" w:name="page76"/>
    <w:bookmarkEnd w:id="7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Even if our patent applications issue as patents, and they are unchallenged, our issued patents and our pending patents, if issued, may not provide us with any meaningful protection or prevent competitors from designing around our patent claims to circumvent our owned or licensed patents by developing similar or alternative technologies or drugs in a non-infringing manner. For example, a third party may develop a competitive drug that provides benefits similar to one or more of our drug candidates but that has a different composition that falls outside the scope of our patent protection. If the patent protection provided by the patents and patent applications we hold or pursue with respect to our drug candidates is not sufficiently broad to impede such competition, our ability to successfully commercialize our drug candidates could be negatively affected, which would harm our business.</w:t>
      </w:r>
    </w:p>
    <w:p>
      <w:pPr>
        <w:spacing w:after="0" w:line="178"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In addition, we may in the future be subject to claims by our former employees or consultants asserting an ownership right in our patents or patent applications, as a result of the work they performed on our behalf. Although we have entered into agreements with many of our employees, consultants and advisors and any other third parties who have access to our proprietary know-how, information or technology to assign 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 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drugs, without payment to us, or could limit the duration of the patent protection covering our technology and drug candidates. Such challenges may also result in our inability to manufacture or commercialize our drug candidates without infringing third-party patent rights. In addition, if the breadth or strength of protection provided by our patents and patent applications is threatened, it could dissuade companies from collaborating with us to license, develop or commercialize current or future drug candidates.</w:t>
      </w:r>
    </w:p>
    <w:p>
      <w:pPr>
        <w:spacing w:after="0" w:line="171"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Patent protection and other intellectual property protection are crucial to the success of our business and prospects, and there is a substantial risk that such protections will prove inadequate.</w:t>
      </w:r>
    </w:p>
    <w:p>
      <w:pPr>
        <w:spacing w:after="0" w:line="170"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84"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The USPTO and various foreign governmental patent agencies require compliance with a number of procedural, documentary, fee payment and other similar provisions during the patent application process. In addition, periodic maintenance fees on issued patents often must be paid to the USPTO and foreign patent agencies over the lifetime of the patent. While an unintentional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w:t>
      </w:r>
    </w:p>
    <w:p>
      <w:pPr>
        <w:spacing w:after="0" w:line="164"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drugs or procedures, we may not be able to stop a competitor from marketing drugs that are the same as or similar to our drug candidates, which would have a material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6" w:name="page77"/>
    <w:bookmarkEnd w:id="7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81" w:lineRule="auto"/>
        <w:rPr>
          <w:sz w:val="20"/>
          <w:szCs w:val="20"/>
          <w:color w:val="auto"/>
        </w:rPr>
      </w:pPr>
      <w:r>
        <w:rPr>
          <w:rFonts w:ascii="Arial" w:cs="Arial" w:eastAsia="Arial" w:hAnsi="Arial"/>
          <w:sz w:val="15"/>
          <w:szCs w:val="15"/>
          <w:b w:val="1"/>
          <w:bCs w:val="1"/>
          <w:i w:val="1"/>
          <w:iCs w:val="1"/>
          <w:color w:val="auto"/>
        </w:rPr>
        <w:t>If we do not obtain patent term extensions under the Hatch-Waxman Amendments and similar foreign legislation extending the terms of our licensed patents and any future patents we may own, our business may be materially harmed.</w:t>
      </w:r>
    </w:p>
    <w:p>
      <w:pPr>
        <w:spacing w:after="0" w:line="100"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Depending on the timing, duration, and specifics of any FDA regulatory approval for our drug candidates, one or more of our licensed U.S. patents or future U.S. patents that we may license or own may be eligible for limited patent term restoration under the Hatch-Waxman Amendments. The Hatch-Waxman Amendments permit a patent term extension of up to five years as compensation for patent term lost during the FDA regulatory review process. A patent term extension cannot extend the remaining term of a patent beyond 14 years from the date of product approval by the FDA, and only one patent covering the approved product may be extended.</w:t>
      </w:r>
    </w:p>
    <w:p>
      <w:pPr>
        <w:spacing w:after="0" w:line="178"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The application for a patent term extension is subject to approval by the USPTO, in conjunction with the FDA. We may not be granted an extension because of, for example, failing to apply within applicable deadlines, failing to apply prior to expiration of relevant patents or otherwise failing to satisfy applicable requirements. Moreover, the applicable time period or the scope of the patent protection afforded could be less than we request. If we are unable to obtain patent term extension or any term of such extension is less than we request, the period during which we will have the right to exclusively market our product will be shortened and our competitors may obtain earlier approval of competing products, and our ability to generate revenues could be materially adversely affected.</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may not be able to enforce our intellectual property rights throughout the world.</w:t>
      </w:r>
    </w:p>
    <w:p>
      <w:pPr>
        <w:spacing w:after="0" w:line="22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Filing, prosecuting and defending patents on drug candidates throughout the world would be prohibitively expensive. Competitors may use our licensed and owned technologies in jurisdictions where we have not licensed or obtained patent protection to develop their own products and, further, may export otherwise infringing products to territories where we may obtain or license patent protection, but where patent enforcement is not as strong as that in the United States. These products may compete with our products in jurisdictions where we do not have any issued or licensed patents and any future patent claims or other intellectual property rights may not be effective or sufficient to prevent them from so competing.</w:t>
      </w:r>
    </w:p>
    <w:p>
      <w:pPr>
        <w:spacing w:after="0" w:line="195"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Moreover, our ability to protect and enforce our intellectual property rights may be adversely affected by unforeseen changes in foreign intellectual property laws. Additionally, laws of some countries outside of the United States and Europe do not afford intellectual property protection to the same extent as the laws of the United States and Europe. Many companies have encountered significant problems in protecting and defending intellectual property rights in certain foreign jurisdictions. The legal systems of some countries, including India, China and other developing countries, do not favor the enforcement of patents and other intellectual property rights. This could make it difficult for us to stop the infringement of our patents or the misappropriation of our other intellectual property rights. For example, many foreign countries have compulsory licensing laws under which a patent owner must grant licenses to third parties. Consequently, we may not be able to prevent third parties from practicing our inventions in certain countries outside the United States and Europe.</w:t>
      </w:r>
    </w:p>
    <w:p>
      <w:pPr>
        <w:spacing w:after="0" w:line="194"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Proceedings to enforce our future patent rights, if any, in foreign jurisdictions could result in substantial cost and divert our resources and attention from other aspects of our business. Moreover, such proceedings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meaningful. Furthermore, while we intend to protect our intellectual property rights in major markets for our products, we cannot ensure that we will be able to initiate or maintain similar efforts in all jurisdictions in which we may wish to market our products. Accordingly, our efforts to protect our intellectual property rights in such countries may be inadequate.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7" w:name="page78"/>
    <w:bookmarkEnd w:id="7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b w:val="1"/>
          <w:bCs w:val="1"/>
          <w:i w:val="1"/>
          <w:iCs w:val="1"/>
          <w:color w:val="auto"/>
        </w:rPr>
        <w:t>If we or our partners are sued for infringing intellectual property rights of third parties, it will be costly and time consuming, and an unfavorable outcome in that litigation would have a material adverse effect on our business.</w:t>
      </w:r>
    </w:p>
    <w:p>
      <w:pPr>
        <w:spacing w:after="0" w:line="124"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Our commercial success depends upon our ability and the ability of our collaborators to develop, manufacture, market and sell our drug candidates and use our proprietary technologies without infringing the proprietary rights and intellectual property of third parties. The biotechnology and pharmaceutical industries are characterized by extensive and frequent litigation regarding patents and other intellectual property rights. We may in the future become party to, or threatened with, adversarial proceedings or litigation regarding intellectual property rights with respect to our drug candidates and technology, including interference proceedings before the USPTO.</w:t>
      </w:r>
    </w:p>
    <w:p>
      <w:pPr>
        <w:spacing w:after="0" w:line="178"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Our competitors or other third parties may assert infringement claims against us, alleging that our drugs are covered by their patents. Given the vast number of patents in our field of technology, we cannot be certain that we do not infringe existing patents or that we will not infringe patents that may be granted in the future. Numerous United States and foreign issued patents and pending patent applications, which are owned by third parties, exist in the fields in which we are developing products, some of which may be directed at claims that overlap with the subject matter of our intellectual property. In addition, because patent applications can take many years to issue, there may be currently pending applications, unknown to us, which may later result in issued patents that our product candidates or proprietary technologies may infringe. Similarly, there may be issued patents relevant to our product candidates of which we are not aware. Publications of discoveries in the scientific literature often lag behind the actual discoveries, and patent applications in the United States and other jurisdictions are typically not published until 18 months after a first filing, or in some cases not at all. Therefore, we cannot know with certainty whether we or our licensors were the first to make the inventions claimed in patents or pending patent applications that we own or licensed, or that we or our licensors were the first to file for patent protection of such inventions.</w:t>
      </w:r>
    </w:p>
    <w:p>
      <w:pPr>
        <w:spacing w:after="0" w:line="186"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We are aware of certain patents that may pose issues for our commercialization of our drug candidates. If we decide to initiate proceedings to challenge the validity of these patents in the future, we may be unsuccessful, as courts or patent offices in the United States and abroad could uphold the validity of any such patents. If we were to challenge the validity of any issued United States patent in court, we would need to overcome a statutory presumption of validity that attaches to every United States patent. This means that in order to prevail, we would have to present clear and convincing evidence as to the invalidity of the patent’s claims. If we are unable to do so, we may be forced to delay the launch of ublituximab or launch at the risk of litigation for patent infringement, which may have a material adverse effect on our business and results of operations.</w:t>
      </w:r>
    </w:p>
    <w:p>
      <w:pPr>
        <w:spacing w:after="0" w:line="178"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If a third-party claims that we or any collaborators of ours infringe their intellectual property rights, we may have to defend litigation or administrative proceedings which may be costly whether we win or lose, and which could result in a substantial diversion of our financial and management resources. If we are found to infringe a third party’s intellectual property rights, we could be required to obtain a license from such third party to continue developing and marketing our drug candidates and technology. However, we may not be able to obtain any required license on commercially reasonable terms or at all. Even if we were able to obtain such a license, it could be granted on non-exclusive terms, thereby providing our competitors and other third parties access to the same technologies licensed to us. Without such a license, we could be forced, including by court order, to cease developing and commercializing the infringing technology or drug candidates. In addition, we could be found liable for monetary damages, including treble damages and attorneys fees if we are found to have willfully infringed such third-party patent rights. A finding of infringement could prevent us from commercializing our drug candidates or force us to cease some of our business operations, which could materially harm our business.</w:t>
      </w:r>
    </w:p>
    <w:p>
      <w:pPr>
        <w:spacing w:after="0" w:line="172"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No assurance can be given that patents issued to third parties do not exist, have not been filed, or could not be filed or issued, which contain claims covering its products, technology or methods that may encompass all or a portion of our products and methods. Given the number of patents issued and patent applications filed in our technical areas or fields, we believe there is a risk that third parties may allege they have patent rights encompassing our products or methods.</w:t>
      </w:r>
    </w:p>
    <w:p>
      <w:pPr>
        <w:spacing w:after="0" w:line="157" w:lineRule="exact"/>
        <w:rPr>
          <w:sz w:val="20"/>
          <w:szCs w:val="20"/>
          <w:color w:val="auto"/>
        </w:rPr>
      </w:pPr>
    </w:p>
    <w:p>
      <w:pPr>
        <w:ind w:left="700"/>
        <w:spacing w:after="0"/>
        <w:rPr>
          <w:sz w:val="20"/>
          <w:szCs w:val="20"/>
          <w:color w:val="auto"/>
        </w:rPr>
      </w:pPr>
      <w:r>
        <w:rPr>
          <w:rFonts w:ascii="Arial" w:cs="Arial" w:eastAsia="Arial" w:hAnsi="Arial"/>
          <w:sz w:val="17"/>
          <w:szCs w:val="17"/>
          <w:color w:val="auto"/>
        </w:rPr>
        <w:t>Other product candidates that we may in-license or acquire could be subject to similar risks and uncertainties.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8" w:name="page79"/>
    <w:bookmarkEnd w:id="7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We may need to license certain intellectual property from third parties, and such licenses may not be available or may not be available on commercially reasonable terms.</w:t>
      </w:r>
    </w:p>
    <w:p>
      <w:pPr>
        <w:spacing w:after="0" w:line="170"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A third party may hold intellectual property, including patent rights that are important or necessary to the development and commercialization of our products. It may be necessary for us to use the patented or proprietary technology of third parties to commercialize our products, in which case we would be required to obtain a license from these third parties, whom may or may not be interested in granting such a license, on commercially reasonable terms, or our business could be harmed, possibly materially. For example, we engage extensively with third parties, including academic institutions, to conduct non-clinical and clinical research on our product candidates. While we seek to ensure all material transfer and service agreements governing this research provide us with favorable terms covering newly generated intellectual property, a general principle under which much of this research with academic institutions is conducted provides third-party ownership of newly generated intellectual property, with an exclusive option available for us to obtain a license to such intellectual property. Through the conduct of this research, it is possible that valuable intellectual property could be developed by a third party, which we will then need to license in order to better develop or commercialize our products. No assurance can be given that we will be able to successfully negotiate such a license on commercially reasonable terms, or at all. Further, should we fail to successfully negotiate a license to such intellectual property, most institutions are then free to license such intellectual property to any other third party, including potentially direct competitors of ours. Should we fail to adequately secure a license to any newly generated intellectual property, our ability to successfully develop or commercialize our products may be hindered, possibly materially.</w:t>
      </w:r>
    </w:p>
    <w:p>
      <w:pPr>
        <w:spacing w:after="0" w:line="1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which could be expensive, time consuming and unsuccessful.</w:t>
      </w:r>
    </w:p>
    <w:p>
      <w:pPr>
        <w:spacing w:after="0" w:line="170"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Competitors may infringe our patents or the patents of our licensors. To counter infringement or unauthorized use, we may be required to file infringement claims, which typically are very expensive, time-consuming and disruptive of day-to-day business operations. Any claims we assert against accused infringers could provoke these parties to assert counterclaims against us alleging invalidity of our or certain of our subsidiaries patents or that we infringe their patents; or provoke those parties to petition the USPTO to institute inter parties review against the asserted patents, which may lead to a finding that all or some of the claims of the patent are invalid. In addition, in an infringement proceeding, a court may decide that a patent of ours or our licensors is not valid or is unenforceable, or may refuse to stop the other party from using the technology at issue on the grounds that our patents do not cover the technology in question. An adverse result in any litigation or defense proceedings could put one or more of our pending patents at risk of being invalidated, held unenforceable, or interpreted narrowly.</w:t>
      </w:r>
    </w:p>
    <w:p>
      <w:pPr>
        <w:spacing w:after="0" w:line="185"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In patent litigation in the United States, defendant counterclaims challenging the validity, enforceability or scope of asserted patents are commonplace. In addition, third parties may initiate legal proceedings against us to assert such challenges to our intellectual property rights. The outcome of any such proceeding is generally unpredictable. Grounds for a validity challenge could be an alleged failure to meet any of several statutory requirements, including lack of novelty, obviousness or non-enablement. Patents may be unenforceable if someone connected with prosecution of the patent withheld relevant information from the USPTO or made a misleading statement during prosecution. It is possible that prior art of which we and the patent examiner were unaware during prosecution exists, which could render our patents invalid. Moreover, it is also possible that prior art may exist that we are aware of but do not believe is relevant to our current or future patents, but that could nevertheless be determined to render our patents invalid.</w:t>
      </w:r>
    </w:p>
    <w:p>
      <w:pPr>
        <w:spacing w:after="0" w:line="166"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Competing drugs may also be sold in other countries in which our patent coverage might not exist or be as strong. If we lose a foreign patent lawsuit, alleging our infringement of a competitor’s patents, we could be prevented from marketing our drugs in one or more foreign countries. Any of these outcomes would have a materially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9" w:name="page80"/>
    <w:bookmarkEnd w:id="7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In addition, because of the substantial amount of discovery required in connection with intellectual property litigation, there is a risk that some of our confidential information could be compromised by disclosure during this type of litigation. Furthermore, adverse results on United States patents may affect related patents in our global portfolio. The adverse result could also put related pending patent applications at risk of not issuing. Additionally,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64"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Interference proceedings provoked by third parties or brought by the USPTO may be necessary to determine the priority of inventions with respect to our patents or pending patent applications or those of our collaborators or licensors. An unfavorable outcome could require us to cease using the related technology or to attempt to license rights to it from the prevailing party. The costs of these proceedings could be substantial. As a result, the issuance, scope, validity, enforceability and commercial value of our or any of our respective licensors patent rights are highly uncertain. Our business could be harmed if the prevailing party does not offer us a license on commercially reasonable terms. Litigation or interference proceedings may fail and, even if successful, may result in substantial costs and distract our management and other employees. We may not be able to prevent, alone or with our licensors, misappropriation of our trade secrets or confidential information, particularly in countries where the laws may not protect those rights as fully as in the United States.</w:t>
      </w:r>
    </w:p>
    <w:p>
      <w:pPr>
        <w:spacing w:after="0" w:line="194"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 material adverse effect on our ability to compete in the marketplace.</w:t>
      </w:r>
    </w:p>
    <w:p>
      <w:pPr>
        <w:spacing w:after="0" w:line="164"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may be harmed.</w:t>
      </w:r>
    </w:p>
    <w:p>
      <w:pPr>
        <w:spacing w:after="0" w:line="170"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In addition to the protection afforded by patents, we rely upon unpatented trade secret protection, unpatented know-how and continuing technological innovation to develop and maintain our competitive position. With respect to the building of our proprietary compound library, we consider trade secrets and know-how to be our primary intellectual property. We seek to protect our proprietary technology and processes, in part, by entering into confidentiality agreements with our collaborators, scientific advisors, employees and consultants, and invention assignment agreements with our consultants and employees. We may not be able to prevent the unauthorized disclosure or use of our technical know-how or other trade secrets by the parties to these agreements, however, despite the existence generally of confidentiality agreements and other contractual restrictions. Monitoring unauthorized uses and disclosures is difficult, and we do not know whether the steps we have taken to protect our proprietary technologies will be effective. If any of the collaborators, scientific advisors, employees and consultants who are parties to these agreements breaches or violates the terms of any of these agreements, we may not have adequate remedies for any such breach or violation, and we could lose our trade secrets as a result. Enforcing a claim that a third party illegally obtained and is using our trade secrets, like patent litigation, is expensive and time-consuming, and the outcome is unpredictable. In addition, courts outside the United States are sometimes less willing to protect trade secrets.</w:t>
      </w:r>
    </w:p>
    <w:p>
      <w:pPr>
        <w:spacing w:after="0" w:line="390"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Our trade secrets could otherwise become known or be independently discovered by our competitors. Competitors could purchase our drug candidates and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If any of our trade secrets were to be lawfully obtained or independently developed by a competitor, we would have no right to prevent them, or those to whom they communicate it, from using that technology or information to compete with us. If our trade secrets are not adequately protected so as to protect our market against competitors’ drugs, our competitive position could be adversely affected, as could our business.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0" w:name="page81"/>
    <w:bookmarkEnd w:id="8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We may be subject to damages resulting from claims that we or our employees have wrongfully used or disclosed alleged trade secrets of our competitors or are in breach of non-competition or non-solicitation agreements with our competitors.</w:t>
      </w:r>
    </w:p>
    <w:p>
      <w:pPr>
        <w:spacing w:after="0" w:line="184"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We could in the future be subject to claims that we or our employees have inadvertently or otherwise used or disclosed alleged trade secrets or other proprietary information of former employers or competitors. Although we try to ensure that our employees and consultants do not use the intellectual property, proprietary information, know-how or trade secrets of others in their work for us, we may in the future be subject to claims that we caused an employee to breach the terms of his or her non-competition or non-solicitation agreement, or that we or these individuals have, inadvertently or otherwise, used or disclosed the alleged trade secrets or other proprietary information of a former employer or competitor. Litigation may be necessary to defend against these claims. Even if we are successful in defending against these claims, litigation could result in substantial costs and could be a distraction to management. If our defenses to these claims fail, in addition to requiring us to pay monetary damages, a court could prohibit us from using technologies or features that are essential to our drug candidates, if such technologies or features are found to incorporate or be derived from the trade secrets or other proprietary information of the former employers. An inability to incorporate such technologies or features would have a material adverse effect on our business and may prevent us from successfully commercializing our drug candidates. In addition, we may lose valuable intellectual property rights or personnel as a result of such claims. Moreover, any such litigation or the threat thereof may adversely affect our ability to hire employees or contract with independent sales representatives. A loss of key personnel or their work product could hamper or prevent our ability to commercialize our drug candidates, which would have an adverse effect on our business, results of operations and financial condition.</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Risks Related to Employee Matters, Managing Growth and Other Risks Related to Our Business</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If we fail to attract and keep key management and clinical development personnel, we may be unable to successfully develop or commercialize our product candidates.</w:t>
      </w:r>
    </w:p>
    <w:p>
      <w:pPr>
        <w:spacing w:after="0" w:line="170"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We are highly dependent on the research and development, clinical, business development, financial and legal expertise of our senior management team as well as the other principal members of our management, scientific and clinical team. Although we have entered into an employment agreement with our chief executive officer and employment letters with our senior managers, each of our executive officers may terminate their employment with us at any time. We do not maintain key person insurance for any of our executives or other employees.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66"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We expect to continue hiring qualified development personnel. Recruiting and retaining qualified scientific, clinical, manufacturing and sales and marketing personnel will be critical to our success. The loss of the services of our chief executive officer or other key employees could impede the achievement of our research, development and commercialization objectives and seriously harm our ability to successfully implement our business strategy. Furthermore, replacing key employees may be difficult and may take an extended period of time because of the limited number of individuals in our industry with the breadth of skills and experience required to successfully develop, gain regulatory approval of and commercialize drugs. Competition to hire from this limited pool is intense, and we may be unable to hire, train, retain or motivate these key personnel on acceptable terms given the competition among numerous pharmaceutical and biotechnology companies for similar personnel. Failure to succeed in clinical trials may make it more challenging to recruit and retain qualified medical and scientific personnel. If we are not able to attract and retain the necessary personnel to accomplish our business objectives, we may experience constraints that will impede significantly the achievement of our development objectives, our ability to raise additional capital, and our ability to implement our business strategy.</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1" w:name="page82"/>
    <w:bookmarkEnd w:id="8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We will need to develop and expand our business, and we may encounter difficulties in managing this development and expansion, which could disrupt our operations.</w:t>
      </w:r>
    </w:p>
    <w:p>
      <w:pPr>
        <w:spacing w:after="0" w:line="170"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As of August 5, 2020, we had 176 full-time employees, and we expect to continue to increase our number of employees and expand the scope of our operations. Our management and medical, commercial, and scientific personnel, systems and facilities currently in place will not be adequate to support our anticipated future growth. To manage our anticipated future growth, we must continue to implement and improve our managerial, operational and financial systems, expand our facilities and continue to recruit and train additional qualified personnel. Also, our management may need to divert a disproportionate amount of its attention away from its day-to-day activities and devote a substantial amount of time to managing these development activities. Due to our limited resources, we may not be able to effectively manage the expansion of our operations or recruit and train additional qualified personnel. This may result in weaknesses in our infrastructure, give rise to operational mistakes, loss of business opportunities, loss of employees and reduced productivity among remaining employees. To accommodate growth, additional physical expansion of our operations in the future may lead to significant costs, including capital expenditures, and may divert financial resources from other projects, such as the development of our drug candidates. If our management is unable to effectively manage our expected development and expansion, our expenses may increase more than expected, our ability to generate or increase our revenue could be reduced and we may not be able to implement our business strategy. Our future financial performance and our ability to commercialize our drug candidates, if approved, and compete effectively will depend, in part, on our ability to effectively manage the future development and expansion of our business.</w:t>
      </w:r>
    </w:p>
    <w:p>
      <w:pPr>
        <w:spacing w:after="0" w:line="176"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Additionally, to help manage the expanding needs, we may utilize the services of outside vendors or consultants to perform tasks including clinical trial management, statistics and analysis, regulatory affairs, formulation development, chemistry, manufacturing, controls, and other pharmaceutical development functions. Our growth strategy may also entail expanding our group of contractors or consultants to implement these tasks going forward. Because we rely on a substantial number of consultants, effectively outsourcing many key functions of our business, we will need to be able to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clinical trials may be extended, delayed or terminated, and we may not be able to obtain regulatory approval for our product candidates or otherwise advance our business. There can be no assurance that we will be able to manage our existing consultants or find other competent outside contractors and consultants on economically reasonable terms, or at all. If we are not able to effectively expand our organization by hiring new employees and expanding our groups of consultants and contractors, we may be unable to successfully implement the tasks necessary to further develop and commercialize our product candidates and, accordingly, may not achieve our research, development and commercialization goals.</w:t>
      </w:r>
    </w:p>
    <w:p>
      <w:pPr>
        <w:spacing w:after="0" w:line="171"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Unfavorable global economic conditions could adversely affect our business, financial condition or results of operations.</w:t>
      </w:r>
    </w:p>
    <w:p>
      <w:pPr>
        <w:spacing w:after="0" w:line="170"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Our results of operations could be adversely affected by general conditions in the global economy and in the global financial markets. For example, the COVID-19 pandemic has caused extreme volatility and disruptions in the capital and credit markets. A severe or prolonged economic downturn could result in a variety of risks to our business, including, weakened demand for our drug candidates and our ability to raise additional capital when needed on acceptable terms, if at all. A weak or declining economy could also strain our suppliers, possibly resulting in supply disruption, or cause our customers to delay making payments for our services.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2" w:name="page83"/>
    <w:bookmarkEnd w:id="8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On January 31, 2019 (Brexit Day), the United Kingdom formally left the European Union. Although Brexit has already and may continue to adversely affect European and/or worldwide economic or market, political or regulatory conditions and may contribute to instability in the global financial markets, political institutions and regulatory agencies, the resulting immediate changes in foreign currency exchange rates have had a limited overall impact due to natural hedging. The long-term impact of Brexit, including on our business and our industry, will depend on the terms that are negotiated in relation to the United Kingdom’s future relationship with the European Union during the transition period which began on Brexit Day and is currently set to end on December 31, 2020. We are closely monitoring the Brexit developments in order to determine, quantify and proactively address changes as they become clear. Despite the Brexit developments, we do not expect macroeconomic conditions to have a significant impact on our liquidity needs, financial condition or results of operations.</w:t>
      </w:r>
    </w:p>
    <w:p>
      <w:pPr>
        <w:spacing w:after="0" w:line="172" w:lineRule="exact"/>
        <w:rPr>
          <w:sz w:val="20"/>
          <w:szCs w:val="20"/>
          <w:color w:val="auto"/>
        </w:rPr>
      </w:pPr>
    </w:p>
    <w:p>
      <w:pPr>
        <w:jc w:val="both"/>
        <w:ind w:left="60" w:right="79"/>
        <w:spacing w:after="0" w:line="343" w:lineRule="auto"/>
        <w:rPr>
          <w:sz w:val="20"/>
          <w:szCs w:val="20"/>
          <w:color w:val="auto"/>
        </w:rPr>
      </w:pPr>
      <w:r>
        <w:rPr>
          <w:rFonts w:ascii="Arial" w:cs="Arial" w:eastAsia="Arial" w:hAnsi="Arial"/>
          <w:sz w:val="15"/>
          <w:szCs w:val="15"/>
          <w:b w:val="1"/>
          <w:bCs w:val="1"/>
          <w:i w:val="1"/>
          <w:iCs w:val="1"/>
          <w:color w:val="auto"/>
        </w:rPr>
        <w:t>Our internal computer systems, or those of our third-party CROs, CMOs, or other contractors or consultants, may fail or suffer security breaches, which could result in a material disruption of our drug candidates’ development programs.</w:t>
      </w:r>
    </w:p>
    <w:p>
      <w:pPr>
        <w:spacing w:after="0" w:line="74" w:lineRule="exact"/>
        <w:rPr>
          <w:sz w:val="20"/>
          <w:szCs w:val="20"/>
          <w:color w:val="auto"/>
        </w:rPr>
      </w:pPr>
    </w:p>
    <w:p>
      <w:pPr>
        <w:jc w:val="both"/>
        <w:ind w:left="60" w:right="59" w:firstLine="648"/>
        <w:spacing w:after="0" w:line="235" w:lineRule="auto"/>
        <w:rPr>
          <w:sz w:val="20"/>
          <w:szCs w:val="20"/>
          <w:color w:val="auto"/>
        </w:rPr>
      </w:pPr>
      <w:r>
        <w:rPr>
          <w:rFonts w:ascii="Arial" w:cs="Arial" w:eastAsia="Arial" w:hAnsi="Arial"/>
          <w:sz w:val="17"/>
          <w:szCs w:val="17"/>
          <w:color w:val="auto"/>
        </w:rPr>
        <w:t>Despite the implementation of security measures, our internal computer systems and those of our third-party CROs, CMOs, and other contractors and consultants are vulnerable to damage from computer viruses, unauthorized access, natural disasters, terrorism, war and telecommunication and electrical failures. While we have not experienced any such system failure, accident, or security breach to date, if such an event were to occur and cause interruptions in our operations, it could result in a material disruption of our programs. For example, the loss of clinical trial data for our drug candidates could result in delays in our regulatory approval efforts and significantly increase our costs to recover or reproduce the data. Furthermore, in preparing for potential commercialization of our first drug candidate, we anticipate that our computer systems will increase in magnitude and complexity. Building the systems and infrastructure required for commercialization with appropriate security measures may be time consuming and costly. In addition, there can be no assurance that our efforts will prevent breakdowns or breaches in our systems. To the extent that any disruption or security breach results in a loss of or damage to our data or applications or other data or applications relating to our technology or drug candidates, or inappropriate disclosure of confidential or proprietary information, we could incur financial, legal, business or reputational harm.</w:t>
      </w:r>
    </w:p>
    <w:p>
      <w:pPr>
        <w:spacing w:after="0" w:line="158"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b w:val="1"/>
          <w:bCs w:val="1"/>
          <w:i w:val="1"/>
          <w:iCs w:val="1"/>
          <w:color w:val="auto"/>
        </w:rPr>
        <w:t>Our employees, principal investigators, CROs, CMOs and consultants may engage in misconduct or other improper activities, including non-compliance with regulatory standards and requirements and insider trading, which could have a material adverse effect on our business.</w:t>
      </w:r>
    </w:p>
    <w:p>
      <w:pPr>
        <w:spacing w:after="0" w:line="148" w:lineRule="exact"/>
        <w:rPr>
          <w:sz w:val="20"/>
          <w:szCs w:val="20"/>
          <w:color w:val="auto"/>
        </w:rPr>
      </w:pPr>
    </w:p>
    <w:p>
      <w:pPr>
        <w:jc w:val="both"/>
        <w:ind w:left="60" w:right="59" w:firstLine="648"/>
        <w:spacing w:after="0" w:line="249" w:lineRule="auto"/>
        <w:rPr>
          <w:sz w:val="20"/>
          <w:szCs w:val="20"/>
          <w:color w:val="auto"/>
        </w:rPr>
      </w:pPr>
      <w:r>
        <w:rPr>
          <w:rFonts w:ascii="Arial" w:cs="Arial" w:eastAsia="Arial" w:hAnsi="Arial"/>
          <w:sz w:val="16"/>
          <w:szCs w:val="16"/>
          <w:color w:val="auto"/>
        </w:rPr>
        <w:t>We are exposed to the risk that our employees, principal investigators, CROs, CMOs, and consultants may engage in fraudulent conduct or other illegal activity. Misconduct by these parties could include intentional failures to comply with FDA regulations, provide accurate information to the FDA, comply with manufacturing standards we have established, comply with federal and state healthcare fraud and abuse laws and regulations,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pre-clinical studies or clinical trials, which could result in regulatory sanctions and cause serious harm to our reputation. We have adopted a code of ethics applicable to all of our employees,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In addition, we are subject to the risk that a person could allege such fraud or other misconduct, even if none occurred. If any such actions are instituted against us, regardless of the outcome, our reputation and our business may suffer. If we are not successful in defending ourselves or asserting our rights, those actions could lead to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3" w:name="page84"/>
    <w:bookmarkEnd w:id="8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b w:val="1"/>
          <w:bCs w:val="1"/>
          <w:i w:val="1"/>
          <w:iCs w:val="1"/>
          <w:color w:val="auto"/>
        </w:rPr>
        <w:t>We may acquire businesses or drugs, or form strategic alliances, in the future, and we may not realize the benefits of such acquisitions.</w:t>
      </w:r>
    </w:p>
    <w:p>
      <w:pPr>
        <w:spacing w:after="0" w:line="143"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7"/>
          <w:szCs w:val="17"/>
          <w:color w:val="auto"/>
        </w:rPr>
        <w:t>We may acquire additional businesses or drugs,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drugs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5"/>
          <w:szCs w:val="15"/>
          <w:b w:val="1"/>
          <w:bCs w:val="1"/>
          <w:i w:val="1"/>
          <w:iCs w:val="1"/>
          <w:color w:val="auto"/>
        </w:rPr>
        <w:t>We may be subject to adverse legislative or regulatory tax changes that could negatively impact our financial condition.</w:t>
      </w:r>
    </w:p>
    <w:p>
      <w:pPr>
        <w:spacing w:after="0" w:line="206" w:lineRule="exact"/>
        <w:rPr>
          <w:sz w:val="20"/>
          <w:szCs w:val="20"/>
          <w:color w:val="auto"/>
        </w:rPr>
      </w:pPr>
    </w:p>
    <w:p>
      <w:pPr>
        <w:jc w:val="both"/>
        <w:ind w:left="60" w:right="59" w:firstLine="648"/>
        <w:spacing w:after="0" w:line="225" w:lineRule="auto"/>
        <w:rPr>
          <w:sz w:val="20"/>
          <w:szCs w:val="20"/>
          <w:color w:val="auto"/>
        </w:rPr>
      </w:pPr>
      <w:r>
        <w:rPr>
          <w:rFonts w:ascii="Arial" w:cs="Arial" w:eastAsia="Arial" w:hAnsi="Arial"/>
          <w:sz w:val="18"/>
          <w:szCs w:val="18"/>
          <w:color w:val="auto"/>
        </w:rPr>
        <w:t>The rules dealing with U.S. federal, state and local income taxation are constantly under review by persons involved in the legislative process and by the IRS and the U.S. Treasury Department. Changes to tax laws (which changes may have retroactive application) could adversely affect our stockholders or us. In recent years, many such changes have been made and changes are likely to continue to occur in the future. We cannot predict whether, when, in what form, or with what effective dates, tax laws, regulations and rulings may be enacted, promulgated or decided, which could result in an increase in our, or our stockholders, tax liability or require changes in the manner in which we operate in order to minimize increases in our tax liability.</w:t>
      </w:r>
    </w:p>
    <w:p>
      <w:pPr>
        <w:spacing w:after="0" w:line="154" w:lineRule="exact"/>
        <w:rPr>
          <w:sz w:val="20"/>
          <w:szCs w:val="20"/>
          <w:color w:val="auto"/>
        </w:rPr>
      </w:pPr>
    </w:p>
    <w:p>
      <w:pPr>
        <w:jc w:val="both"/>
        <w:ind w:left="60" w:right="59" w:firstLine="648"/>
        <w:spacing w:after="0" w:line="251" w:lineRule="auto"/>
        <w:rPr>
          <w:sz w:val="20"/>
          <w:szCs w:val="20"/>
          <w:color w:val="auto"/>
        </w:rPr>
      </w:pPr>
      <w:r>
        <w:rPr>
          <w:rFonts w:ascii="Arial" w:cs="Arial" w:eastAsia="Arial" w:hAnsi="Arial"/>
          <w:sz w:val="16"/>
          <w:szCs w:val="16"/>
          <w:color w:val="auto"/>
        </w:rPr>
        <w:t>On December 22, 2017, legislation commonly referred to as the Tax Act was signed into law and is generally effective after December 31, 2017. The Tax Act makes significant changes to the United States federal income tax rules for taxation of individuals and business entities. Most of the changes applicable to individuals are temporary and apply only to taxable years beginning after December 31, 2017 and before January 1, 2026. For corporations, the Tax Act reduces the top corporate income tax rate to 21% and repeals the corporate alternative minimum tax, limits the deduction for net interest expense, limits the deduction for net operating losses and eliminates net operating loss carrybacks, modifies or repeals many business deductions and credits, shifts the United States toward a more territorial tax system, and imposes new taxes to combat erosion of the U.S. federal income tax base. The Tax Act makes numerous other large and small changes to the federal income tax rules that may affect potential investors and may directly or indirectly affect us. We continue to examine the impact this tax reform legislation may have on our business. However, the effect of the Tax Act on us, whether adverse or favorable, is uncertain, and may not become evident for some period of time. This document does not discuss such legislation or the manner in which it might affect us or purchasers of our common stock. Prospective investors are urged to consult with their legal and tax advisors with respect to the Tax Act and any other regulatory or administrative developments and proposals, and their potential effects on them based on their unique circumstances.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Risks Related to Our Common Stock and Being a Publicly-Traded Company</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Our stock price is, and we expect it to remain, volatile, which could limit investors ability to sell stock at a profit.</w:t>
      </w:r>
    </w:p>
    <w:p>
      <w:pPr>
        <w:spacing w:after="0" w:line="235" w:lineRule="exact"/>
        <w:rPr>
          <w:sz w:val="20"/>
          <w:szCs w:val="20"/>
          <w:color w:val="auto"/>
        </w:rPr>
      </w:pPr>
    </w:p>
    <w:p>
      <w:pPr>
        <w:jc w:val="both"/>
        <w:ind w:left="60" w:right="59" w:firstLine="648"/>
        <w:spacing w:after="0" w:line="308" w:lineRule="auto"/>
        <w:rPr>
          <w:sz w:val="20"/>
          <w:szCs w:val="20"/>
          <w:color w:val="auto"/>
        </w:rPr>
      </w:pPr>
      <w:r>
        <w:rPr>
          <w:rFonts w:ascii="Arial" w:cs="Arial" w:eastAsia="Arial" w:hAnsi="Arial"/>
          <w:sz w:val="17"/>
          <w:szCs w:val="17"/>
          <w:color w:val="auto"/>
        </w:rPr>
        <w:t>The trading price of our common stock has been and is likely to continue to be highly volatile and subject to wide fluctuations in price in response to various factors, many of which are beyond our control. These factors include:</w:t>
      </w:r>
    </w:p>
    <w:p>
      <w:pPr>
        <w:spacing w:after="0" w:line="133" w:lineRule="exact"/>
        <w:rPr>
          <w:sz w:val="20"/>
          <w:szCs w:val="20"/>
          <w:color w:val="auto"/>
        </w:rPr>
      </w:pPr>
    </w:p>
    <w:p>
      <w:pPr>
        <w:ind w:left="1040" w:right="79" w:hanging="315"/>
        <w:spacing w:after="0" w:line="228"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publicity regarding actual or potential clinical results relating to products under development by our competitors or us;</w:t>
      </w:r>
    </w:p>
    <w:p>
      <w:pPr>
        <w:ind w:left="1040" w:right="79" w:hanging="315"/>
        <w:spacing w:after="0" w:line="219"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delay or failure in initiating, completing or analyzing nonclinical or clinical trials or the unsatisfactory design or results of these trials;</w:t>
      </w:r>
    </w:p>
    <w:p>
      <w:pPr>
        <w:ind w:left="1040" w:hanging="315"/>
        <w:spacing w:after="0" w:line="219"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achievement or rejection of regulatory approvals by our competitors or us;</w:t>
      </w:r>
    </w:p>
    <w:p>
      <w:pPr>
        <w:ind w:left="1040" w:hanging="315"/>
        <w:spacing w:after="0" w:line="219"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announcements of technological innovations or new commercial products by our competitors or us;</w:t>
      </w:r>
    </w:p>
    <w:p>
      <w:pPr>
        <w:ind w:left="1040" w:hanging="315"/>
        <w:spacing w:after="0" w:line="219"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developments concerning proprietary rights, including patents;</w:t>
      </w:r>
    </w:p>
    <w:p>
      <w:pPr>
        <w:ind w:left="1040" w:hanging="315"/>
        <w:spacing w:after="0" w:line="219"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developments concerning our collaborations;</w:t>
      </w:r>
    </w:p>
    <w:p>
      <w:pPr>
        <w:ind w:left="1040" w:hanging="315"/>
        <w:spacing w:after="0" w:line="219"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ind w:left="1040" w:right="79" w:hanging="315"/>
        <w:spacing w:after="0" w:line="219"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economic or other crises and other external factors such as the disruptions in the global economy caused by the COVID-19 pandemic;</w:t>
      </w:r>
    </w:p>
    <w:p>
      <w:pPr>
        <w:ind w:left="1040" w:hanging="315"/>
        <w:spacing w:after="0" w:line="219"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period-to-period fluctuations in our revenues and other results of operations;</w:t>
      </w:r>
    </w:p>
    <w:p>
      <w:pPr>
        <w:ind w:left="1040" w:hanging="315"/>
        <w:spacing w:after="0" w:line="219"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 and</w:t>
      </w:r>
    </w:p>
    <w:p>
      <w:pPr>
        <w:ind w:left="1040" w:hanging="315"/>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sales of our common stock by us.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4" w:name="page85"/>
    <w:bookmarkEnd w:id="8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60" w:right="59" w:firstLine="648"/>
        <w:spacing w:after="0" w:line="246" w:lineRule="auto"/>
        <w:rPr>
          <w:sz w:val="20"/>
          <w:szCs w:val="20"/>
          <w:color w:val="auto"/>
        </w:rPr>
      </w:pPr>
      <w:r>
        <w:rPr>
          <w:rFonts w:ascii="Arial" w:cs="Arial" w:eastAsia="Arial" w:hAnsi="Arial"/>
          <w:sz w:val="18"/>
          <w:szCs w:val="18"/>
          <w:color w:val="auto"/>
        </w:rPr>
        <w:t>We will not be able to control many of these factors, and we believe that period-to-period comparisons of our financial results will not necessarily be indicative of our future performance.</w:t>
      </w:r>
    </w:p>
    <w:p>
      <w:pPr>
        <w:spacing w:after="0" w:line="143" w:lineRule="exact"/>
        <w:rPr>
          <w:sz w:val="20"/>
          <w:szCs w:val="20"/>
          <w:color w:val="auto"/>
        </w:rPr>
      </w:pPr>
    </w:p>
    <w:p>
      <w:pPr>
        <w:jc w:val="both"/>
        <w:ind w:left="60" w:right="59" w:firstLine="648"/>
        <w:spacing w:after="0" w:line="231" w:lineRule="auto"/>
        <w:rPr>
          <w:sz w:val="20"/>
          <w:szCs w:val="20"/>
          <w:color w:val="auto"/>
        </w:rPr>
      </w:pPr>
      <w:r>
        <w:rPr>
          <w:rFonts w:ascii="Arial" w:cs="Arial" w:eastAsia="Arial" w:hAnsi="Arial"/>
          <w:sz w:val="18"/>
          <w:szCs w:val="18"/>
          <w:color w:val="auto"/>
        </w:rPr>
        <w:t>In addition, the stock market in general, and the market for biotechnology companies in particular, has experienced extreme price and volume fluctuations that may have been unrelated or disproportionate to the operating performance of individual companies. These broad market and industry factors may seriously harm the market price of our common stock, regardless of our operating performance.</w:t>
      </w:r>
    </w:p>
    <w:p>
      <w:pPr>
        <w:spacing w:after="0" w:line="148" w:lineRule="exact"/>
        <w:rPr>
          <w:sz w:val="20"/>
          <w:szCs w:val="20"/>
          <w:color w:val="auto"/>
        </w:rPr>
      </w:pPr>
    </w:p>
    <w:p>
      <w:pPr>
        <w:jc w:val="both"/>
        <w:ind w:left="60" w:right="79"/>
        <w:spacing w:after="0" w:line="274" w:lineRule="auto"/>
        <w:rPr>
          <w:sz w:val="20"/>
          <w:szCs w:val="20"/>
          <w:color w:val="auto"/>
        </w:rPr>
      </w:pPr>
      <w:r>
        <w:rPr>
          <w:rFonts w:ascii="Arial" w:cs="Arial" w:eastAsia="Arial" w:hAnsi="Arial"/>
          <w:sz w:val="17"/>
          <w:szCs w:val="17"/>
          <w:b w:val="1"/>
          <w:bCs w:val="1"/>
          <w:i w:val="1"/>
          <w:iCs w:val="1"/>
          <w:color w:val="auto"/>
        </w:rPr>
        <w:t>Our executive officers, directors, principal stockholders and their affiliates maintain the ability to exercise significant influence over our company and all matters submitted to stockholders for approval.</w:t>
      </w:r>
    </w:p>
    <w:p>
      <w:pPr>
        <w:spacing w:after="0" w:line="121" w:lineRule="exact"/>
        <w:rPr>
          <w:sz w:val="20"/>
          <w:szCs w:val="20"/>
          <w:color w:val="auto"/>
        </w:rPr>
      </w:pPr>
    </w:p>
    <w:p>
      <w:pPr>
        <w:jc w:val="both"/>
        <w:ind w:left="60" w:right="59" w:firstLine="648"/>
        <w:spacing w:after="0" w:line="256" w:lineRule="auto"/>
        <w:rPr>
          <w:sz w:val="20"/>
          <w:szCs w:val="20"/>
          <w:color w:val="auto"/>
        </w:rPr>
      </w:pPr>
      <w:r>
        <w:rPr>
          <w:rFonts w:ascii="Arial" w:cs="Arial" w:eastAsia="Arial" w:hAnsi="Arial"/>
          <w:sz w:val="16"/>
          <w:szCs w:val="16"/>
          <w:color w:val="auto"/>
        </w:rPr>
        <w:t>Our executive officers, directors and stockholders who own more than 5% of our outstanding common stock, together with their affiliates and related persons, beneficially own shares of common stock representing a significant percentage of our capital stock. As a result, if these stockholders were to choose to act together, they would be able to influence our management and affairs and the outcome of matters submitted to our stockholders for approval, including the election of directors and any sale, merger, consolidation, or sale of all or substantially all of our assets. This concentration of voting power could delay or prevent an acquisition of our company on terms that other stockholders may desire. In addition, this concentration of ownership might adversely affect the market price of our common stock by:</w:t>
      </w:r>
    </w:p>
    <w:p>
      <w:pPr>
        <w:spacing w:after="0" w:line="152" w:lineRule="exact"/>
        <w:rPr>
          <w:sz w:val="20"/>
          <w:szCs w:val="20"/>
          <w:color w:val="auto"/>
        </w:rPr>
      </w:pPr>
    </w:p>
    <w:p>
      <w:pPr>
        <w:ind w:left="1040" w:hanging="315"/>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delaying, deferring or preventing a change of control of us;</w:t>
      </w:r>
    </w:p>
    <w:p>
      <w:pPr>
        <w:spacing w:after="0" w:line="23" w:lineRule="exact"/>
        <w:rPr>
          <w:rFonts w:ascii="Arial" w:cs="Arial" w:eastAsia="Arial" w:hAnsi="Arial"/>
          <w:sz w:val="18"/>
          <w:szCs w:val="18"/>
          <w:color w:val="auto"/>
        </w:rPr>
      </w:pPr>
    </w:p>
    <w:p>
      <w:pPr>
        <w:ind w:left="1040" w:hanging="315"/>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us; or</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discouraging a potential acquirer from making a tender offer or otherwise attempting to obtain control of us.</w:t>
      </w:r>
    </w:p>
    <w:p>
      <w:pPr>
        <w:spacing w:after="0" w:line="234"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the sole source of gain for our stockholders.</w:t>
      </w:r>
    </w:p>
    <w:p>
      <w:pPr>
        <w:spacing w:after="0" w:line="170"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We have never declared or paid cash dividends on our capital stock. We currently intend to retain all of our future earnings, if any, to finance the growth and development of our business. In addition, under the Loan Agreement, we are currently restricted from paying cash dividends, and we expect these restrictions to continue in the future. In addition, the terms of any future debt agreements may continue to preclude us from paying dividends. As a result, capital appreciation, if any, of our common stock will be the sole source of gain for our stockholders for the foreseeable future.</w:t>
      </w:r>
    </w:p>
    <w:p>
      <w:pPr>
        <w:spacing w:after="0" w:line="161"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b w:val="1"/>
          <w:bCs w:val="1"/>
          <w:i w:val="1"/>
          <w:iCs w:val="1"/>
          <w:color w:val="auto"/>
        </w:rPr>
        <w:t>Certain anti-takeover provisions in our charter documents and Delaware law could make a third-party acquisition of us difficult. This could limit the price investors might be willing to pay in the future for our common stock.</w:t>
      </w:r>
    </w:p>
    <w:p>
      <w:pPr>
        <w:spacing w:after="0" w:line="124"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Provisions in our amended and restated certificate of incorporation and restated bylaws could have the effect of making it more difficult for a third party to acquire, or of discouraging a third party from attempting to acquire or control us. These factors could limit the price that certain investors might be willing to pay in the future for shares of our common stock. Our amended and restated certificate of incorporation allows us to issue preferred stock without the approval of our stockholders. The issuance of preferred stock could decrease the amount of earnings and assets available for distribution to the holders of our common stock or could adversely affect the rights and powers, including voting rights, of such holders. In certain circumstances, such issuance could have the effect of decreasing the market price of our common stock. Our restated bylaws eliminate the right of stockholders to call a special meeting of stockholders, which could make it more difficult for stockholders to effect certain corporate actions. Any of these provisions could also have the effect of delaying or preventing a change in control.</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5" w:name="page86"/>
    <w:bookmarkEnd w:id="8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On July 18, 2014, the Board of Directors declared a distribution of one right for each outstanding share of common stock. The rights may have certain anti-takeover effects. The rights will cause substantial dilution to a person or group that attempts to acquire us on terms not approved by the Board of Directors unless the offer is conditioned on a substantial number of rights being acquired. However, the rights should not interfere with any merger, statutory share exchange or other business combination approved by the Board of Directors since the rights may be terminated by us upon resolution of the Board of Directors. Thus, the rights are intended to encourage persons who may seek to acquire control of the Company to initiate such an acquisition through negotiations with the Board of Directors. However, the effect of the rights may be to discourage a third party from making a partial tender offer or otherwise attempting to obtain a substantial equity position in the equity securities of, or seeking to obtain control of, the Company. To the extent any potential acquirers are deterred by the rights, the rights may have the effect of preserving incumbent management in office.</w:t>
      </w:r>
    </w:p>
    <w:p>
      <w:pPr>
        <w:spacing w:after="0" w:line="16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An active trading market for our common stock may not be sustained, and investors may not be able to resell their shares at or above the price they paid.</w:t>
      </w:r>
    </w:p>
    <w:p>
      <w:pPr>
        <w:spacing w:after="0" w:line="170"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Although we have listed our common stock on the Nasdaq Capital Market, an active trading market for our shares may not be sustained. In the absence of an active trading market for our common stock, investors may not be able to sell their common stock at or above the price at which they acquired their shares or at the time that they would like to sell. An inactive trading market may also impair our ability to raise capital to continue to fund operations by selling shares and may impair our ability to acquire other companies or technologies by using our shares as consideration.</w:t>
      </w:r>
    </w:p>
    <w:p>
      <w:pPr>
        <w:spacing w:after="0" w:line="161"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If equity research analysts do not publish research or reports about our business or if they publish negative evaluations of or downgrade our common stock, the price of our common stock could decline.</w:t>
      </w:r>
    </w:p>
    <w:p>
      <w:pPr>
        <w:spacing w:after="0" w:line="170"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The trading market for our common stock relies in part on the research and reports that equity research analysts publish about us or our business. We do not control these analysts. We may never obtain research coverage by industry or financial analysts. If no or few analysts commence coverage of us, the trading price of our stock would likely decrease. Even if we do obtain analyst coverage, if one or more of the analysts covering our business downgrade their evaluations of our common stock, the price of our common stock could decline. If one or more of these analysts cease to cover our common stock, we could lose visibility in the market for our common stock, which in turn could cause our common stock price to decline.</w:t>
      </w:r>
    </w:p>
    <w:p>
      <w:pPr>
        <w:spacing w:after="0" w:line="19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incur significant increased costs as a result of operating as a public company, and our management is required to devote substantial time to compliance initiatives.</w:t>
      </w:r>
    </w:p>
    <w:p>
      <w:pPr>
        <w:spacing w:after="0" w:line="170"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As a public company, we incur significant legal, accounting and other expenses under the Sarbanes-Oxley Act of 2002, as well as rules subsequently implemented by the SEC, and the rules of any stock exchange on which we are listed. These rules impose various requirements on public companies, including requiring establishment and maintenance of effective disclosure and financial controls and appropriate corporate governance practices. Our team has devoted and will continue to devote a substantial amount of time to these compliance initiatives. Moreover, these rules and regulations increase our legal and financial compliance costs and make some activities more time-consuming and costly. For example, these rules and regulations make it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persons to serve on our Board of Directors, our Board committees or as executive officers.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6" w:name="page87"/>
    <w:bookmarkEnd w:id="8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The Sarbanes-Oxley Act of 2002 requires, among other things, that we maintain effective internal control over financial reporting and disclosure controls and procedures. As a result, we are required to periodically perform an evaluation of our internal control over financial reporting to allow management to report on the effectiveness of those controls, as required by Section 404 of the Sarbanes-Oxley Act. Additionally, our independent auditors are required to perform a similar evaluation and report on the effectiveness of our internal control over financial reporting. These efforts to comply with Section 404 will require the commitment of significant financial and managerial resources. While we anticipate maintaining the integrity of our internal control over financial reporting and all other aspects of Section 404, we cannot be certain that a material weakness will not be identified when we test the effectiveness of our control systems in the future. If a material weakness is identified, we could be subject to sanctions or investigations by the SEC or other regulatory authorities, which would require additional financial and management resources, costly litigation or a loss of public confidence in our internal control, which could have an adverse effect on the market price of our stock.</w:t>
      </w:r>
    </w:p>
    <w:p>
      <w:pPr>
        <w:spacing w:after="0" w:line="172"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b w:val="1"/>
          <w:bCs w:val="1"/>
          <w:i w:val="1"/>
          <w:iCs w:val="1"/>
          <w:color w:val="auto"/>
        </w:rPr>
        <w:t>Volatility in the price of our common stock may subject us to securities litigation, which could cause us to incur substantial costs and divert management’s attention, financial resources and other company assets.</w:t>
      </w:r>
    </w:p>
    <w:p>
      <w:pPr>
        <w:spacing w:after="0" w:line="146"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In the past, securities class action litigation has often been brought against a company following periods of volatility in the market price of its securities. This risk is especially relevant for us because pharmaceutical companies have experienced significant stock price volatility in recent years. Past lawsuits and any future lawsuits to which we may become a party are subject to inherent uncertainties and will likely be expensive and time-consuming to investigate, defend and resolve, and will divert our management’s attention and financial and other resources. The outcome of litigation is necessarily uncertain, and we could be forced to expend significant resources in the defense of these and other suits, and we may not prevail. Any litigation to which we are a party may result in an onerous or unfavorable judgment that may not be reversed upon appeal or in payments of substantial monetary damages or fines, or we may decide to settle this or other lawsuits on similarly unfavorable terms, which could adversely affect our business, financial condition, results of operations or stock price.</w:t>
      </w:r>
    </w:p>
    <w:p>
      <w:pPr>
        <w:spacing w:after="0" w:line="18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Future sales of our common stock, including by us or our directors and executive officers or shares issued upon the exercise of currently outstanding options, could cause our stock price to decline.</w:t>
      </w:r>
    </w:p>
    <w:p>
      <w:pPr>
        <w:spacing w:after="0" w:line="170"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A substantial portion of our outstanding common stock can be traded without restriction at any time. In addition, a portion of our outstanding common stock is currently restricted as a result of federal securities laws, but can be sold at any time subject to applicable volume limitations. As such, sales of a substantial number of shares of our common stock in the public market could occur at any time. These sales, or the perception in the market that the holders of a large number of shares intend to sell shares, by us or others, could reduce the market price of our common stock or impair our ability to raise adequate capital through the sale of additional equity securities. In addition, we have a significant number of shares that are subject to outstanding options. The exercise of these options and the subsequent sale of the underlying common stock could cause a further decline in our stock price. These sales also might make it difficult for us to sell equity securities in the future at a time and at a price that we deem appropriate. We cannot predict the number, timing or size of future issuances or the effect, if any, that any future issuances may have on the market price for our common stock.</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7" w:name="page88"/>
    <w:bookmarkEnd w:id="8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Our ability to utilize our net operating loss carryforwards and certain other tax attributes may be limited.</w:t>
      </w:r>
    </w:p>
    <w:p>
      <w:pPr>
        <w:spacing w:after="0" w:line="237"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Under Section 382 of the Internal Revenue Code of 1986, as amended, if a corporation undergoes an ownership change (generally defined as a greater than 50% change (by value) in the ownership of its equity over a three year period), the corporation’s ability to use its pre-change net operating loss carryforwards and certain other pre-change tax attributes to offset its post-change income may be limited. We may have experienced such ownership changes in the past, and we may experience ownership changes in the future as a result of shifts in our stock ownership, some of which are outside our control. As of December 31, 2019, we had federal net operating loss carryforwards of approximately $709.9 million, and our ability to utilize those net operating loss carryforwards could be limited by an ownership change as described above, which could result in increased tax liability to us. In addition, pursuant to the Tax Act, we may not use net operating loss carry-forwards to reduce our taxable income in any year by more than 80%, and we may not carry back any net operating losses to prior years. On March 27, 2020, the “CARES Act” was signed by the U.S. President. Certain provisions of the CARES Act alter the rules regarding net-operating losses for such losses arising in 2018, 2019 and 2020. Such losses may be carried back for five years. Additionally, the CARES Act permits these net operating losses to offset up to 100% of our taxable income if used in 2020 or earlier years. We cannot assure you, however, of our ability to utilize these favorable offset rules within the applicable time period. These rules apply regardless of the occurrence of an ownership change.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8" w:name="page89"/>
    <w:bookmarkEnd w:id="8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exhibits listed on the Exhibit Index are included with this report.</w:t>
      </w:r>
    </w:p>
    <w:p>
      <w:pPr>
        <w:spacing w:after="0" w:line="198" w:lineRule="exact"/>
        <w:rPr>
          <w:sz w:val="20"/>
          <w:szCs w:val="20"/>
          <w:color w:val="auto"/>
        </w:rPr>
      </w:pPr>
    </w:p>
    <w:p>
      <w:pPr>
        <w:ind w:left="1080" w:right="999" w:hanging="580"/>
        <w:spacing w:after="0" w:line="274" w:lineRule="auto"/>
        <w:tabs>
          <w:tab w:leader="none" w:pos="1060" w:val="left"/>
        </w:tabs>
        <w:rPr>
          <w:rFonts w:ascii="Arial" w:cs="Arial" w:eastAsia="Arial" w:hAnsi="Arial"/>
          <w:sz w:val="17"/>
          <w:szCs w:val="17"/>
          <w:u w:val="single" w:color="auto"/>
          <w:color w:val="0000EE"/>
        </w:rPr>
      </w:pPr>
      <w:r>
        <w:rPr>
          <w:rFonts w:ascii="Arial" w:cs="Arial" w:eastAsia="Arial" w:hAnsi="Arial"/>
          <w:sz w:val="18"/>
          <w:szCs w:val="18"/>
          <w:color w:val="auto"/>
        </w:rPr>
        <w:t>10.1</w:t>
      </w:r>
      <w:r>
        <w:rPr>
          <w:sz w:val="20"/>
          <w:szCs w:val="20"/>
          <w:color w:val="auto"/>
        </w:rPr>
        <w:tab/>
      </w:r>
      <w:hyperlink r:id="rId102">
        <w:r>
          <w:rPr>
            <w:rFonts w:ascii="Arial" w:cs="Arial" w:eastAsia="Arial" w:hAnsi="Arial"/>
            <w:sz w:val="17"/>
            <w:szCs w:val="17"/>
            <w:u w:val="single" w:color="auto"/>
            <w:color w:val="0000EE"/>
          </w:rPr>
          <w:t>Amendment to TG Therapeutics, Inc. Amended and Restated 2012 Incentive Plan, filed with the</w:t>
        </w:r>
      </w:hyperlink>
      <w:r>
        <w:rPr>
          <w:rFonts w:ascii="Arial" w:cs="Arial" w:eastAsia="Arial" w:hAnsi="Arial"/>
          <w:sz w:val="17"/>
          <w:szCs w:val="17"/>
          <w:u w:val="single" w:color="auto"/>
          <w:color w:val="0000EE"/>
        </w:rPr>
        <w:t xml:space="preserve"> </w:t>
      </w:r>
      <w:hyperlink r:id="rId102">
        <w:r>
          <w:rPr>
            <w:rFonts w:ascii="Arial" w:cs="Arial" w:eastAsia="Arial" w:hAnsi="Arial"/>
            <w:sz w:val="17"/>
            <w:szCs w:val="17"/>
            <w:u w:val="single" w:color="auto"/>
            <w:color w:val="0000EE"/>
          </w:rPr>
          <w:t>Securities and Exchange Commission as Exhibit 10.1 on Form 8-K on June 24, 2020.</w:t>
        </w:r>
      </w:hyperlink>
    </w:p>
    <w:p>
      <w:pPr>
        <w:ind w:left="1080" w:right="619" w:hanging="580"/>
        <w:spacing w:after="0" w:line="250" w:lineRule="auto"/>
        <w:tabs>
          <w:tab w:leader="none" w:pos="1060" w:val="left"/>
        </w:tabs>
        <w:rPr>
          <w:rFonts w:ascii="Arial" w:cs="Arial" w:eastAsia="Arial" w:hAnsi="Arial"/>
          <w:sz w:val="18"/>
          <w:szCs w:val="18"/>
          <w:u w:val="single" w:color="auto"/>
          <w:color w:val="0000EE"/>
        </w:rPr>
      </w:pPr>
      <w:r>
        <w:rPr>
          <w:rFonts w:ascii="Arial" w:cs="Arial" w:eastAsia="Arial" w:hAnsi="Arial"/>
          <w:sz w:val="18"/>
          <w:szCs w:val="18"/>
          <w:color w:val="auto"/>
        </w:rPr>
        <w:t>31.1</w:t>
      </w:r>
      <w:r>
        <w:rPr>
          <w:sz w:val="20"/>
          <w:szCs w:val="20"/>
          <w:color w:val="auto"/>
        </w:rPr>
        <w:tab/>
      </w:r>
      <w:hyperlink w:anchor="page91">
        <w:r>
          <w:rPr>
            <w:rFonts w:ascii="Arial" w:cs="Arial" w:eastAsia="Arial" w:hAnsi="Arial"/>
            <w:sz w:val="18"/>
            <w:szCs w:val="18"/>
            <w:u w:val="single" w:color="auto"/>
            <w:color w:val="0000EE"/>
          </w:rPr>
          <w:t>Certification of Chief Executive Officer pursuant to Rule 13a-14(a)/15d-14(a), as adopted pursuant to</w:t>
        </w:r>
      </w:hyperlink>
      <w:r>
        <w:rPr>
          <w:rFonts w:ascii="Arial" w:cs="Arial" w:eastAsia="Arial" w:hAnsi="Arial"/>
          <w:sz w:val="18"/>
          <w:szCs w:val="18"/>
          <w:u w:val="single" w:color="auto"/>
          <w:color w:val="0000EE"/>
        </w:rPr>
        <w:t xml:space="preserve"> </w:t>
      </w:r>
      <w:hyperlink w:anchor="page91">
        <w:r>
          <w:rPr>
            <w:rFonts w:ascii="Arial" w:cs="Arial" w:eastAsia="Arial" w:hAnsi="Arial"/>
            <w:sz w:val="18"/>
            <w:szCs w:val="18"/>
            <w:u w:val="single" w:color="auto"/>
            <w:color w:val="0000EE"/>
          </w:rPr>
          <w:t>Section 302 of the Sarbanes-Oxley Act of 2002, dated August 10, 2020.</w:t>
        </w:r>
      </w:hyperlink>
    </w:p>
    <w:p>
      <w:pPr>
        <w:spacing w:after="0" w:line="1" w:lineRule="exact"/>
        <w:rPr>
          <w:sz w:val="20"/>
          <w:szCs w:val="20"/>
          <w:color w:val="auto"/>
        </w:rPr>
      </w:pPr>
    </w:p>
    <w:p>
      <w:pPr>
        <w:ind w:left="1080" w:right="679" w:hanging="580"/>
        <w:spacing w:after="0" w:line="250" w:lineRule="auto"/>
        <w:tabs>
          <w:tab w:leader="none" w:pos="1060" w:val="left"/>
        </w:tabs>
        <w:rPr>
          <w:rFonts w:ascii="Arial" w:cs="Arial" w:eastAsia="Arial" w:hAnsi="Arial"/>
          <w:sz w:val="18"/>
          <w:szCs w:val="18"/>
          <w:u w:val="single" w:color="auto"/>
          <w:color w:val="0000EE"/>
        </w:rPr>
      </w:pPr>
      <w:r>
        <w:rPr>
          <w:rFonts w:ascii="Arial" w:cs="Arial" w:eastAsia="Arial" w:hAnsi="Arial"/>
          <w:sz w:val="18"/>
          <w:szCs w:val="18"/>
          <w:color w:val="auto"/>
        </w:rPr>
        <w:t>31.2</w:t>
      </w:r>
      <w:r>
        <w:rPr>
          <w:sz w:val="20"/>
          <w:szCs w:val="20"/>
          <w:color w:val="auto"/>
        </w:rPr>
        <w:tab/>
      </w:r>
      <w:hyperlink w:anchor="page92">
        <w:r>
          <w:rPr>
            <w:rFonts w:ascii="Arial" w:cs="Arial" w:eastAsia="Arial" w:hAnsi="Arial"/>
            <w:sz w:val="18"/>
            <w:szCs w:val="18"/>
            <w:u w:val="single" w:color="auto"/>
            <w:color w:val="0000EE"/>
          </w:rPr>
          <w:t>Certification of Chief Financial Officer pursuant to Rule 13a-14(a)/15d-14(a), as adopted pursuant to</w:t>
        </w:r>
      </w:hyperlink>
      <w:r>
        <w:rPr>
          <w:rFonts w:ascii="Arial" w:cs="Arial" w:eastAsia="Arial" w:hAnsi="Arial"/>
          <w:sz w:val="18"/>
          <w:szCs w:val="18"/>
          <w:u w:val="single" w:color="auto"/>
          <w:color w:val="0000EE"/>
        </w:rPr>
        <w:t xml:space="preserve"> </w:t>
      </w:r>
      <w:hyperlink w:anchor="page92">
        <w:r>
          <w:rPr>
            <w:rFonts w:ascii="Arial" w:cs="Arial" w:eastAsia="Arial" w:hAnsi="Arial"/>
            <w:sz w:val="18"/>
            <w:szCs w:val="18"/>
            <w:u w:val="single" w:color="auto"/>
            <w:color w:val="0000EE"/>
          </w:rPr>
          <w:t>Section 302 of the Sarbanes-Oxley Act of 2002, dated August 10, 2020.</w:t>
        </w:r>
      </w:hyperlink>
    </w:p>
    <w:p>
      <w:pPr>
        <w:spacing w:after="0" w:line="1" w:lineRule="exact"/>
        <w:rPr>
          <w:sz w:val="20"/>
          <w:szCs w:val="20"/>
          <w:color w:val="auto"/>
        </w:rPr>
      </w:pPr>
    </w:p>
    <w:p>
      <w:pPr>
        <w:ind w:left="500"/>
        <w:spacing w:after="0"/>
        <w:tabs>
          <w:tab w:leader="none" w:pos="1060" w:val="left"/>
        </w:tabs>
        <w:rPr>
          <w:rFonts w:ascii="Arial" w:cs="Arial" w:eastAsia="Arial" w:hAnsi="Arial"/>
          <w:sz w:val="16"/>
          <w:szCs w:val="16"/>
          <w:u w:val="single" w:color="auto"/>
          <w:color w:val="0000EE"/>
        </w:rPr>
      </w:pPr>
      <w:r>
        <w:rPr>
          <w:rFonts w:ascii="Arial" w:cs="Arial" w:eastAsia="Arial" w:hAnsi="Arial"/>
          <w:sz w:val="18"/>
          <w:szCs w:val="18"/>
          <w:color w:val="auto"/>
        </w:rPr>
        <w:t>32.1</w:t>
      </w:r>
      <w:r>
        <w:rPr>
          <w:sz w:val="20"/>
          <w:szCs w:val="20"/>
          <w:color w:val="auto"/>
        </w:rPr>
        <w:tab/>
      </w:r>
      <w:hyperlink w:anchor="page93">
        <w:r>
          <w:rPr>
            <w:rFonts w:ascii="Arial" w:cs="Arial" w:eastAsia="Arial" w:hAnsi="Arial"/>
            <w:sz w:val="16"/>
            <w:szCs w:val="16"/>
            <w:u w:val="single" w:color="auto"/>
            <w:color w:val="0000EE"/>
          </w:rPr>
          <w:t>Certification of Chief Executive Officer pursuant to 18 U.S.C. 1350, as adopted pursuant to Section</w:t>
        </w:r>
      </w:hyperlink>
    </w:p>
    <w:p>
      <w:pPr>
        <w:spacing w:after="0" w:line="9" w:lineRule="exact"/>
        <w:rPr>
          <w:sz w:val="20"/>
          <w:szCs w:val="20"/>
          <w:color w:val="auto"/>
        </w:rPr>
      </w:pPr>
    </w:p>
    <w:p>
      <w:pPr>
        <w:ind w:left="1080"/>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906 of the Sarbanes-Oxley Act of 2002, dated August 10, 2020.</w:t>
        </w:r>
      </w:hyperlink>
    </w:p>
    <w:p>
      <w:pPr>
        <w:spacing w:after="0" w:line="9" w:lineRule="exact"/>
        <w:rPr>
          <w:sz w:val="20"/>
          <w:szCs w:val="20"/>
          <w:color w:val="auto"/>
        </w:rPr>
      </w:pPr>
    </w:p>
    <w:p>
      <w:pPr>
        <w:ind w:left="500"/>
        <w:spacing w:after="0"/>
        <w:tabs>
          <w:tab w:leader="none" w:pos="1060" w:val="left"/>
        </w:tabs>
        <w:rPr>
          <w:rFonts w:ascii="Arial" w:cs="Arial" w:eastAsia="Arial" w:hAnsi="Arial"/>
          <w:sz w:val="16"/>
          <w:szCs w:val="16"/>
          <w:u w:val="single" w:color="auto"/>
          <w:color w:val="0000EE"/>
        </w:rPr>
      </w:pPr>
      <w:r>
        <w:rPr>
          <w:rFonts w:ascii="Arial" w:cs="Arial" w:eastAsia="Arial" w:hAnsi="Arial"/>
          <w:sz w:val="18"/>
          <w:szCs w:val="18"/>
          <w:color w:val="auto"/>
        </w:rPr>
        <w:t>32.2</w:t>
      </w:r>
      <w:r>
        <w:rPr>
          <w:sz w:val="20"/>
          <w:szCs w:val="20"/>
          <w:color w:val="auto"/>
        </w:rPr>
        <w:tab/>
      </w:r>
      <w:hyperlink w:anchor="page94">
        <w:r>
          <w:rPr>
            <w:rFonts w:ascii="Arial" w:cs="Arial" w:eastAsia="Arial" w:hAnsi="Arial"/>
            <w:sz w:val="16"/>
            <w:szCs w:val="16"/>
            <w:u w:val="single" w:color="auto"/>
            <w:color w:val="0000EE"/>
          </w:rPr>
          <w:t>Certification of Chief Financial Officer pursuant to 18 U.S.C. 1350, as adopted pursuant to Section</w:t>
        </w:r>
      </w:hyperlink>
    </w:p>
    <w:p>
      <w:pPr>
        <w:spacing w:after="0" w:line="9" w:lineRule="exact"/>
        <w:rPr>
          <w:sz w:val="20"/>
          <w:szCs w:val="20"/>
          <w:color w:val="auto"/>
        </w:rPr>
      </w:pPr>
    </w:p>
    <w:p>
      <w:pPr>
        <w:ind w:left="1080"/>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906 of the Sarbanes-Oxley Act of 2002, dated August 10, 2020.</w:t>
        </w:r>
      </w:hyperlink>
    </w:p>
    <w:p>
      <w:pPr>
        <w:spacing w:after="0" w:line="9" w:lineRule="exact"/>
        <w:rPr>
          <w:sz w:val="20"/>
          <w:szCs w:val="20"/>
          <w:color w:val="auto"/>
        </w:rPr>
      </w:pPr>
    </w:p>
    <w:p>
      <w:pPr>
        <w:ind w:left="1080" w:right="539" w:hanging="579"/>
        <w:spacing w:after="0" w:line="292" w:lineRule="auto"/>
        <w:tabs>
          <w:tab w:leader="none" w:pos="10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following financial information from the Company’s Quarterly Report on Form 10-Q for the period ended June 30, 2020, formatted in Inline Extensible Business Reporting Language (iXBRL): (i) the Condensed Consolidated Balance Sheets, (ii) the Condensed Consolidated Statements of Operations, (iii) the Condensed Consolidated Statements of Stockholders’ Equity, (iv) the Condensed Consolidated Statements of Cash Flows, and (v) Notes to the Condensed Consolidated Financial</w:t>
      </w:r>
    </w:p>
    <w:p>
      <w:pPr>
        <w:spacing w:after="0" w:line="162" w:lineRule="exact"/>
        <w:rPr>
          <w:sz w:val="20"/>
          <w:szCs w:val="20"/>
          <w:color w:val="auto"/>
        </w:rPr>
      </w:pPr>
    </w:p>
    <w:p>
      <w:pPr>
        <w:ind w:left="1080" w:hanging="579"/>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6" w:lineRule="exact"/>
        <w:rPr>
          <w:rFonts w:ascii="Arial" w:cs="Arial" w:eastAsia="Arial" w:hAnsi="Arial"/>
          <w:sz w:val="18"/>
          <w:szCs w:val="18"/>
          <w:color w:val="auto"/>
        </w:rPr>
      </w:pPr>
    </w:p>
    <w:p>
      <w:pPr>
        <w:ind w:left="4420"/>
        <w:spacing w:after="0"/>
        <w:rPr>
          <w:rFonts w:ascii="Arial" w:cs="Arial" w:eastAsia="Arial" w:hAnsi="Arial"/>
          <w:sz w:val="18"/>
          <w:szCs w:val="18"/>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-610235</wp:posOffset>
            </wp:positionV>
            <wp:extent cx="141414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9" w:name="page90"/>
    <w:bookmarkEnd w:id="8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left="60" w:right="139" w:firstLine="49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3"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3040" w:type="dxa"/>
            <w:vAlign w:val="bottom"/>
          </w:tcPr>
          <w:p>
            <w:pPr>
              <w:spacing w:after="0"/>
              <w:rPr>
                <w:sz w:val="20"/>
                <w:szCs w:val="20"/>
                <w:color w:val="auto"/>
              </w:rPr>
            </w:pPr>
          </w:p>
        </w:tc>
        <w:tc>
          <w:tcPr>
            <w:tcW w:w="5840" w:type="dxa"/>
            <w:vAlign w:val="bottom"/>
            <w:gridSpan w:val="2"/>
          </w:tcPr>
          <w:p>
            <w:pPr>
              <w:ind w:left="1400"/>
              <w:spacing w:after="0"/>
              <w:rPr>
                <w:sz w:val="20"/>
                <w:szCs w:val="20"/>
                <w:color w:val="auto"/>
              </w:rPr>
            </w:pPr>
            <w:r>
              <w:rPr>
                <w:rFonts w:ascii="Arial" w:cs="Arial" w:eastAsia="Arial" w:hAnsi="Arial"/>
                <w:sz w:val="18"/>
                <w:szCs w:val="18"/>
                <w:color w:val="auto"/>
              </w:rPr>
              <w:t>TG THERAPEUTICS, INC.</w:t>
            </w:r>
          </w:p>
        </w:tc>
      </w:tr>
      <w:tr>
        <w:trPr>
          <w:trHeight w:val="432"/>
        </w:trPr>
        <w:tc>
          <w:tcPr>
            <w:tcW w:w="3040" w:type="dxa"/>
            <w:vAlign w:val="bottom"/>
          </w:tcPr>
          <w:p>
            <w:pPr>
              <w:spacing w:after="0"/>
              <w:rPr>
                <w:sz w:val="20"/>
                <w:szCs w:val="20"/>
                <w:color w:val="auto"/>
              </w:rPr>
            </w:pPr>
            <w:r>
              <w:rPr>
                <w:rFonts w:ascii="Arial" w:cs="Arial" w:eastAsia="Arial" w:hAnsi="Arial"/>
                <w:sz w:val="18"/>
                <w:szCs w:val="18"/>
                <w:color w:val="auto"/>
              </w:rPr>
              <w:t>Date: August 10, 2020</w:t>
            </w:r>
          </w:p>
        </w:tc>
        <w:tc>
          <w:tcPr>
            <w:tcW w:w="5840" w:type="dxa"/>
            <w:vAlign w:val="bottom"/>
            <w:gridSpan w:val="2"/>
          </w:tcPr>
          <w:p>
            <w:pPr>
              <w:ind w:left="1400"/>
              <w:spacing w:after="0"/>
              <w:rPr>
                <w:sz w:val="20"/>
                <w:szCs w:val="20"/>
                <w:color w:val="auto"/>
              </w:rPr>
            </w:pPr>
            <w:r>
              <w:rPr>
                <w:rFonts w:ascii="Arial" w:cs="Arial" w:eastAsia="Arial" w:hAnsi="Arial"/>
                <w:sz w:val="18"/>
                <w:szCs w:val="18"/>
                <w:color w:val="auto"/>
              </w:rPr>
              <w:t>By: /s/ Sean A. Power</w:t>
            </w:r>
          </w:p>
        </w:tc>
      </w:tr>
      <w:tr>
        <w:trPr>
          <w:trHeight w:val="195"/>
        </w:trPr>
        <w:tc>
          <w:tcPr>
            <w:tcW w:w="30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41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Sean A. Power</w:t>
            </w:r>
          </w:p>
        </w:tc>
      </w:tr>
      <w:tr>
        <w:trPr>
          <w:trHeight w:val="216"/>
        </w:trPr>
        <w:tc>
          <w:tcPr>
            <w:tcW w:w="30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0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0" w:name="page91"/>
    <w:bookmarkEnd w:id="90"/>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PERIODIC REPORT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Michael S. Weiss, certify that:</w:t>
      </w:r>
    </w:p>
    <w:p>
      <w:pPr>
        <w:spacing w:after="0" w:line="225" w:lineRule="exact"/>
        <w:rPr>
          <w:sz w:val="20"/>
          <w:szCs w:val="20"/>
          <w:color w:val="auto"/>
        </w:rPr>
      </w:pPr>
    </w:p>
    <w:p>
      <w:pPr>
        <w:ind w:left="380" w:hanging="330"/>
        <w:spacing w:after="0"/>
        <w:tabs>
          <w:tab w:leader="none" w:pos="3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TG Therapeutics, Inc.;</w:t>
      </w:r>
    </w:p>
    <w:p>
      <w:pPr>
        <w:spacing w:after="0" w:line="225" w:lineRule="exact"/>
        <w:rPr>
          <w:rFonts w:ascii="Arial" w:cs="Arial" w:eastAsia="Arial" w:hAnsi="Arial"/>
          <w:sz w:val="18"/>
          <w:szCs w:val="18"/>
          <w:color w:val="auto"/>
        </w:rPr>
      </w:pPr>
    </w:p>
    <w:p>
      <w:pPr>
        <w:jc w:val="both"/>
        <w:ind w:left="380" w:right="119" w:hanging="330"/>
        <w:spacing w:after="0" w:line="263" w:lineRule="auto"/>
        <w:tabs>
          <w:tab w:leader="none" w:pos="3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80" w:right="79" w:hanging="330"/>
        <w:spacing w:after="0" w:line="263" w:lineRule="auto"/>
        <w:tabs>
          <w:tab w:leader="none" w:pos="3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380" w:right="339" w:hanging="330"/>
        <w:spacing w:after="0" w:line="286" w:lineRule="auto"/>
        <w:tabs>
          <w:tab w:leader="none" w:pos="3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rFonts w:ascii="Arial" w:cs="Arial" w:eastAsia="Arial" w:hAnsi="Arial"/>
          <w:sz w:val="17"/>
          <w:szCs w:val="17"/>
          <w:color w:val="auto"/>
        </w:rPr>
      </w:pPr>
    </w:p>
    <w:p>
      <w:pPr>
        <w:ind w:left="700" w:right="359" w:hanging="326"/>
        <w:spacing w:after="0" w:line="259" w:lineRule="auto"/>
        <w:tabs>
          <w:tab w:leader="none" w:pos="7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700" w:right="139" w:hanging="326"/>
        <w:spacing w:after="0" w:line="259" w:lineRule="auto"/>
        <w:tabs>
          <w:tab w:leader="none" w:pos="7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jc w:val="both"/>
        <w:ind w:left="700" w:right="199" w:hanging="326"/>
        <w:spacing w:after="0" w:line="263" w:lineRule="auto"/>
        <w:tabs>
          <w:tab w:leader="none" w:pos="7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700" w:right="99" w:hanging="326"/>
        <w:spacing w:after="0" w:line="259" w:lineRule="auto"/>
        <w:tabs>
          <w:tab w:leader="none" w:pos="7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left="380" w:right="119" w:hanging="330"/>
        <w:spacing w:after="0" w:line="263" w:lineRule="auto"/>
        <w:tabs>
          <w:tab w:leader="none" w:pos="3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700" w:right="139" w:hanging="326"/>
        <w:spacing w:after="0" w:line="263" w:lineRule="auto"/>
        <w:tabs>
          <w:tab w:leader="none" w:pos="7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700" w:right="239" w:hanging="326"/>
        <w:spacing w:after="0" w:line="277" w:lineRule="auto"/>
        <w:tabs>
          <w:tab w:leader="none" w:pos="7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480" w:type="dxa"/>
            <w:vAlign w:val="bottom"/>
          </w:tcPr>
          <w:p>
            <w:pPr>
              <w:ind w:left="20"/>
              <w:spacing w:after="0"/>
              <w:rPr>
                <w:sz w:val="20"/>
                <w:szCs w:val="20"/>
                <w:color w:val="auto"/>
              </w:rPr>
            </w:pPr>
            <w:r>
              <w:rPr>
                <w:rFonts w:ascii="Arial" w:cs="Arial" w:eastAsia="Arial" w:hAnsi="Arial"/>
                <w:sz w:val="18"/>
                <w:szCs w:val="18"/>
                <w:color w:val="auto"/>
              </w:rPr>
              <w:t>Date: August 10, 2020</w:t>
            </w: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S. Weiss</w:t>
            </w:r>
          </w:p>
        </w:tc>
      </w:tr>
      <w:tr>
        <w:trPr>
          <w:trHeight w:val="195"/>
        </w:trPr>
        <w:tc>
          <w:tcPr>
            <w:tcW w:w="4480" w:type="dxa"/>
            <w:vAlign w:val="bottom"/>
          </w:tcPr>
          <w:p>
            <w:pPr>
              <w:spacing w:after="0"/>
              <w:rPr>
                <w:sz w:val="16"/>
                <w:szCs w:val="16"/>
                <w:color w:val="auto"/>
              </w:rPr>
            </w:pPr>
          </w:p>
        </w:tc>
        <w:tc>
          <w:tcPr>
            <w:tcW w:w="4440" w:type="dxa"/>
            <w:vAlign w:val="bottom"/>
          </w:tcPr>
          <w:p>
            <w:pPr>
              <w:spacing w:after="0" w:line="195" w:lineRule="exact"/>
              <w:rPr>
                <w:sz w:val="20"/>
                <w:szCs w:val="20"/>
                <w:color w:val="auto"/>
              </w:rPr>
            </w:pPr>
            <w:r>
              <w:rPr>
                <w:rFonts w:ascii="Arial" w:cs="Arial" w:eastAsia="Arial" w:hAnsi="Arial"/>
                <w:sz w:val="18"/>
                <w:szCs w:val="18"/>
                <w:color w:val="auto"/>
              </w:rPr>
              <w:t>Michael S. Weiss</w:t>
            </w:r>
          </w:p>
        </w:tc>
      </w:tr>
      <w:tr>
        <w:trPr>
          <w:trHeight w:val="216"/>
        </w:trPr>
        <w:tc>
          <w:tcPr>
            <w:tcW w:w="448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w w:val="93"/>
              </w:rPr>
              <w:t>Executive Chairman, Chief Executive Officer and President</w:t>
            </w:r>
          </w:p>
        </w:tc>
      </w:tr>
      <w:tr>
        <w:trPr>
          <w:trHeight w:val="230"/>
        </w:trPr>
        <w:tc>
          <w:tcPr>
            <w:tcW w:w="44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776"/>
        </w:trPr>
        <w:tc>
          <w:tcPr>
            <w:tcW w:w="44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91" w:name="page92"/>
    <w:bookmarkEnd w:id="91"/>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PERIODIC REPORT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Sean A. Power, certify that:</w:t>
      </w:r>
    </w:p>
    <w:p>
      <w:pPr>
        <w:spacing w:after="0" w:line="225" w:lineRule="exact"/>
        <w:rPr>
          <w:sz w:val="20"/>
          <w:szCs w:val="20"/>
          <w:color w:val="auto"/>
        </w:rPr>
      </w:pPr>
    </w:p>
    <w:p>
      <w:pPr>
        <w:ind w:left="380" w:hanging="330"/>
        <w:spacing w:after="0"/>
        <w:tabs>
          <w:tab w:leader="none" w:pos="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TG Therapeutics, Inc.;</w:t>
      </w:r>
    </w:p>
    <w:p>
      <w:pPr>
        <w:spacing w:after="0" w:line="225" w:lineRule="exact"/>
        <w:rPr>
          <w:rFonts w:ascii="Arial" w:cs="Arial" w:eastAsia="Arial" w:hAnsi="Arial"/>
          <w:sz w:val="18"/>
          <w:szCs w:val="18"/>
          <w:color w:val="auto"/>
        </w:rPr>
      </w:pPr>
    </w:p>
    <w:p>
      <w:pPr>
        <w:jc w:val="both"/>
        <w:ind w:left="380" w:right="119" w:hanging="330"/>
        <w:spacing w:after="0" w:line="263" w:lineRule="auto"/>
        <w:tabs>
          <w:tab w:leader="none" w:pos="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80" w:right="79" w:hanging="330"/>
        <w:spacing w:after="0" w:line="263" w:lineRule="auto"/>
        <w:tabs>
          <w:tab w:leader="none" w:pos="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380" w:right="339" w:hanging="330"/>
        <w:spacing w:after="0" w:line="286" w:lineRule="auto"/>
        <w:tabs>
          <w:tab w:leader="none" w:pos="3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rFonts w:ascii="Arial" w:cs="Arial" w:eastAsia="Arial" w:hAnsi="Arial"/>
          <w:sz w:val="17"/>
          <w:szCs w:val="17"/>
          <w:color w:val="auto"/>
        </w:rPr>
      </w:pPr>
    </w:p>
    <w:p>
      <w:pPr>
        <w:ind w:left="700" w:right="359" w:hanging="326"/>
        <w:spacing w:after="0" w:line="259" w:lineRule="auto"/>
        <w:tabs>
          <w:tab w:leader="none" w:pos="7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700" w:right="139" w:hanging="326"/>
        <w:spacing w:after="0" w:line="259" w:lineRule="auto"/>
        <w:tabs>
          <w:tab w:leader="none" w:pos="7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jc w:val="both"/>
        <w:ind w:left="700" w:right="199" w:hanging="326"/>
        <w:spacing w:after="0" w:line="263" w:lineRule="auto"/>
        <w:tabs>
          <w:tab w:leader="none" w:pos="7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700" w:right="99" w:hanging="326"/>
        <w:spacing w:after="0" w:line="259" w:lineRule="auto"/>
        <w:tabs>
          <w:tab w:leader="none" w:pos="7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left="380" w:right="119" w:hanging="330"/>
        <w:spacing w:after="0" w:line="263" w:lineRule="auto"/>
        <w:tabs>
          <w:tab w:leader="none" w:pos="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700" w:right="139" w:hanging="326"/>
        <w:spacing w:after="0" w:line="263" w:lineRule="auto"/>
        <w:tabs>
          <w:tab w:leader="none" w:pos="7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700" w:right="239" w:hanging="326"/>
        <w:spacing w:after="0" w:line="277" w:lineRule="auto"/>
        <w:tabs>
          <w:tab w:leader="none" w:pos="7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480" w:type="dxa"/>
            <w:vAlign w:val="bottom"/>
          </w:tcPr>
          <w:p>
            <w:pPr>
              <w:ind w:left="20"/>
              <w:spacing w:after="0"/>
              <w:rPr>
                <w:sz w:val="20"/>
                <w:szCs w:val="20"/>
                <w:color w:val="auto"/>
              </w:rPr>
            </w:pPr>
            <w:r>
              <w:rPr>
                <w:rFonts w:ascii="Arial" w:cs="Arial" w:eastAsia="Arial" w:hAnsi="Arial"/>
                <w:sz w:val="18"/>
                <w:szCs w:val="18"/>
                <w:color w:val="auto"/>
              </w:rPr>
              <w:t>Date: August 10, 2020</w:t>
            </w: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Sean A. Power</w:t>
            </w:r>
          </w:p>
        </w:tc>
      </w:tr>
      <w:tr>
        <w:trPr>
          <w:trHeight w:val="195"/>
        </w:trPr>
        <w:tc>
          <w:tcPr>
            <w:tcW w:w="4480" w:type="dxa"/>
            <w:vAlign w:val="bottom"/>
          </w:tcPr>
          <w:p>
            <w:pPr>
              <w:spacing w:after="0"/>
              <w:rPr>
                <w:sz w:val="16"/>
                <w:szCs w:val="16"/>
                <w:color w:val="auto"/>
              </w:rPr>
            </w:pPr>
          </w:p>
        </w:tc>
        <w:tc>
          <w:tcPr>
            <w:tcW w:w="4440" w:type="dxa"/>
            <w:vAlign w:val="bottom"/>
          </w:tcPr>
          <w:p>
            <w:pPr>
              <w:spacing w:after="0" w:line="195" w:lineRule="exact"/>
              <w:rPr>
                <w:sz w:val="20"/>
                <w:szCs w:val="20"/>
                <w:color w:val="auto"/>
              </w:rPr>
            </w:pPr>
            <w:r>
              <w:rPr>
                <w:rFonts w:ascii="Arial" w:cs="Arial" w:eastAsia="Arial" w:hAnsi="Arial"/>
                <w:sz w:val="18"/>
                <w:szCs w:val="18"/>
                <w:color w:val="auto"/>
              </w:rPr>
              <w:t>Sean A. Power</w:t>
            </w:r>
          </w:p>
        </w:tc>
      </w:tr>
      <w:tr>
        <w:trPr>
          <w:trHeight w:val="216"/>
        </w:trPr>
        <w:tc>
          <w:tcPr>
            <w:tcW w:w="448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44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776"/>
        </w:trPr>
        <w:tc>
          <w:tcPr>
            <w:tcW w:w="44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92" w:name="page93"/>
    <w:bookmarkEnd w:id="92"/>
    <w:p>
      <w:pPr>
        <w:ind w:left="8020"/>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 OF CHIEF EXECUTIVE OFFICER OF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TG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18 U.S.C. SECTION 1350,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9" w:lineRule="exact"/>
        <w:rPr>
          <w:sz w:val="20"/>
          <w:szCs w:val="20"/>
          <w:color w:val="auto"/>
        </w:rPr>
      </w:pPr>
    </w:p>
    <w:p>
      <w:pPr>
        <w:ind w:left="60" w:right="139"/>
        <w:spacing w:after="0" w:line="259" w:lineRule="auto"/>
        <w:rPr>
          <w:sz w:val="20"/>
          <w:szCs w:val="20"/>
          <w:color w:val="auto"/>
        </w:rPr>
      </w:pPr>
      <w:r>
        <w:rPr>
          <w:rFonts w:ascii="Arial" w:cs="Arial" w:eastAsia="Arial" w:hAnsi="Arial"/>
          <w:sz w:val="18"/>
          <w:szCs w:val="18"/>
          <w:color w:val="auto"/>
        </w:rPr>
        <w:t>In connection with the quarterly report of TG Therapeutics, Inc. (the “Company”) on Form 10-Q for the period ended June 30, 2020 as filed with the Securities and Exchange Commission (the “Report”), I, Michael S. Weiss, Executive Chairman, Chief Executive Officer and President of the Company, certify, pursuant to 18 U.S.C. §1350, as adopted pursuant to §906 of the Sarbanes-Oxley Act of 2002, that, based on my knowledge:</w:t>
      </w:r>
    </w:p>
    <w:p>
      <w:pPr>
        <w:spacing w:after="0" w:line="187" w:lineRule="exact"/>
        <w:rPr>
          <w:sz w:val="20"/>
          <w:szCs w:val="20"/>
          <w:color w:val="auto"/>
        </w:rPr>
      </w:pPr>
    </w:p>
    <w:p>
      <w:pPr>
        <w:ind w:left="700" w:right="519" w:hanging="326"/>
        <w:spacing w:after="0" w:line="277" w:lineRule="auto"/>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700" w:right="99" w:hanging="326"/>
        <w:spacing w:after="0" w:line="277" w:lineRule="auto"/>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480" w:type="dxa"/>
            <w:vAlign w:val="bottom"/>
          </w:tcPr>
          <w:p>
            <w:pPr>
              <w:ind w:left="20"/>
              <w:spacing w:after="0"/>
              <w:rPr>
                <w:sz w:val="20"/>
                <w:szCs w:val="20"/>
                <w:color w:val="auto"/>
              </w:rPr>
            </w:pPr>
            <w:r>
              <w:rPr>
                <w:rFonts w:ascii="Arial" w:cs="Arial" w:eastAsia="Arial" w:hAnsi="Arial"/>
                <w:sz w:val="18"/>
                <w:szCs w:val="18"/>
                <w:color w:val="auto"/>
              </w:rPr>
              <w:t>Date: August 10, 2020</w:t>
            </w: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S. Weiss</w:t>
            </w:r>
          </w:p>
        </w:tc>
      </w:tr>
      <w:tr>
        <w:trPr>
          <w:trHeight w:val="195"/>
        </w:trPr>
        <w:tc>
          <w:tcPr>
            <w:tcW w:w="4480" w:type="dxa"/>
            <w:vAlign w:val="bottom"/>
          </w:tcPr>
          <w:p>
            <w:pPr>
              <w:spacing w:after="0"/>
              <w:rPr>
                <w:sz w:val="16"/>
                <w:szCs w:val="16"/>
                <w:color w:val="auto"/>
              </w:rPr>
            </w:pPr>
          </w:p>
        </w:tc>
        <w:tc>
          <w:tcPr>
            <w:tcW w:w="4440" w:type="dxa"/>
            <w:vAlign w:val="bottom"/>
          </w:tcPr>
          <w:p>
            <w:pPr>
              <w:spacing w:after="0" w:line="195" w:lineRule="exact"/>
              <w:rPr>
                <w:sz w:val="20"/>
                <w:szCs w:val="20"/>
                <w:color w:val="auto"/>
              </w:rPr>
            </w:pPr>
            <w:r>
              <w:rPr>
                <w:rFonts w:ascii="Arial" w:cs="Arial" w:eastAsia="Arial" w:hAnsi="Arial"/>
                <w:sz w:val="18"/>
                <w:szCs w:val="18"/>
                <w:color w:val="auto"/>
              </w:rPr>
              <w:t>Michael S. Weiss</w:t>
            </w:r>
          </w:p>
        </w:tc>
      </w:tr>
      <w:tr>
        <w:trPr>
          <w:trHeight w:val="216"/>
        </w:trPr>
        <w:tc>
          <w:tcPr>
            <w:tcW w:w="448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w w:val="93"/>
              </w:rPr>
              <w:t>Executive Chairman, Chief Executive Officer and President</w:t>
            </w:r>
          </w:p>
        </w:tc>
      </w:tr>
      <w:tr>
        <w:trPr>
          <w:trHeight w:val="230"/>
        </w:trPr>
        <w:tc>
          <w:tcPr>
            <w:tcW w:w="44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777"/>
        </w:trPr>
        <w:tc>
          <w:tcPr>
            <w:tcW w:w="44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93" w:name="page94"/>
    <w:bookmarkEnd w:id="93"/>
    <w:p>
      <w:pPr>
        <w:ind w:left="8020"/>
        <w:spacing w:after="0"/>
        <w:rPr>
          <w:sz w:val="20"/>
          <w:szCs w:val="20"/>
          <w:color w:val="auto"/>
        </w:rPr>
      </w:pPr>
      <w:r>
        <w:rPr>
          <w:rFonts w:ascii="Arial" w:cs="Arial" w:eastAsia="Arial" w:hAnsi="Arial"/>
          <w:sz w:val="16"/>
          <w:szCs w:val="16"/>
          <w:b w:val="1"/>
          <w:bCs w:val="1"/>
          <w:color w:val="auto"/>
        </w:rPr>
        <w:t>Exhibit 32.2</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 OF CHIEF FINANCIAL OFFICER OF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TG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18 U.S.C. SECTION 1350,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9" w:lineRule="exact"/>
        <w:rPr>
          <w:sz w:val="20"/>
          <w:szCs w:val="20"/>
          <w:color w:val="auto"/>
        </w:rPr>
      </w:pPr>
    </w:p>
    <w:p>
      <w:pPr>
        <w:ind w:left="60" w:right="139"/>
        <w:spacing w:after="0" w:line="259" w:lineRule="auto"/>
        <w:rPr>
          <w:sz w:val="20"/>
          <w:szCs w:val="20"/>
          <w:color w:val="auto"/>
        </w:rPr>
      </w:pPr>
      <w:r>
        <w:rPr>
          <w:rFonts w:ascii="Arial" w:cs="Arial" w:eastAsia="Arial" w:hAnsi="Arial"/>
          <w:sz w:val="18"/>
          <w:szCs w:val="18"/>
          <w:color w:val="auto"/>
        </w:rPr>
        <w:t>In connection with the quarterly report of TG Therapeutics, Inc. (the “Company”) on Form 10-Q for the period ended June 30, 2020 as filed with the Securities and Exchange Commission (the “Report”), I, Sean A. Power, Chief Financial Officer of the Company, certify, pursuant to 18 U.S.C. §1350, as adopted pursuant to §906 of the Sarbanes-Oxley Act of 2002, that, based on my knowledge</w:t>
      </w:r>
    </w:p>
    <w:p>
      <w:pPr>
        <w:spacing w:after="0" w:line="187" w:lineRule="exact"/>
        <w:rPr>
          <w:sz w:val="20"/>
          <w:szCs w:val="20"/>
          <w:color w:val="auto"/>
        </w:rPr>
      </w:pPr>
    </w:p>
    <w:p>
      <w:pPr>
        <w:ind w:left="700" w:right="519" w:hanging="326"/>
        <w:spacing w:after="0" w:line="277" w:lineRule="auto"/>
        <w:tabs>
          <w:tab w:leader="none" w:pos="7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700" w:right="99" w:hanging="326"/>
        <w:spacing w:after="0" w:line="277" w:lineRule="auto"/>
        <w:tabs>
          <w:tab w:leader="none" w:pos="7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480" w:type="dxa"/>
            <w:vAlign w:val="bottom"/>
          </w:tcPr>
          <w:p>
            <w:pPr>
              <w:ind w:left="20"/>
              <w:spacing w:after="0"/>
              <w:rPr>
                <w:sz w:val="20"/>
                <w:szCs w:val="20"/>
                <w:color w:val="auto"/>
              </w:rPr>
            </w:pPr>
            <w:r>
              <w:rPr>
                <w:rFonts w:ascii="Arial" w:cs="Arial" w:eastAsia="Arial" w:hAnsi="Arial"/>
                <w:sz w:val="18"/>
                <w:szCs w:val="18"/>
                <w:color w:val="auto"/>
              </w:rPr>
              <w:t>Date: August 10, 2020</w:t>
            </w: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Sean A. Power</w:t>
            </w:r>
          </w:p>
        </w:tc>
      </w:tr>
      <w:tr>
        <w:trPr>
          <w:trHeight w:val="195"/>
        </w:trPr>
        <w:tc>
          <w:tcPr>
            <w:tcW w:w="4480" w:type="dxa"/>
            <w:vAlign w:val="bottom"/>
          </w:tcPr>
          <w:p>
            <w:pPr>
              <w:spacing w:after="0"/>
              <w:rPr>
                <w:sz w:val="16"/>
                <w:szCs w:val="16"/>
                <w:color w:val="auto"/>
              </w:rPr>
            </w:pPr>
          </w:p>
        </w:tc>
        <w:tc>
          <w:tcPr>
            <w:tcW w:w="4440" w:type="dxa"/>
            <w:vAlign w:val="bottom"/>
          </w:tcPr>
          <w:p>
            <w:pPr>
              <w:spacing w:after="0" w:line="195" w:lineRule="exact"/>
              <w:rPr>
                <w:sz w:val="20"/>
                <w:szCs w:val="20"/>
                <w:color w:val="auto"/>
              </w:rPr>
            </w:pPr>
            <w:r>
              <w:rPr>
                <w:rFonts w:ascii="Arial" w:cs="Arial" w:eastAsia="Arial" w:hAnsi="Arial"/>
                <w:sz w:val="18"/>
                <w:szCs w:val="18"/>
                <w:color w:val="auto"/>
              </w:rPr>
              <w:t>Sean A. Power</w:t>
            </w:r>
          </w:p>
        </w:tc>
      </w:tr>
      <w:tr>
        <w:trPr>
          <w:trHeight w:val="216"/>
        </w:trPr>
        <w:tc>
          <w:tcPr>
            <w:tcW w:w="448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44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777"/>
        </w:trPr>
        <w:tc>
          <w:tcPr>
            <w:tcW w:w="44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1)"/>
      <w:numFmt w:val="decimal"/>
      <w:start w:val="1"/>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
      <w:numFmt w:val="bullet"/>
      <w:start w:val="1"/>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
      <w:numFmt w:val="bullet"/>
      <w:start w:val="1"/>
    </w:lvl>
  </w:abstractNum>
  <w:abstractNum w:abstractNumId="33">
    <w:nsid w:val="580BD78F"/>
    <w:multiLevelType w:val="hybridMultilevel"/>
    <w:lvl w:ilvl="0">
      <w:lvlJc w:val="left"/>
      <w:lvlText w:val="●"/>
      <w:numFmt w:val="bullet"/>
      <w:start w:val="1"/>
    </w:lvl>
  </w:abstractNum>
  <w:abstractNum w:abstractNumId="34">
    <w:nsid w:val="153EA438"/>
    <w:multiLevelType w:val="hybridMultilevel"/>
    <w:lvl w:ilvl="0">
      <w:lvlJc w:val="left"/>
      <w:lvlText w:val="●"/>
      <w:numFmt w:val="bullet"/>
      <w:start w:val="1"/>
    </w:lvl>
  </w:abstractNum>
  <w:abstractNum w:abstractNumId="35">
    <w:nsid w:val="3855585C"/>
    <w:multiLevelType w:val="hybridMultilevel"/>
    <w:lvl w:ilvl="0">
      <w:lvlJc w:val="left"/>
      <w:lvlText w:val="●"/>
      <w:numFmt w:val="bullet"/>
      <w:start w:val="1"/>
    </w:lvl>
  </w:abstractNum>
  <w:abstractNum w:abstractNumId="36">
    <w:nsid w:val="70A64E2A"/>
    <w:multiLevelType w:val="hybridMultilevel"/>
    <w:lvl w:ilvl="0">
      <w:lvlJc w:val="left"/>
      <w:lvlText w:val="●"/>
      <w:numFmt w:val="bullet"/>
      <w:start w:val="1"/>
    </w:lvl>
  </w:abstractNum>
  <w:abstractNum w:abstractNumId="37">
    <w:nsid w:val="6A2342EC"/>
    <w:multiLevelType w:val="hybridMultilevel"/>
    <w:lvl w:ilvl="0">
      <w:lvlJc w:val="left"/>
      <w:lvlText w:val="●"/>
      <w:numFmt w:val="bullet"/>
      <w:start w:val="1"/>
    </w:lvl>
  </w:abstractNum>
  <w:abstractNum w:abstractNumId="38">
    <w:nsid w:val="2A487CB0"/>
    <w:multiLevelType w:val="hybridMultilevel"/>
    <w:lvl w:ilvl="0">
      <w:lvlJc w:val="left"/>
      <w:lvlText w:val="●"/>
      <w:numFmt w:val="bullet"/>
      <w:start w:val="1"/>
    </w:lvl>
  </w:abstractNum>
  <w:abstractNum w:abstractNumId="39">
    <w:nsid w:val="1D4ED43B"/>
    <w:multiLevelType w:val="hybridMultilevel"/>
    <w:lvl w:ilvl="0">
      <w:lvlJc w:val="left"/>
      <w:lvlText w:val="●"/>
      <w:numFmt w:val="bullet"/>
      <w:start w:val="1"/>
    </w:lvl>
  </w:abstractNum>
  <w:abstractNum w:abstractNumId="40">
    <w:nsid w:val="725A06FB"/>
    <w:multiLevelType w:val="hybridMultilevel"/>
    <w:lvl w:ilvl="0">
      <w:lvlJc w:val="left"/>
      <w:lvlText w:val="●"/>
      <w:numFmt w:val="bullet"/>
      <w:start w:val="1"/>
    </w:lvl>
  </w:abstractNum>
  <w:abstractNum w:abstractNumId="41">
    <w:nsid w:val="2CD89A32"/>
    <w:multiLevelType w:val="hybridMultilevel"/>
    <w:lvl w:ilvl="0">
      <w:lvlJc w:val="left"/>
      <w:lvlText w:val="%1"/>
      <w:numFmt w:val="decimal"/>
      <w:start w:val="101"/>
    </w:lvl>
  </w:abstractNum>
  <w:abstractNum w:abstractNumId="42">
    <w:nsid w:val="57E4CCAF"/>
    <w:multiLevelType w:val="hybridMultilevel"/>
    <w:lvl w:ilvl="0">
      <w:lvlJc w:val="left"/>
      <w:lvlText w:val="%1"/>
      <w:numFmt w:val="decimal"/>
      <w:start w:val="104"/>
    </w:lvl>
  </w:abstractNum>
  <w:abstractNum w:abstractNumId="43">
    <w:nsid w:val="7A6D8D3C"/>
    <w:multiLevelType w:val="hybridMultilevel"/>
    <w:lvl w:ilvl="0">
      <w:lvlJc w:val="left"/>
      <w:lvlText w:val="%1."/>
      <w:numFmt w:val="decimal"/>
      <w:start w:val="1"/>
    </w:lvl>
    <w:lvl w:ilvl="1">
      <w:lvlJc w:val="left"/>
      <w:lvlText w:val="%2)"/>
      <w:numFmt w:val="lowerLetter"/>
      <w:start w:val="1"/>
    </w:lvl>
  </w:abstractNum>
  <w:abstractNum w:abstractNumId="44">
    <w:nsid w:val="4B588F54"/>
    <w:multiLevelType w:val="hybridMultilevel"/>
    <w:lvl w:ilvl="0">
      <w:lvlJc w:val="left"/>
      <w:lvlText w:val="%1."/>
      <w:numFmt w:val="decimal"/>
      <w:start w:val="1"/>
    </w:lvl>
    <w:lvl w:ilvl="1">
      <w:lvlJc w:val="left"/>
      <w:lvlText w:val="%2)"/>
      <w:numFmt w:val="lowerLetter"/>
      <w:start w:val="1"/>
    </w:lvl>
  </w:abstractNum>
  <w:abstractNum w:abstractNumId="45">
    <w:nsid w:val="542289EC"/>
    <w:multiLevelType w:val="hybridMultilevel"/>
    <w:lvl w:ilvl="0">
      <w:lvlJc w:val="left"/>
      <w:lvlText w:val="%1)"/>
      <w:numFmt w:val="decimal"/>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2" Type="http://schemas.openxmlformats.org/officeDocument/2006/relationships/hyperlink" Target="https://www.sec.gov/Archives/edgar/data/1001316/000155837020007744/tgtx-20200618xex10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2020-08-10T15:56:50Z</dcterms:created>
  <dcterms:modified xsi:type="dcterms:W3CDTF">2020-08-10T15:56:50Z</dcterms:modified>
</cp:coreProperties>
</file>