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ind w:left="4100" w:right="2780" w:hanging="1319"/>
        <w:spacing w:after="0" w:line="275" w:lineRule="auto"/>
        <w:tabs>
          <w:tab w:leader="none" w:pos="29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00" w:right="2760" w:hanging="1325"/>
        <w:spacing w:after="0" w:line="275" w:lineRule="auto"/>
        <w:tabs>
          <w:tab w:leader="none" w:pos="297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1"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22" w:right="239" w:bottom="1440" w:gutter="0" w:footer="0" w:header="0"/>
        </w:sectPr>
      </w:pPr>
    </w:p>
    <w:p>
      <w:pPr>
        <w:spacing w:after="0" w:line="20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36-3898269</w:t>
      </w:r>
    </w:p>
    <w:p>
      <w:pPr>
        <w:spacing w:after="0" w:line="21"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60" w:space="720"/>
            <w:col w:w="4240"/>
          </w:cols>
          <w:pgMar w:left="240" w:top="422" w:right="239" w:bottom="1440" w:gutter="0" w:footer="0" w:header="0"/>
          <w:type w:val="continuous"/>
        </w:sectPr>
      </w:pP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2 Gansevoort Street, 9th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28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and post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9"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422" w:right="239" w:bottom="1440" w:gutter="0" w:footer="0" w:header="0"/>
          <w:type w:val="continuous"/>
        </w:sectPr>
      </w:pPr>
    </w:p>
    <w:p>
      <w:pPr>
        <w:spacing w:after="0" w:line="1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320" w:space="720"/>
            <w:col w:w="1380"/>
          </w:cols>
          <w:pgMar w:left="240" w:top="422"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580" w:space="720"/>
            <w:col w:w="2120"/>
          </w:cols>
          <w:pgMar w:left="240" w:top="422" w:right="239" w:bottom="1440" w:gutter="0" w:footer="0" w:header="0"/>
          <w:type w:val="continuous"/>
        </w:sectPr>
      </w:pPr>
    </w:p>
    <w:p>
      <w:pPr>
        <w:spacing w:after="0" w:line="48" w:lineRule="exact"/>
        <w:rPr>
          <w:sz w:val="24"/>
          <w:szCs w:val="24"/>
          <w:color w:val="auto"/>
        </w:rPr>
      </w:pPr>
    </w:p>
    <w:p>
      <w:pPr>
        <w:ind w:left="9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422" w:right="239" w:bottom="1440" w:gutter="0" w:footer="0" w:header="0"/>
          <w:type w:val="continuous"/>
        </w:sectPr>
      </w:pPr>
    </w:p>
    <w:p>
      <w:pPr>
        <w:spacing w:after="0" w:line="281"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There were 82,897,273 shares of the registrant’s common stock, $0.001 par value, outstanding as of November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6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Statements: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Balance Sheets as of September 30, 2018 (unaudited) and December 31, 2017</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Condensed Consolidated Statements of Operations for the three and nine months ended September 30, 2018 and 2017</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(unaudited)</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Condensed Consolidated Statement of Stockholders’ Equity for the nine months ended September 30, 2018 (unaudited)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Condensed Consolidated Statements of Cash Flows for the nine months ended September 30, 2018 and 2017 (unaudited)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to Condensed Consolidated Financial Statements (unaudited)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INFORMATION</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Risk Factors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54</w:t>
            </w:r>
          </w:p>
        </w:tc>
        <w:tc>
          <w:tcPr>
            <w:tcW w:w="0" w:type="dxa"/>
            <w:vAlign w:val="bottom"/>
          </w:tcPr>
          <w:p>
            <w:pPr>
              <w:spacing w:after="0"/>
              <w:rPr>
                <w:sz w:val="1"/>
                <w:szCs w:val="1"/>
                <w:color w:val="auto"/>
              </w:rPr>
            </w:pPr>
          </w:p>
        </w:tc>
      </w:tr>
      <w:tr>
        <w:trPr>
          <w:trHeight w:val="86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60" w:type="dxa"/>
            <w:vAlign w:val="bottom"/>
          </w:tcPr>
          <w:p>
            <w:pPr>
              <w:ind w:left="484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right="20" w:firstLine="486"/>
        <w:spacing w:after="0" w:line="308"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90" w:lineRule="exact"/>
        <w:rPr>
          <w:sz w:val="20"/>
          <w:szCs w:val="20"/>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15" w:lineRule="exact"/>
        <w:rPr>
          <w:rFonts w:ascii="Arial" w:cs="Arial" w:eastAsia="Arial" w:hAnsi="Arial"/>
          <w:sz w:val="18"/>
          <w:szCs w:val="18"/>
          <w:color w:val="auto"/>
        </w:rPr>
      </w:pPr>
    </w:p>
    <w:p>
      <w:pPr>
        <w:ind w:left="540" w:hanging="206"/>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obtain reimbursement for our products;</w:t>
      </w:r>
    </w:p>
    <w:p>
      <w:pPr>
        <w:spacing w:after="0" w:line="9" w:lineRule="exact"/>
        <w:rPr>
          <w:rFonts w:ascii="Arial" w:cs="Arial" w:eastAsia="Arial" w:hAnsi="Arial"/>
          <w:sz w:val="18"/>
          <w:szCs w:val="18"/>
          <w:color w:val="auto"/>
        </w:rPr>
      </w:pPr>
    </w:p>
    <w:p>
      <w:pPr>
        <w:ind w:left="540" w:hanging="206"/>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 and</w:t>
      </w:r>
    </w:p>
    <w:p>
      <w:pPr>
        <w:spacing w:after="0" w:line="9" w:lineRule="exact"/>
        <w:rPr>
          <w:rFonts w:ascii="Arial" w:cs="Arial" w:eastAsia="Arial" w:hAnsi="Arial"/>
          <w:sz w:val="18"/>
          <w:szCs w:val="18"/>
          <w:color w:val="auto"/>
        </w:rPr>
      </w:pPr>
    </w:p>
    <w:p>
      <w:pPr>
        <w:ind w:left="540" w:hanging="20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46" w:lineRule="exact"/>
        <w:rPr>
          <w:sz w:val="20"/>
          <w:szCs w:val="20"/>
          <w:color w:val="auto"/>
        </w:rPr>
      </w:pPr>
    </w:p>
    <w:p>
      <w:pPr>
        <w:ind w:right="200" w:firstLine="486"/>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360" w:firstLine="486"/>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080" w:type="dxa"/>
            <w:vAlign w:val="bottom"/>
            <w:gridSpan w:val="5"/>
          </w:tcPr>
          <w:p>
            <w:pPr>
              <w:ind w:left="3980"/>
              <w:spacing w:after="0"/>
              <w:rPr>
                <w:sz w:val="20"/>
                <w:szCs w:val="20"/>
                <w:color w:val="auto"/>
              </w:rPr>
            </w:pPr>
            <w:r>
              <w:rPr>
                <w:rFonts w:ascii="Arial" w:cs="Arial" w:eastAsia="Arial" w:hAnsi="Arial"/>
                <w:sz w:val="18"/>
                <w:szCs w:val="18"/>
                <w:color w:val="auto"/>
              </w:rPr>
              <w:t>(in thousands, except share and per share amounts)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8"/>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8"/>
              </w:rPr>
              <w:t>September 30</w:t>
            </w:r>
            <w:r>
              <w:rPr>
                <w:rFonts w:ascii="Arial" w:cs="Arial" w:eastAsia="Arial" w:hAnsi="Arial"/>
                <w:sz w:val="18"/>
                <w:szCs w:val="18"/>
                <w:color w:val="auto"/>
                <w:w w:val="88"/>
              </w:rPr>
              <w:t>,</w:t>
            </w:r>
            <w:r>
              <w:rPr>
                <w:rFonts w:ascii="Arial" w:cs="Arial" w:eastAsia="Arial" w:hAnsi="Arial"/>
                <w:sz w:val="18"/>
                <w:szCs w:val="18"/>
                <w:b w:val="1"/>
                <w:bCs w:val="1"/>
                <w:color w:val="auto"/>
                <w:w w:val="88"/>
              </w:rPr>
              <w:t xml:space="preserve"> 2018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7"/>
              </w:rPr>
              <w:t>December 31, 2017</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(Note 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70,718</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27,024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27,999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Prepaid research and development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8,056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109,737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93,318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Leasehold interest,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2,429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114,374</w:t>
            </w:r>
          </w:p>
        </w:tc>
        <w:tc>
          <w:tcPr>
            <w:tcW w:w="3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97,381</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2,082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3"/>
              </w:rPr>
              <w:t>Preferred stock, $0.001 par value per share 10,000,000 shares authorized, none issued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2018 and December 31, 2017)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3"/>
              </w:rPr>
              <w:t>Common stock, $0.001 par value per share (150,000,000 shares authorized, 82,973,332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w w:val="88"/>
              </w:rPr>
              <w:t>73,181,750 shares issued; 82,932,023 and 73,140,441 shares outstanding at September 30, 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and December 31, 2017, respectively)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422,017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9"/>
              </w:rPr>
              <w:t>Treasury stock, at cost, 41,309 shares at September 30, 2018 and December 31, 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(474,485)</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71,744</w:t>
            </w: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66,993</w:t>
            </w:r>
          </w:p>
        </w:tc>
        <w:tc>
          <w:tcPr>
            <w:tcW w:w="3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114,374</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97,381</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(Unaudited)</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40" w:type="dxa"/>
            <w:vAlign w:val="bottom"/>
            <w:gridSpan w:val="8"/>
          </w:tcPr>
          <w:p>
            <w:pPr>
              <w:ind w:left="20"/>
              <w:spacing w:after="0"/>
              <w:rPr>
                <w:sz w:val="20"/>
                <w:szCs w:val="20"/>
                <w:color w:val="auto"/>
              </w:rPr>
            </w:pPr>
            <w:r>
              <w:rPr>
                <w:rFonts w:ascii="Arial" w:cs="Arial" w:eastAsia="Arial" w:hAnsi="Arial"/>
                <w:sz w:val="18"/>
                <w:szCs w:val="18"/>
                <w:b w:val="1"/>
                <w:bCs w:val="1"/>
                <w:color w:val="auto"/>
                <w:w w:val="98"/>
              </w:rPr>
              <w:t>Three months ended September</w:t>
            </w:r>
          </w:p>
        </w:tc>
        <w:tc>
          <w:tcPr>
            <w:tcW w:w="260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86"/>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License revenue</w:t>
            </w:r>
          </w:p>
        </w:tc>
        <w:tc>
          <w:tcPr>
            <w:tcW w:w="1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Costs and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Non-cash stock expense associated with in–licensing agreements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Other research and development</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0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107,115</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76,537</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general and administrative</w:t>
            </w:r>
          </w:p>
        </w:tc>
        <w:tc>
          <w:tcPr>
            <w:tcW w:w="10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general and administrative</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loss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(34,328)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(31,585)</w:t>
            </w: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(120,250)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(87,677)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(31,536)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(119,622)</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(87,616)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Weighted average shares used in computing basic and diluted net loss per common</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0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78,221,069</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65,079,128</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74,399,243</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60,552,084</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540" w:type="dxa"/>
            <w:vAlign w:val="bottom"/>
            <w:tcBorders>
              <w:bottom w:val="single" w:sz="8" w:color="CCEEFF"/>
              <w:right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4"/>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gridSpan w:val="5"/>
            <w:shd w:val="clear" w:color="auto" w:fill="CCEEFF"/>
          </w:tcPr>
          <w:p>
            <w:pPr>
              <w:ind w:left="28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w w:val="95"/>
              </w:rPr>
              <w:t>Accumulated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2"/>
              </w:rPr>
              <w:t>paid-in capital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Deficit</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2018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73,181,750</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422,017</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4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(354,863)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6"/>
                <w:szCs w:val="16"/>
                <w:color w:val="auto"/>
              </w:rPr>
              <w:t>1,521,211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Forfeiture of restricted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(155,446)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Issuance of common stock in At-the-Market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spacing w:after="0"/>
              <w:rPr>
                <w:sz w:val="20"/>
                <w:szCs w:val="20"/>
                <w:color w:val="auto"/>
              </w:rPr>
            </w:pPr>
            <w:r>
              <w:rPr>
                <w:rFonts w:ascii="Arial" w:cs="Arial" w:eastAsia="Arial" w:hAnsi="Arial"/>
                <w:sz w:val="16"/>
                <w:szCs w:val="16"/>
                <w:color w:val="auto"/>
              </w:rPr>
              <w:t>offerings (net of offering costs of $2.0 million)</w:t>
            </w:r>
          </w:p>
        </w:tc>
        <w:tc>
          <w:tcPr>
            <w:tcW w:w="860" w:type="dxa"/>
            <w:vAlign w:val="bottom"/>
          </w:tcPr>
          <w:p>
            <w:pPr>
              <w:jc w:val="right"/>
              <w:spacing w:after="0"/>
              <w:rPr>
                <w:sz w:val="20"/>
                <w:szCs w:val="20"/>
                <w:color w:val="auto"/>
              </w:rPr>
            </w:pPr>
            <w:r>
              <w:rPr>
                <w:rFonts w:ascii="Arial" w:cs="Arial" w:eastAsia="Arial" w:hAnsi="Arial"/>
                <w:sz w:val="16"/>
                <w:szCs w:val="16"/>
                <w:color w:val="auto"/>
              </w:rPr>
              <w:t>8,091,949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108,937</w:t>
            </w: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108,945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Compensation in respect of restricted stock granted</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 employees, directors and consultants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Shares issued in connection with in-licensing</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spacing w:after="0"/>
              <w:rPr>
                <w:sz w:val="20"/>
                <w:szCs w:val="20"/>
                <w:color w:val="auto"/>
              </w:rPr>
            </w:pPr>
            <w:r>
              <w:rPr>
                <w:rFonts w:ascii="Arial" w:cs="Arial" w:eastAsia="Arial" w:hAnsi="Arial"/>
                <w:sz w:val="16"/>
                <w:szCs w:val="16"/>
                <w:color w:val="auto"/>
              </w:rPr>
              <w:t>agreements</w:t>
            </w:r>
          </w:p>
        </w:tc>
        <w:tc>
          <w:tcPr>
            <w:tcW w:w="860" w:type="dxa"/>
            <w:vAlign w:val="bottom"/>
          </w:tcPr>
          <w:p>
            <w:pPr>
              <w:jc w:val="right"/>
              <w:spacing w:after="0"/>
              <w:rPr>
                <w:sz w:val="20"/>
                <w:szCs w:val="20"/>
                <w:color w:val="auto"/>
              </w:rPr>
            </w:pPr>
            <w:r>
              <w:rPr>
                <w:rFonts w:ascii="Arial" w:cs="Arial" w:eastAsia="Arial" w:hAnsi="Arial"/>
                <w:sz w:val="16"/>
                <w:szCs w:val="16"/>
                <w:color w:val="auto"/>
              </w:rPr>
              <w:t>333,868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4,000</w:t>
            </w: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(119,622)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(119,622)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Borders>
              <w:right w:val="single" w:sz="8" w:color="CCEEFF"/>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Balance at September 30, 2018</w:t>
            </w:r>
          </w:p>
        </w:tc>
        <w:tc>
          <w:tcPr>
            <w:tcW w:w="860" w:type="dxa"/>
            <w:vAlign w:val="bottom"/>
          </w:tcPr>
          <w:p>
            <w:pPr>
              <w:jc w:val="right"/>
              <w:spacing w:after="0"/>
              <w:rPr>
                <w:sz w:val="20"/>
                <w:szCs w:val="20"/>
                <w:color w:val="auto"/>
              </w:rPr>
            </w:pPr>
            <w:r>
              <w:rPr>
                <w:rFonts w:ascii="Arial" w:cs="Arial" w:eastAsia="Arial" w:hAnsi="Arial"/>
                <w:sz w:val="16"/>
                <w:szCs w:val="16"/>
                <w:color w:val="auto"/>
              </w:rPr>
              <w:t>82,973,332</w:t>
            </w:r>
          </w:p>
        </w:tc>
        <w:tc>
          <w:tcPr>
            <w:tcW w:w="160" w:type="dxa"/>
            <w:vAlign w:val="bottom"/>
          </w:tcPr>
          <w:p>
            <w:pPr>
              <w:spacing w:after="0"/>
              <w:rPr>
                <w:sz w:val="17"/>
                <w:szCs w:val="17"/>
                <w:color w:val="auto"/>
              </w:rPr>
            </w:pPr>
          </w:p>
        </w:tc>
        <w:tc>
          <w:tcPr>
            <w:tcW w:w="5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83</w:t>
            </w:r>
          </w:p>
        </w:tc>
        <w:tc>
          <w:tcPr>
            <w:tcW w:w="4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546,380</w:t>
            </w: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41,309</w:t>
            </w:r>
          </w:p>
        </w:tc>
        <w:tc>
          <w:tcPr>
            <w:tcW w:w="4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7"/>
                <w:szCs w:val="17"/>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(474,485)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71,744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Nine months ended September 30,</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520" w:type="dxa"/>
            <w:vAlign w:val="bottom"/>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Net loss</w:t>
            </w:r>
          </w:p>
        </w:tc>
        <w:tc>
          <w:tcPr>
            <w:tcW w:w="16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w w:val="96"/>
              </w:rPr>
              <w:t>(119,622)</w:t>
            </w:r>
          </w:p>
        </w:tc>
        <w:tc>
          <w:tcPr>
            <w:tcW w:w="136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80"/>
              <w:spacing w:after="0"/>
              <w:rPr>
                <w:sz w:val="20"/>
                <w:szCs w:val="20"/>
                <w:color w:val="auto"/>
              </w:rPr>
            </w:pPr>
            <w:r>
              <w:rPr>
                <w:rFonts w:ascii="Arial" w:cs="Arial" w:eastAsia="Arial" w:hAnsi="Arial"/>
                <w:sz w:val="16"/>
                <w:szCs w:val="16"/>
                <w:color w:val="auto"/>
              </w:rPr>
              <w:t>(87,616)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Noncash stock compensation expense</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11,428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12,375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Noncash licensing expense</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Depreciation</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premium on investment securities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Change in fair value of notes payable</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Changes in assets and liabilities: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60"/>
              <w:spacing w:after="0"/>
              <w:rPr>
                <w:sz w:val="20"/>
                <w:szCs w:val="20"/>
                <w:color w:val="auto"/>
              </w:rPr>
            </w:pPr>
            <w:r>
              <w:rPr>
                <w:rFonts w:ascii="Arial" w:cs="Arial" w:eastAsia="Arial" w:hAnsi="Arial"/>
                <w:sz w:val="16"/>
                <w:szCs w:val="16"/>
                <w:color w:val="auto"/>
              </w:rPr>
              <w:t>(Increase) decrease in other current assets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(3,421)</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 in leasehold interest</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60"/>
              <w:spacing w:after="0"/>
              <w:rPr>
                <w:sz w:val="20"/>
                <w:szCs w:val="20"/>
                <w:color w:val="auto"/>
              </w:rPr>
            </w:pPr>
            <w:r>
              <w:rPr>
                <w:rFonts w:ascii="Arial" w:cs="Arial" w:eastAsia="Arial" w:hAnsi="Arial"/>
                <w:sz w:val="16"/>
                <w:szCs w:val="16"/>
                <w:color w:val="auto"/>
              </w:rPr>
              <w:t>Decrease in accrued interest receivable</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 in other assets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60"/>
              <w:spacing w:after="0"/>
              <w:rPr>
                <w:sz w:val="20"/>
                <w:szCs w:val="20"/>
                <w:color w:val="auto"/>
              </w:rPr>
            </w:pPr>
            <w:r>
              <w:rPr>
                <w:rFonts w:ascii="Arial" w:cs="Arial" w:eastAsia="Arial" w:hAnsi="Arial"/>
                <w:sz w:val="16"/>
                <w:szCs w:val="16"/>
                <w:color w:val="auto"/>
              </w:rPr>
              <w:t>Increase in accounts payable and accrued expenses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12,321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2,666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in deferred rent</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60"/>
              <w:spacing w:after="0"/>
              <w:rPr>
                <w:sz w:val="20"/>
                <w:szCs w:val="20"/>
                <w:color w:val="auto"/>
              </w:rPr>
            </w:pPr>
            <w:r>
              <w:rPr>
                <w:rFonts w:ascii="Arial" w:cs="Arial" w:eastAsia="Arial" w:hAnsi="Arial"/>
                <w:sz w:val="16"/>
                <w:szCs w:val="16"/>
                <w:color w:val="auto"/>
              </w:rPr>
              <w:t>Decrease in deferred revenue</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(114)</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(95,235)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Purchases of property, plant and equipment</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(84)</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Investment in held-to-maturity securities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(24,574)</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Proceeds from maturity of short-term securities</w:t>
            </w:r>
          </w:p>
        </w:tc>
        <w:tc>
          <w:tcPr>
            <w:tcW w:w="5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investing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19,798</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Proceeds from the exercise of warrants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2,143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from sale of common stock, net</w:t>
            </w:r>
          </w:p>
        </w:tc>
        <w:tc>
          <w:tcPr>
            <w:tcW w:w="5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108,945</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116,778</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5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108,945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118,921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14,652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66,814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5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6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71,957</w:t>
            </w:r>
          </w:p>
        </w:tc>
        <w:tc>
          <w:tcPr>
            <w:tcW w:w="300" w:type="dxa"/>
            <w:vAlign w:val="bottom"/>
          </w:tcPr>
          <w:p>
            <w:pPr>
              <w:spacing w:after="0"/>
              <w:rPr>
                <w:sz w:val="17"/>
                <w:szCs w:val="17"/>
                <w:color w:val="auto"/>
              </w:rPr>
            </w:pPr>
          </w:p>
        </w:tc>
        <w:tc>
          <w:tcPr>
            <w:tcW w:w="136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92,428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Reconciliation to amounts on consolidated balance sheets: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6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70,718</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91,842</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6"/>
                <w:szCs w:val="16"/>
                <w:color w:val="auto"/>
              </w:rPr>
              <w:t>Restricted cash</w:t>
            </w:r>
          </w:p>
        </w:tc>
        <w:tc>
          <w:tcPr>
            <w:tcW w:w="5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cash, cash equivalents and restricted cash</w:t>
            </w:r>
          </w:p>
        </w:tc>
        <w:tc>
          <w:tcPr>
            <w:tcW w:w="16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71,957</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92,428</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NONCASH TRANSACTIONS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40" w:type="dxa"/>
            <w:vAlign w:val="bottom"/>
          </w:tcPr>
          <w:p>
            <w:pPr>
              <w:ind w:left="160"/>
              <w:spacing w:after="0"/>
              <w:rPr>
                <w:sz w:val="20"/>
                <w:szCs w:val="20"/>
                <w:color w:val="auto"/>
              </w:rPr>
            </w:pPr>
            <w:r>
              <w:rPr>
                <w:rFonts w:ascii="Arial" w:cs="Arial" w:eastAsia="Arial" w:hAnsi="Arial"/>
                <w:sz w:val="16"/>
                <w:szCs w:val="16"/>
                <w:color w:val="auto"/>
              </w:rPr>
              <w:t>Reclassification of deferred financing costs to additional paid-in capital</w:t>
            </w:r>
          </w:p>
        </w:tc>
        <w:tc>
          <w:tcPr>
            <w:tcW w:w="16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6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Our lead therapeutic candidates are TG-1101 (ublituximab), a novel, glycoengineered monoclonal antibody that targets a unique epitope on the CD20 antigen found on mature B-lymphocytes and TGR-1202 (umbralisib), an orally available PI3K delta inhibitor. The delta isoform of PI3K is strongly expressed in cells of hematopoietic origin and is believed to be important in the proliferation and survival of B-lymphocytes. Both TG-1101 and TGR-1202, or the combination of which is referred to as "U2," are in Phase 3 clinical development for patients with hematologic malignancies, with TG-1101 also in Phase 3 clinical development for Multiple Sclerosis. Additionally, we have recently brought our anti-PD-L1 monoclonal antibody (TG-1501) into Phase 1 development and aim to bring additional pipeline assets into the clinic in the future.</w:t>
      </w:r>
    </w:p>
    <w:p>
      <w:pPr>
        <w:spacing w:after="0" w:line="17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2017. The accompanying condensed consolidated December 31, 2017 balance sheet has been derived from these statements. The results of operations for the nine months ended September 30, 2018 are not necessarily indicative of the results that may be expected for the entire fiscal year or any other interim period.</w:t>
      </w:r>
    </w:p>
    <w:p>
      <w:pPr>
        <w:spacing w:after="0" w:line="172"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Certain reclassifications have been made to the prior period unaudited condensed consolidated financial statements to conform to the current period presentation, including:</w:t>
      </w:r>
    </w:p>
    <w:p>
      <w:pPr>
        <w:spacing w:after="0" w:line="186" w:lineRule="exact"/>
        <w:rPr>
          <w:sz w:val="20"/>
          <w:szCs w:val="20"/>
          <w:color w:val="auto"/>
        </w:rPr>
      </w:pPr>
    </w:p>
    <w:p>
      <w:pPr>
        <w:ind w:left="720" w:hanging="224"/>
        <w:spacing w:after="0" w:line="33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Presentation of restricted cash on the condensed consolidated statements of cash flows for the nine months ended September 30, 2017, as a result of the adoption of Accounting Standards Update No. 2016-18, “Statement of Cash Flows – Restricted Cash” (“ASU 2016-18”) in the first quarter of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40" w:firstLine="486"/>
        <w:spacing w:after="0" w:line="268"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September 30, 2018, we have an accumulated deficit of approximately $474.5 million.</w:t>
      </w:r>
    </w:p>
    <w:p>
      <w:pPr>
        <w:spacing w:after="0" w:line="186" w:lineRule="exact"/>
        <w:rPr>
          <w:sz w:val="20"/>
          <w:szCs w:val="20"/>
          <w:color w:val="auto"/>
        </w:rPr>
      </w:pPr>
    </w:p>
    <w:p>
      <w:pPr>
        <w:ind w:right="120" w:firstLine="486"/>
        <w:spacing w:after="0" w:line="294" w:lineRule="auto"/>
        <w:rPr>
          <w:sz w:val="20"/>
          <w:szCs w:val="20"/>
          <w:color w:val="auto"/>
        </w:rPr>
      </w:pPr>
      <w:r>
        <w:rPr>
          <w:rFonts w:ascii="Arial" w:cs="Arial" w:eastAsia="Arial" w:hAnsi="Arial"/>
          <w:sz w:val="16"/>
          <w:szCs w:val="16"/>
          <w:color w:val="auto"/>
        </w:rPr>
        <w:t>Our major source of cash has been proceeds from the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completing any post-approval regulatory obligations; and successfully commercializing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right="140" w:firstLine="486"/>
        <w:spacing w:after="0" w:line="294" w:lineRule="auto"/>
        <w:rPr>
          <w:sz w:val="20"/>
          <w:szCs w:val="20"/>
          <w:color w:val="auto"/>
        </w:rPr>
      </w:pPr>
      <w:r>
        <w:rPr>
          <w:rFonts w:ascii="Arial" w:cs="Arial" w:eastAsia="Arial" w:hAnsi="Arial"/>
          <w:sz w:val="16"/>
          <w:szCs w:val="16"/>
          <w:color w:val="auto"/>
        </w:rPr>
        <w:t>As of September 30, 2018, we had approximately $97.8 million in cash, cash equivalents, investment securities, and interest receivable. The Company believes its cash, cash equivalents, investment securities, and interest receivable on hand as of September 30, 2018 will be sufficient to fund the Company’s planned operations through the end of 2019.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 (see Note 5 for further details).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2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40" w:firstLine="527"/>
        <w:spacing w:after="0" w:line="291" w:lineRule="auto"/>
        <w:rPr>
          <w:sz w:val="20"/>
          <w:szCs w:val="20"/>
          <w:color w:val="auto"/>
        </w:rPr>
      </w:pPr>
      <w:r>
        <w:rPr>
          <w:rFonts w:ascii="Arial" w:cs="Arial" w:eastAsia="Arial" w:hAnsi="Arial"/>
          <w:sz w:val="16"/>
          <w:szCs w:val="16"/>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74" w:lineRule="exact"/>
        <w:rPr>
          <w:sz w:val="20"/>
          <w:szCs w:val="20"/>
          <w:color w:val="auto"/>
        </w:rPr>
      </w:pPr>
    </w:p>
    <w:p>
      <w:pPr>
        <w:ind w:right="180" w:firstLine="527"/>
        <w:spacing w:after="0" w:line="291" w:lineRule="auto"/>
        <w:rPr>
          <w:sz w:val="20"/>
          <w:szCs w:val="20"/>
          <w:color w:val="auto"/>
        </w:rPr>
      </w:pPr>
      <w:r>
        <w:rPr>
          <w:rFonts w:ascii="Arial" w:cs="Arial" w:eastAsia="Arial" w:hAnsi="Arial"/>
          <w:sz w:val="16"/>
          <w:szCs w:val="16"/>
          <w:color w:val="auto"/>
        </w:rPr>
        <w:t>ASU 2018-11 provides an entity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840, Leases). An entity that elects this additional (and optional) transition method must provide the required Topic 840 disclosures for all periods that continue to be in accordance with Topic 840. The amendments do not change the existing disclosure requirements in Topic 840. An entity shall apply the effects of modification using one of the following two methods:</w:t>
      </w:r>
    </w:p>
    <w:p>
      <w:pPr>
        <w:spacing w:after="0" w:line="174" w:lineRule="exact"/>
        <w:rPr>
          <w:sz w:val="20"/>
          <w:szCs w:val="20"/>
          <w:color w:val="auto"/>
        </w:rPr>
      </w:pPr>
    </w:p>
    <w:p>
      <w:pPr>
        <w:jc w:val="both"/>
        <w:ind w:left="980" w:hanging="162"/>
        <w:spacing w:after="0" w:line="306"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Retrospectively to each prior reporting period presented in the financial statements with the cumulative effect of initially applying ASU 2018-11 recognized at the beginning of the earliest comparative period presented. Under this transition method, the application date shall be the later of the beginning of the earliest period presented in the financial statements and the commencement date of the lease.</w:t>
      </w:r>
    </w:p>
    <w:p>
      <w:pPr>
        <w:spacing w:after="0" w:line="160" w:lineRule="exact"/>
        <w:rPr>
          <w:rFonts w:ascii="Arial" w:cs="Arial" w:eastAsia="Arial" w:hAnsi="Arial"/>
          <w:sz w:val="16"/>
          <w:szCs w:val="16"/>
          <w:color w:val="auto"/>
        </w:rPr>
      </w:pPr>
    </w:p>
    <w:p>
      <w:pPr>
        <w:ind w:left="980" w:hanging="162"/>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Retrospectively at the beginning of the period of adoption through a cumulative-effect adjustment. Under this transition method, the application date shall be the beginning of the reporting period in which the entity first applies ASU 2018-11.</w:t>
      </w:r>
    </w:p>
    <w:p>
      <w:pPr>
        <w:spacing w:after="0" w:line="186" w:lineRule="exact"/>
        <w:rPr>
          <w:sz w:val="20"/>
          <w:szCs w:val="20"/>
          <w:color w:val="auto"/>
        </w:rPr>
      </w:pPr>
    </w:p>
    <w:p>
      <w:pPr>
        <w:ind w:right="300" w:firstLine="527"/>
        <w:spacing w:after="0" w:line="332" w:lineRule="auto"/>
        <w:rPr>
          <w:sz w:val="20"/>
          <w:szCs w:val="20"/>
          <w:color w:val="auto"/>
        </w:rPr>
      </w:pPr>
      <w:r>
        <w:rPr>
          <w:rFonts w:ascii="Arial" w:cs="Arial" w:eastAsia="Arial" w:hAnsi="Arial"/>
          <w:sz w:val="16"/>
          <w:szCs w:val="16"/>
          <w:color w:val="auto"/>
        </w:rPr>
        <w:t>ASU 2018-11 is effective for public business entities for fiscal years beginning after December 15, 2018, and interim periods within those fiscal years, with earlier adoption permitted. We are currently evaluating the impact the adoption of ASU 2018-11 will have on our consolidated financial statements.</w:t>
      </w:r>
    </w:p>
    <w:p>
      <w:pPr>
        <w:spacing w:after="0" w:line="139" w:lineRule="exact"/>
        <w:rPr>
          <w:sz w:val="20"/>
          <w:szCs w:val="20"/>
          <w:color w:val="auto"/>
        </w:rPr>
      </w:pPr>
    </w:p>
    <w:p>
      <w:pPr>
        <w:ind w:right="100" w:firstLine="527"/>
        <w:spacing w:after="0" w:line="290"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2" w:lineRule="exact"/>
        <w:rPr>
          <w:sz w:val="20"/>
          <w:szCs w:val="20"/>
          <w:color w:val="auto"/>
        </w:rPr>
      </w:pPr>
    </w:p>
    <w:p>
      <w:pPr>
        <w:jc w:val="both"/>
        <w:ind w:right="40" w:firstLine="527"/>
        <w:spacing w:after="0" w:line="259"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We expect the impact to our consolidated statements of operations could be material given potential fluctuations in our stock price as of the adoption date.</w:t>
      </w:r>
    </w:p>
    <w:p>
      <w:pPr>
        <w:spacing w:after="0" w:line="194" w:lineRule="exact"/>
        <w:rPr>
          <w:sz w:val="20"/>
          <w:szCs w:val="20"/>
          <w:color w:val="auto"/>
        </w:rPr>
      </w:pPr>
    </w:p>
    <w:p>
      <w:pPr>
        <w:jc w:val="both"/>
        <w:ind w:right="80" w:firstLine="527"/>
        <w:spacing w:after="0" w:line="259" w:lineRule="auto"/>
        <w:rPr>
          <w:sz w:val="20"/>
          <w:szCs w:val="20"/>
          <w:color w:val="auto"/>
        </w:rPr>
      </w:pPr>
      <w:r>
        <w:rPr>
          <w:rFonts w:ascii="Arial" w:cs="Arial" w:eastAsia="Arial" w:hAnsi="Arial"/>
          <w:sz w:val="18"/>
          <w:szCs w:val="18"/>
          <w:color w:val="auto"/>
        </w:rPr>
        <w:t>In May 2017, the FASB issued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94" w:lineRule="exact"/>
        <w:rPr>
          <w:sz w:val="20"/>
          <w:szCs w:val="20"/>
          <w:color w:val="auto"/>
        </w:rPr>
      </w:pPr>
    </w:p>
    <w:p>
      <w:pPr>
        <w:jc w:val="both"/>
        <w:ind w:left="980" w:hanging="162"/>
        <w:spacing w:after="0" w:line="298"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66" w:lineRule="exact"/>
        <w:rPr>
          <w:rFonts w:ascii="Arial" w:cs="Arial" w:eastAsia="Arial" w:hAnsi="Arial"/>
          <w:sz w:val="16"/>
          <w:szCs w:val="16"/>
          <w:color w:val="auto"/>
        </w:rPr>
      </w:pPr>
    </w:p>
    <w:p>
      <w:pPr>
        <w:ind w:left="980" w:hanging="162"/>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spacing w:after="0" w:line="185"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6" w:lineRule="exact"/>
        <w:rPr>
          <w:sz w:val="20"/>
          <w:szCs w:val="20"/>
          <w:color w:val="auto"/>
        </w:rPr>
      </w:pPr>
    </w:p>
    <w:p>
      <w:pPr>
        <w:ind w:right="20" w:firstLine="527"/>
        <w:spacing w:after="0" w:line="255" w:lineRule="auto"/>
        <w:rPr>
          <w:sz w:val="20"/>
          <w:szCs w:val="20"/>
          <w:color w:val="auto"/>
        </w:rPr>
      </w:pPr>
      <w:r>
        <w:rPr>
          <w:rFonts w:ascii="Arial" w:cs="Arial" w:eastAsia="Arial" w:hAnsi="Arial"/>
          <w:sz w:val="18"/>
          <w:szCs w:val="18"/>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adopted ASU 2017-09 on January 1, 2018. The adoption of ASU 2017-09 did not have a material effect on our consolidated financial statements as of September 30, 2018.</w:t>
      </w:r>
    </w:p>
    <w:p>
      <w:pPr>
        <w:spacing w:after="0" w:line="19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 w:name="page10"/>
    <w:bookmarkEnd w:id="9"/>
    <w:p>
      <w:pPr>
        <w:ind w:right="280" w:firstLine="527"/>
        <w:spacing w:after="0" w:line="294" w:lineRule="auto"/>
        <w:rPr>
          <w:sz w:val="20"/>
          <w:szCs w:val="20"/>
          <w:color w:val="auto"/>
        </w:rPr>
      </w:pPr>
      <w:r>
        <w:rPr>
          <w:rFonts w:ascii="Arial" w:cs="Arial" w:eastAsia="Arial" w:hAnsi="Arial"/>
          <w:sz w:val="16"/>
          <w:szCs w:val="16"/>
          <w:color w:val="auto"/>
        </w:rPr>
        <w:t>In November 2016, the FASB issued ASU No. 2016-18, “Statement of Cash Flows – Restricted Cash” (“ASU 2016-18”). ASU 2016-18 requires that a statement of cash flows explain the change during the period for the total of cash, cash equivalents, and amounts generally described as restricted cash or restricted cash equivalents. ASU 2016-18 does not provide a definition of restricted cash or restricted cash equivalents, and does not change the balance sheet presentation for such items. The Company adopted ASU 2016-18 on January 1, 2018. The adoption of ASU 2016-18 did not have a material effect on our consolidated financial statements as of September 30, 2018.</w:t>
      </w:r>
    </w:p>
    <w:p>
      <w:pPr>
        <w:spacing w:after="0" w:line="170" w:lineRule="exact"/>
        <w:rPr>
          <w:sz w:val="20"/>
          <w:szCs w:val="20"/>
          <w:color w:val="auto"/>
        </w:rPr>
      </w:pPr>
    </w:p>
    <w:p>
      <w:pPr>
        <w:ind w:right="200" w:firstLine="527"/>
        <w:spacing w:after="0" w:line="298"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or “ASC 606”),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67" w:lineRule="exact"/>
        <w:rPr>
          <w:sz w:val="20"/>
          <w:szCs w:val="20"/>
          <w:color w:val="auto"/>
        </w:rPr>
      </w:pPr>
    </w:p>
    <w:p>
      <w:pPr>
        <w:jc w:val="both"/>
        <w:ind w:firstLine="527"/>
        <w:spacing w:after="0" w:line="259" w:lineRule="auto"/>
        <w:rPr>
          <w:sz w:val="20"/>
          <w:szCs w:val="20"/>
          <w:color w:val="auto"/>
        </w:rPr>
      </w:pPr>
      <w:r>
        <w:rPr>
          <w:rFonts w:ascii="Arial" w:cs="Arial" w:eastAsia="Arial" w:hAnsi="Arial"/>
          <w:sz w:val="18"/>
          <w:szCs w:val="18"/>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94" w:lineRule="exact"/>
        <w:rPr>
          <w:sz w:val="20"/>
          <w:szCs w:val="20"/>
          <w:color w:val="auto"/>
        </w:rPr>
      </w:pPr>
    </w:p>
    <w:p>
      <w:pPr>
        <w:ind w:right="420" w:firstLine="527"/>
        <w:spacing w:after="0" w:line="298" w:lineRule="auto"/>
        <w:rPr>
          <w:sz w:val="20"/>
          <w:szCs w:val="20"/>
          <w:color w:val="auto"/>
        </w:rPr>
      </w:pPr>
      <w:r>
        <w:rPr>
          <w:rFonts w:ascii="Arial" w:cs="Arial" w:eastAsia="Arial" w:hAnsi="Arial"/>
          <w:sz w:val="16"/>
          <w:szCs w:val="16"/>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condensed consolidated financial statements.</w:t>
      </w:r>
    </w:p>
    <w:p>
      <w:pPr>
        <w:spacing w:after="0" w:line="167" w:lineRule="exact"/>
        <w:rPr>
          <w:sz w:val="20"/>
          <w:szCs w:val="20"/>
          <w:color w:val="auto"/>
        </w:rPr>
      </w:pPr>
    </w:p>
    <w:p>
      <w:pPr>
        <w:ind w:right="740" w:firstLine="527"/>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527"/>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We record cash pledged or held in trust as restricted cash. As of September 30, 2018 and December 31, 2017, we have approximately $1.2 million and $0.6 million, respectively, of restricted cash pledged to secure a line of credit as a security deposit for an Office Agreement (see Note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Investment securities at September 30, 2018 and December 31, 2017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6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440" w:firstLine="486"/>
        <w:spacing w:after="0" w:line="306" w:lineRule="auto"/>
        <w:rPr>
          <w:sz w:val="20"/>
          <w:szCs w:val="20"/>
          <w:color w:val="auto"/>
        </w:rPr>
      </w:pPr>
      <w:r>
        <w:rPr>
          <w:rFonts w:ascii="Arial" w:cs="Arial" w:eastAsia="Arial" w:hAnsi="Arial"/>
          <w:sz w:val="16"/>
          <w:szCs w:val="16"/>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would be included in interest and other (income) expense, net. Dividend and interest income are recognized when earned.</w:t>
      </w:r>
    </w:p>
    <w:p>
      <w:pPr>
        <w:spacing w:after="0" w:line="16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486"/>
        <w:spacing w:after="0" w:line="301" w:lineRule="auto"/>
        <w:rPr>
          <w:sz w:val="20"/>
          <w:szCs w:val="20"/>
          <w:color w:val="auto"/>
        </w:rPr>
      </w:pPr>
      <w:r>
        <w:rPr>
          <w:rFonts w:ascii="Arial" w:cs="Arial" w:eastAsia="Arial" w:hAnsi="Arial"/>
          <w:sz w:val="15"/>
          <w:szCs w:val="15"/>
          <w:color w:val="auto"/>
        </w:rPr>
        <w:t>We recognize license revenue in accordance with the revenue recognition guidance of ASC 606.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a promise to transfer more than one good or service to the customer, in which case the Company would account for each promised good or service as a performance obligation only if it is (1) distinct or (2) a series of distinct goods or services that are substantially the same and have the same pattern of transfer. For each performance obligation, the Company would determine whether we satisfy the performance obligation over time by transferring control of a good or service over time. To determine whether the Company’s promise is to provide a right to access its intellectual property or a right to use its intellectual property, the Company would consider the nature of the intellectual property to which the customer will have rights. The Company has symbolic intellectual property, derived from its association with the Company’s ongoing activities, including its ordinary business activities. We recognize milestone payments as revenue upon the achievement of specified milestones only if (1) the milestone payment is non-refundable,</w:t>
      </w:r>
    </w:p>
    <w:p>
      <w:pPr>
        <w:spacing w:after="0" w:line="4" w:lineRule="exact"/>
        <w:rPr>
          <w:sz w:val="20"/>
          <w:szCs w:val="20"/>
          <w:color w:val="auto"/>
        </w:rPr>
      </w:pPr>
    </w:p>
    <w:p>
      <w:pPr>
        <w:ind w:right="120" w:firstLine="8"/>
        <w:spacing w:after="0" w:line="255"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 w:name="page12"/>
    <w:bookmarkEnd w:id="11"/>
    <w:p>
      <w:pPr>
        <w:jc w:val="both"/>
        <w:ind w:right="120" w:firstLine="486"/>
        <w:spacing w:after="0" w:line="298" w:lineRule="auto"/>
        <w:rPr>
          <w:sz w:val="20"/>
          <w:szCs w:val="20"/>
          <w:color w:val="auto"/>
        </w:rPr>
      </w:pPr>
      <w:r>
        <w:rPr>
          <w:rFonts w:ascii="Arial" w:cs="Arial" w:eastAsia="Arial" w:hAnsi="Arial"/>
          <w:sz w:val="16"/>
          <w:szCs w:val="16"/>
          <w:color w:val="auto"/>
        </w:rPr>
        <w:t>Prepaid research and development in our consolidated balance sheets includes, among other things, costs related to agreements with CRO’s, certain costs to third party service providers related to development and manufacturing services as well as clinical development. These agreements often require payments in advance of services performed or goods received. Accordingly, as of September 30, 2018 and December 31, 2017, we recorded approximately $11.4 million and $8.1 million, respectively, in prepaid research and development related to such advance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40" w:firstLine="527"/>
        <w:spacing w:after="0" w:line="298" w:lineRule="auto"/>
        <w:rPr>
          <w:sz w:val="20"/>
          <w:szCs w:val="20"/>
          <w:color w:val="auto"/>
        </w:rPr>
      </w:pPr>
      <w:r>
        <w:rPr>
          <w:rFonts w:ascii="Arial" w:cs="Arial" w:eastAsia="Arial" w:hAnsi="Arial"/>
          <w:sz w:val="16"/>
          <w:szCs w:val="16"/>
          <w:color w:val="auto"/>
        </w:rPr>
        <w:t>We recognize all share-based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67" w:lineRule="exact"/>
        <w:rPr>
          <w:sz w:val="20"/>
          <w:szCs w:val="20"/>
          <w:color w:val="auto"/>
        </w:rPr>
      </w:pPr>
    </w:p>
    <w:p>
      <w:pPr>
        <w:ind w:right="60" w:firstLine="527"/>
        <w:spacing w:after="0" w:line="255"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7" w:lineRule="exact"/>
        <w:rPr>
          <w:sz w:val="20"/>
          <w:szCs w:val="20"/>
          <w:color w:val="auto"/>
        </w:rPr>
      </w:pPr>
    </w:p>
    <w:p>
      <w:pPr>
        <w:ind w:right="100" w:firstLine="527"/>
        <w:spacing w:after="0" w:line="259" w:lineRule="auto"/>
        <w:rPr>
          <w:sz w:val="20"/>
          <w:szCs w:val="20"/>
          <w:color w:val="auto"/>
        </w:rPr>
      </w:pPr>
      <w:r>
        <w:rPr>
          <w:rFonts w:ascii="Arial" w:cs="Arial" w:eastAsia="Arial" w:hAnsi="Arial"/>
          <w:sz w:val="18"/>
          <w:szCs w:val="18"/>
          <w:color w:val="auto"/>
        </w:rPr>
        <w:t>In addition, because some of the restricted stock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right="240" w:firstLine="527"/>
        <w:spacing w:after="0" w:line="291"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following outstanding shares of common stock equivalents were excluded from the computation of net loss per share attributable to common stockholders for the periods presented because including them would have been antidilutive:</w:t>
      </w:r>
    </w:p>
    <w:p>
      <w:pPr>
        <w:spacing w:after="0" w:line="168" w:lineRule="exact"/>
        <w:rPr>
          <w:sz w:val="20"/>
          <w:szCs w:val="20"/>
          <w:color w:val="auto"/>
        </w:rPr>
      </w:pPr>
    </w:p>
    <w:p>
      <w:pPr>
        <w:ind w:left="9180"/>
        <w:spacing w:after="0"/>
        <w:rPr>
          <w:sz w:val="20"/>
          <w:szCs w:val="20"/>
          <w:color w:val="auto"/>
        </w:rPr>
      </w:pPr>
      <w:r>
        <w:rPr>
          <w:rFonts w:ascii="Arial" w:cs="Arial" w:eastAsia="Arial" w:hAnsi="Arial"/>
          <w:sz w:val="18"/>
          <w:szCs w:val="18"/>
          <w:b w:val="1"/>
          <w:bCs w:val="1"/>
          <w:color w:val="auto"/>
        </w:rPr>
        <w:t>Three and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 w:lineRule="exact"/>
        <w:rPr>
          <w:sz w:val="20"/>
          <w:szCs w:val="20"/>
          <w:color w:val="auto"/>
        </w:rPr>
      </w:pPr>
    </w:p>
    <w:p>
      <w:pPr>
        <w:ind w:left="9220"/>
        <w:spacing w:after="0"/>
        <w:rPr>
          <w:sz w:val="20"/>
          <w:szCs w:val="20"/>
          <w:color w:val="auto"/>
        </w:rPr>
      </w:pPr>
      <w:r>
        <w:rPr>
          <w:rFonts w:ascii="Arial" w:cs="Arial" w:eastAsia="Arial" w:hAnsi="Arial"/>
          <w:sz w:val="18"/>
          <w:szCs w:val="18"/>
          <w:b w:val="1"/>
          <w:bCs w:val="1"/>
          <w:color w:val="auto"/>
        </w:rPr>
        <w:t>Ended September 30,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4,604,775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4,141,680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Stock options</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610,000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note conversion</w:t>
            </w:r>
          </w:p>
        </w:tc>
        <w:tc>
          <w:tcPr>
            <w:tcW w:w="46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16,147</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5,230,922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4,157,052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80" w:type="dxa"/>
            <w:vAlign w:val="bottom"/>
            <w:vMerge w:val="restart"/>
          </w:tcPr>
          <w:p>
            <w:pPr>
              <w:jc w:val="right"/>
              <w:ind w:right="2932"/>
              <w:spacing w:after="0"/>
              <w:rPr>
                <w:sz w:val="20"/>
                <w:szCs w:val="20"/>
                <w:color w:val="auto"/>
              </w:rPr>
            </w:pPr>
            <w:r>
              <w:rPr>
                <w:rFonts w:ascii="Arial" w:cs="Arial" w:eastAsia="Arial" w:hAnsi="Arial"/>
                <w:sz w:val="18"/>
                <w:szCs w:val="18"/>
                <w:color w:val="auto"/>
              </w:rPr>
              <w:t>12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20" w:type="dxa"/>
            <w:vAlign w:val="bottom"/>
            <w:tcBorders>
              <w:bottom w:val="single" w:sz="8" w:color="auto"/>
            </w:tcBorders>
          </w:tcPr>
          <w:p>
            <w:pPr>
              <w:spacing w:after="0"/>
              <w:rPr>
                <w:sz w:val="14"/>
                <w:szCs w:val="14"/>
                <w:color w:val="auto"/>
              </w:rPr>
            </w:pPr>
          </w:p>
        </w:tc>
        <w:tc>
          <w:tcPr>
            <w:tcW w:w="4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80" w:firstLine="486"/>
        <w:spacing w:after="0" w:line="323" w:lineRule="auto"/>
        <w:rPr>
          <w:sz w:val="20"/>
          <w:szCs w:val="20"/>
          <w:color w:val="auto"/>
        </w:rPr>
      </w:pPr>
      <w:r>
        <w:rPr>
          <w:rFonts w:ascii="Arial" w:cs="Arial" w:eastAsia="Arial" w:hAnsi="Arial"/>
          <w:sz w:val="15"/>
          <w:szCs w:val="15"/>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 Expense and Deferred Rent</w:t>
      </w:r>
    </w:p>
    <w:p>
      <w:pPr>
        <w:spacing w:after="0" w:line="225" w:lineRule="exact"/>
        <w:rPr>
          <w:sz w:val="20"/>
          <w:szCs w:val="20"/>
          <w:color w:val="auto"/>
        </w:rPr>
      </w:pPr>
    </w:p>
    <w:p>
      <w:pPr>
        <w:ind w:right="260" w:firstLine="527"/>
        <w:spacing w:after="0" w:line="335" w:lineRule="auto"/>
        <w:rPr>
          <w:sz w:val="20"/>
          <w:szCs w:val="20"/>
          <w:color w:val="auto"/>
        </w:rPr>
      </w:pPr>
      <w:r>
        <w:rPr>
          <w:rFonts w:ascii="Arial" w:cs="Arial" w:eastAsia="Arial" w:hAnsi="Arial"/>
          <w:sz w:val="15"/>
          <w:szCs w:val="15"/>
          <w:color w:val="auto"/>
        </w:rPr>
        <w:t>Rent expense and lease incentives, including landlord construction allowances, are recognized on a straight-line basis over the lease term, commencing generally on the date the Company takes possession of the leased property. The Company records lease incentives as deferred rent and recognizes the lease incentives as reductions of rental expense. The unamortized portion of deferred rent is included in deferred rent in the condensed consolidated balance sheets.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summarize our cash and cash equivalents at September 30, 2018 and December 31,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0"/>
                <w:szCs w:val="20"/>
                <w:color w:val="auto"/>
              </w:rPr>
            </w:pPr>
          </w:p>
        </w:tc>
        <w:tc>
          <w:tcPr>
            <w:tcW w:w="23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8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920" w:type="dxa"/>
            <w:vAlign w:val="bottom"/>
            <w:tcBorders>
              <w:top w:val="single" w:sz="8" w:color="auto"/>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90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Checking and bank deposits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68,352</w:t>
            </w:r>
          </w:p>
        </w:tc>
        <w:tc>
          <w:tcPr>
            <w:tcW w:w="7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420"/>
              <w:spacing w:after="0"/>
              <w:rPr>
                <w:sz w:val="20"/>
                <w:szCs w:val="20"/>
                <w:color w:val="auto"/>
              </w:rPr>
            </w:pPr>
            <w:r>
              <w:rPr>
                <w:rFonts w:ascii="Arial" w:cs="Arial" w:eastAsia="Arial" w:hAnsi="Arial"/>
                <w:sz w:val="18"/>
                <w:szCs w:val="18"/>
                <w:color w:val="auto"/>
              </w:rPr>
              <w:t>55,682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70,718</w:t>
            </w:r>
          </w:p>
        </w:tc>
        <w:tc>
          <w:tcPr>
            <w:tcW w:w="7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420"/>
              <w:spacing w:after="0"/>
              <w:rPr>
                <w:sz w:val="20"/>
                <w:szCs w:val="20"/>
                <w:color w:val="auto"/>
              </w:rPr>
            </w:pPr>
            <w:r>
              <w:rPr>
                <w:rFonts w:ascii="Arial" w:cs="Arial" w:eastAsia="Arial" w:hAnsi="Arial"/>
                <w:sz w:val="18"/>
                <w:szCs w:val="18"/>
                <w:color w:val="auto"/>
              </w:rPr>
              <w:t>56,718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1" w:lineRule="exact"/>
        <w:rPr>
          <w:sz w:val="20"/>
          <w:szCs w:val="20"/>
          <w:color w:val="auto"/>
        </w:rPr>
      </w:pPr>
    </w:p>
    <w:p>
      <w:pPr>
        <w:ind w:right="580" w:firstLine="527"/>
        <w:spacing w:after="0" w:line="268" w:lineRule="auto"/>
        <w:rPr>
          <w:sz w:val="20"/>
          <w:szCs w:val="20"/>
          <w:color w:val="auto"/>
        </w:rPr>
      </w:pPr>
      <w:r>
        <w:rPr>
          <w:rFonts w:ascii="Arial" w:cs="Arial" w:eastAsia="Arial" w:hAnsi="Arial"/>
          <w:sz w:val="18"/>
          <w:szCs w:val="18"/>
          <w:color w:val="auto"/>
        </w:rPr>
        <w:t>Our investments as of September 30, 2018 and December 31, 2017 are classified as held-to-maturity. Held-to-maturity investments are recorded at amortized cost.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summarize our investment securities at September 30, 2018 and December 31,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8"/>
                <w:szCs w:val="18"/>
                <w:b w:val="1"/>
                <w:bCs w:val="1"/>
                <w:color w:val="auto"/>
              </w:rPr>
              <w:t>September 30, 2018</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unrealized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0"/>
              </w:rPr>
              <w:t>cost, as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holding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holding gains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71"/>
              </w:rPr>
              <w:t>losses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3"/>
              </w:rPr>
              <w:t>Obligations of domestic governmental agencies (maturing between October 2018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and September 2019)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27,024</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27,005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27,005</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December 31, 2017</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unrealized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0"/>
              </w:rPr>
              <w:t>cost, as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holding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holding gains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71"/>
              </w:rPr>
              <w:t>losses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3"/>
              </w:rPr>
              <w:t>Obligations of domestic governmental agencies (maturing between January 2018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and November 2018)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27,999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27,999</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27,964</w:t>
            </w:r>
          </w:p>
        </w:tc>
        <w:tc>
          <w:tcPr>
            <w:tcW w:w="2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060" w:type="dxa"/>
            <w:vAlign w:val="bottom"/>
            <w:tcBorders>
              <w:top w:val="single" w:sz="8" w:color="CCEEFF"/>
            </w:tcBorders>
          </w:tcPr>
          <w:p>
            <w:pPr>
              <w:jc w:val="right"/>
              <w:ind w:right="192"/>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ind w:right="220" w:firstLine="527"/>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94" w:lineRule="exact"/>
        <w:rPr>
          <w:sz w:val="20"/>
          <w:szCs w:val="20"/>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200" w:firstLine="527"/>
        <w:spacing w:after="0" w:line="268" w:lineRule="auto"/>
        <w:rPr>
          <w:sz w:val="20"/>
          <w:szCs w:val="20"/>
          <w:color w:val="auto"/>
        </w:rPr>
      </w:pPr>
      <w:r>
        <w:rPr>
          <w:rFonts w:ascii="Arial" w:cs="Arial" w:eastAsia="Arial" w:hAnsi="Arial"/>
          <w:sz w:val="18"/>
          <w:szCs w:val="18"/>
          <w:color w:val="auto"/>
        </w:rPr>
        <w:t>As of September 30, 2018 and December 31, 2017, the fair values of cash and cash equivalents, restricted cash, accounts payable, and notes and interest payable, approximate their carrying value.</w:t>
      </w:r>
    </w:p>
    <w:p>
      <w:pPr>
        <w:spacing w:after="0" w:line="186" w:lineRule="exact"/>
        <w:rPr>
          <w:sz w:val="20"/>
          <w:szCs w:val="20"/>
          <w:color w:val="auto"/>
        </w:rPr>
      </w:pPr>
    </w:p>
    <w:p>
      <w:pPr>
        <w:ind w:right="220" w:firstLine="527"/>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ind w:right="60" w:firstLine="527"/>
        <w:spacing w:after="0" w:line="268" w:lineRule="auto"/>
        <w:rPr>
          <w:sz w:val="20"/>
          <w:szCs w:val="20"/>
          <w:color w:val="auto"/>
        </w:rPr>
      </w:pPr>
      <w:r>
        <w:rPr>
          <w:rFonts w:ascii="Arial" w:cs="Arial" w:eastAsia="Arial" w:hAnsi="Arial"/>
          <w:sz w:val="18"/>
          <w:szCs w:val="18"/>
          <w:color w:val="auto"/>
        </w:rPr>
        <w:t>The cumulative liability including accrued and unpaid interest of the 5% Notes was approximately $18.2 million at September 30, 2018 and $17.5 million at December 31, 2017. No payments have been made on the 5% Notes as of September 30, 2018.</w:t>
      </w:r>
    </w:p>
    <w:p>
      <w:pPr>
        <w:spacing w:after="0" w:line="186" w:lineRule="exact"/>
        <w:rPr>
          <w:sz w:val="20"/>
          <w:szCs w:val="20"/>
          <w:color w:val="auto"/>
        </w:rPr>
      </w:pPr>
    </w:p>
    <w:p>
      <w:pPr>
        <w:ind w:right="680" w:firstLine="527"/>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ind w:firstLine="527"/>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September 30, 2018 and December 31, 2017.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September 30, 2018 and December 31, 2017:</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5140" w:type="dxa"/>
            <w:vAlign w:val="bottom"/>
            <w:tcBorders>
              <w:bottom w:val="single" w:sz="8" w:color="auto"/>
            </w:tcBorders>
            <w:gridSpan w:val="11"/>
          </w:tcPr>
          <w:p>
            <w:pPr>
              <w:jc w:val="right"/>
              <w:ind w:right="332"/>
              <w:spacing w:after="0"/>
              <w:rPr>
                <w:sz w:val="20"/>
                <w:szCs w:val="20"/>
                <w:color w:val="auto"/>
              </w:rPr>
            </w:pPr>
            <w:r>
              <w:rPr>
                <w:rFonts w:ascii="Arial" w:cs="Arial" w:eastAsia="Arial" w:hAnsi="Arial"/>
                <w:sz w:val="18"/>
                <w:szCs w:val="18"/>
                <w:b w:val="1"/>
                <w:bCs w:val="1"/>
                <w:color w:val="auto"/>
                <w:w w:val="96"/>
              </w:rPr>
              <w:t>Financial liabilities at fair value as of September 30, 2018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140" w:type="dxa"/>
            <w:vAlign w:val="bottom"/>
            <w:tcBorders>
              <w:bottom w:val="single" w:sz="8" w:color="auto"/>
            </w:tcBorders>
            <w:gridSpan w:val="11"/>
          </w:tcPr>
          <w:p>
            <w:pPr>
              <w:jc w:val="right"/>
              <w:ind w:right="352"/>
              <w:spacing w:after="0"/>
              <w:rPr>
                <w:sz w:val="20"/>
                <w:szCs w:val="20"/>
                <w:color w:val="auto"/>
              </w:rPr>
            </w:pPr>
            <w:r>
              <w:rPr>
                <w:rFonts w:ascii="Arial" w:cs="Arial" w:eastAsia="Arial" w:hAnsi="Arial"/>
                <w:sz w:val="18"/>
                <w:szCs w:val="18"/>
                <w:b w:val="1"/>
                <w:bCs w:val="1"/>
                <w:color w:val="auto"/>
                <w:w w:val="97"/>
              </w:rPr>
              <w:t>Financial liabilities at fair value as of December 31, 2017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5"/>
          <w:szCs w:val="15"/>
          <w:color w:val="auto"/>
        </w:rPr>
        <w:t>The following table summarizes the changes in Level 3 instruments during the nine months ended September 30, 2018:</w:t>
      </w:r>
    </w:p>
    <w:p>
      <w:pPr>
        <w:sectPr>
          <w:pgSz w:w="11900" w:h="16838" w:orient="portrait"/>
          <w:cols w:equalWidth="0" w:num="1">
            <w:col w:w="11420"/>
          </w:cols>
          <w:pgMar w:left="240" w:top="509" w:right="2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Fair value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Interest accrued on face value of 5% Notes</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Change in fair value of Level 3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Fair value at March 31, 2018</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Interest accrued on face value of 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Change in fair value of Level 3 liabilities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Fair value at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Interest accrued on face value of 5% Notes</w:t>
      </w:r>
    </w:p>
    <w:p>
      <w:pPr>
        <w:spacing w:after="0" w:line="7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Change in fair value of Level 3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Fair value at September 30, 2018</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768" w:hanging="768"/>
        <w:spacing w:after="0"/>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128</w:t>
      </w:r>
    </w:p>
    <w:p>
      <w:pPr>
        <w:spacing w:after="0" w:line="15" w:lineRule="exact"/>
        <w:rPr>
          <w:rFonts w:ascii="Arial" w:cs="Arial" w:eastAsia="Arial" w:hAnsi="Arial"/>
          <w:sz w:val="18"/>
          <w:szCs w:val="18"/>
          <w:color w:val="auto"/>
        </w:rPr>
      </w:pPr>
    </w:p>
    <w:p>
      <w:pPr>
        <w:ind w:left="768"/>
        <w:spacing w:after="0"/>
        <w:rPr>
          <w:rFonts w:ascii="Arial" w:cs="Arial" w:eastAsia="Arial" w:hAnsi="Arial"/>
          <w:sz w:val="18"/>
          <w:szCs w:val="18"/>
          <w:color w:val="auto"/>
        </w:rPr>
      </w:pPr>
      <w:r>
        <w:rPr>
          <w:rFonts w:ascii="Arial" w:cs="Arial" w:eastAsia="Arial" w:hAnsi="Arial"/>
          <w:sz w:val="18"/>
          <w:szCs w:val="18"/>
          <w:color w:val="auto"/>
        </w:rPr>
        <w:t>213</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(117)</w:t>
      </w:r>
    </w:p>
    <w:p>
      <w:pPr>
        <w:spacing w:after="0" w:line="57" w:lineRule="exact"/>
        <w:rPr>
          <w:sz w:val="20"/>
          <w:szCs w:val="20"/>
          <w:color w:val="auto"/>
        </w:rPr>
      </w:pPr>
    </w:p>
    <w:p>
      <w:pPr>
        <w:ind w:left="768"/>
        <w:spacing w:after="0"/>
        <w:rPr>
          <w:sz w:val="20"/>
          <w:szCs w:val="20"/>
          <w:color w:val="auto"/>
        </w:rPr>
      </w:pPr>
      <w:r>
        <w:rPr>
          <w:rFonts w:ascii="Arial" w:cs="Arial" w:eastAsia="Arial" w:hAnsi="Arial"/>
          <w:sz w:val="18"/>
          <w:szCs w:val="18"/>
          <w:color w:val="auto"/>
        </w:rPr>
        <w:t>224</w:t>
      </w:r>
    </w:p>
    <w:p>
      <w:pPr>
        <w:spacing w:after="0" w:line="36" w:lineRule="exact"/>
        <w:rPr>
          <w:sz w:val="20"/>
          <w:szCs w:val="20"/>
          <w:color w:val="auto"/>
        </w:rPr>
      </w:pPr>
    </w:p>
    <w:p>
      <w:pPr>
        <w:ind w:left="768"/>
        <w:spacing w:after="0"/>
        <w:rPr>
          <w:sz w:val="20"/>
          <w:szCs w:val="20"/>
          <w:color w:val="auto"/>
        </w:rPr>
      </w:pPr>
      <w:r>
        <w:rPr>
          <w:rFonts w:ascii="Arial" w:cs="Arial" w:eastAsia="Arial" w:hAnsi="Arial"/>
          <w:sz w:val="18"/>
          <w:szCs w:val="18"/>
          <w:color w:val="auto"/>
        </w:rPr>
        <w:t>223</w:t>
      </w:r>
    </w:p>
    <w:p>
      <w:pPr>
        <w:spacing w:after="0" w:line="15"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37" w:lineRule="exact"/>
        <w:rPr>
          <w:sz w:val="20"/>
          <w:szCs w:val="20"/>
          <w:color w:val="auto"/>
        </w:rPr>
      </w:pPr>
    </w:p>
    <w:p>
      <w:pPr>
        <w:ind w:left="768"/>
        <w:spacing w:after="0"/>
        <w:rPr>
          <w:sz w:val="20"/>
          <w:szCs w:val="20"/>
          <w:color w:val="auto"/>
        </w:rPr>
      </w:pPr>
      <w:r>
        <w:rPr>
          <w:rFonts w:ascii="Arial" w:cs="Arial" w:eastAsia="Arial" w:hAnsi="Arial"/>
          <w:sz w:val="18"/>
          <w:szCs w:val="18"/>
          <w:color w:val="auto"/>
        </w:rPr>
        <w:t>210</w:t>
      </w:r>
    </w:p>
    <w:p>
      <w:pPr>
        <w:spacing w:after="0" w:line="36" w:lineRule="exact"/>
        <w:rPr>
          <w:sz w:val="20"/>
          <w:szCs w:val="20"/>
          <w:color w:val="auto"/>
        </w:rPr>
      </w:pPr>
    </w:p>
    <w:p>
      <w:pPr>
        <w:ind w:left="768"/>
        <w:spacing w:after="0"/>
        <w:rPr>
          <w:sz w:val="20"/>
          <w:szCs w:val="20"/>
          <w:color w:val="auto"/>
        </w:rPr>
      </w:pPr>
      <w:r>
        <w:rPr>
          <w:rFonts w:ascii="Arial" w:cs="Arial" w:eastAsia="Arial" w:hAnsi="Arial"/>
          <w:sz w:val="18"/>
          <w:szCs w:val="18"/>
          <w:color w:val="auto"/>
        </w:rPr>
        <w:t>221</w:t>
      </w:r>
    </w:p>
    <w:p>
      <w:pPr>
        <w:spacing w:after="0" w:line="15"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(340)</w:t>
      </w:r>
    </w:p>
    <w:p>
      <w:pPr>
        <w:spacing w:after="0" w:line="30" w:lineRule="exact"/>
        <w:rPr>
          <w:sz w:val="20"/>
          <w:szCs w:val="20"/>
          <w:color w:val="auto"/>
        </w:rPr>
      </w:pPr>
    </w:p>
    <w:p>
      <w:pPr>
        <w:ind w:left="848" w:hanging="848"/>
        <w:spacing w:after="0"/>
        <w:tabs>
          <w:tab w:leader="none" w:pos="8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51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6515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72" w:space="720"/>
            <w:col w:w="1228"/>
          </w:cols>
          <w:pgMar w:left="240" w:top="509" w:right="239" w:bottom="1440" w:gutter="0" w:footer="0" w:header="0"/>
          <w:type w:val="continuous"/>
        </w:sectPr>
      </w:pPr>
    </w:p>
    <w:p>
      <w:pPr>
        <w:spacing w:after="0" w:line="79"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firstLine="648"/>
        <w:spacing w:after="0" w:line="323" w:lineRule="auto"/>
        <w:rPr>
          <w:sz w:val="20"/>
          <w:szCs w:val="20"/>
          <w:color w:val="auto"/>
        </w:rPr>
      </w:pPr>
      <w:r>
        <w:rPr>
          <w:rFonts w:ascii="Arial" w:cs="Arial" w:eastAsia="Arial" w:hAnsi="Arial"/>
          <w:sz w:val="15"/>
          <w:szCs w:val="15"/>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July 2018, we filed a shelf registration statement on Form S-3 (the “2018 S-3”) pursuant to the Joint Venture and License Option Agreement, dated June 18, 2018, by and between TG Therapeutics, Inc. and Novimmune S.A. (“Novimmune”), pursuant to which we issued 216,294 common shares to Novimmune. The 2018 S-3 was declared effective in July 2018.</w:t>
      </w:r>
    </w:p>
    <w:p>
      <w:pPr>
        <w:spacing w:after="0" w:line="1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nine months ended September 30, 2018, we sold a total of 8,091,949 shares of common stock under the 2017 ATM for aggregate total gross proceeds of approximately $111.0 million at an average selling price of $13.72 per share, resulting in net proceeds of approximately $109.0 million after deducting commissions and other transactions costs.</w:t>
      </w:r>
    </w:p>
    <w:p>
      <w:pPr>
        <w:spacing w:after="0" w:line="19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2017 S-3 is currently our only active shelf registration statement, pursuant to which we can issue shares in an offering. After deducting shares already sold there is approximately $141.3 million of common stock that remains available for sale under the 2017 S-3. We may offer the securities under the 2017 S-3 from time to time in response to market conditions or other circumstances if we believe such a plan of financing is in the best interests of our stockholders. We believe that the 2017 S-3 provides us with the flexibility to raise additional capital to finance our operations as needed.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TG Therapeutics, Inc. Amended and Restated 2012 Incentive Plan (“2012 Incentive Plan”) was approved by stockholders in June 2018. Pursuant to this amendment, 6,000,000 shares were added to the 2012 Incentive Plan. As of September 30, 2018, 610,000 options were outstanding and up to an additional 4,528,363 shares may be issued under the 2012 Incentive Plan.</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type w:val="continuous"/>
        </w:sectPr>
      </w:pPr>
    </w:p>
    <w:bookmarkStart w:id="15" w:name="page16"/>
    <w:bookmarkEnd w:id="15"/>
    <w:p>
      <w:pPr>
        <w:ind w:right="20" w:firstLine="702"/>
        <w:spacing w:after="0" w:line="288" w:lineRule="auto"/>
        <w:rPr>
          <w:sz w:val="20"/>
          <w:szCs w:val="20"/>
          <w:color w:val="auto"/>
        </w:rPr>
      </w:pPr>
      <w:r>
        <w:rPr>
          <w:rFonts w:ascii="Arial" w:cs="Arial" w:eastAsia="Arial" w:hAnsi="Arial"/>
          <w:sz w:val="16"/>
          <w:szCs w:val="16"/>
          <w:color w:val="auto"/>
        </w:rPr>
        <w:t>Effective as of January 1, 2017, we entered into an amendment (the “Amendment”) to the employment agreement entered as of December 15, 2011 (together with the Amendment, the “Employment Agreement”) with Michael S. Weiss, our Executive Chairman and Chief Executive Officer and President of the Company.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We granted 610,000 and zero stock options during the nine months ended September 30, 2018 and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nine months ended September 30,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Weighted-</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average</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of shares</w:t>
            </w:r>
          </w:p>
        </w:tc>
        <w:tc>
          <w:tcPr>
            <w:tcW w:w="34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83"/>
              </w:rPr>
              <w:t>exercise price</w:t>
            </w:r>
          </w:p>
        </w:tc>
        <w:tc>
          <w:tcPr>
            <w:tcW w:w="3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Expired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527"/>
        <w:spacing w:after="0" w:line="268" w:lineRule="auto"/>
        <w:rPr>
          <w:sz w:val="20"/>
          <w:szCs w:val="20"/>
          <w:color w:val="auto"/>
        </w:rPr>
      </w:pPr>
      <w:r>
        <w:rPr>
          <w:rFonts w:ascii="Arial" w:cs="Arial" w:eastAsia="Arial" w:hAnsi="Arial"/>
          <w:sz w:val="18"/>
          <w:szCs w:val="18"/>
          <w:color w:val="auto"/>
        </w:rPr>
        <w:t>As of September 30, 2018, the stock options outstanding include options granted to both employees and non-employees which are milestone-based and vest upon certain corporate milestones. Stock-based compensation will be recorded if and when a milestone occurs.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580" w:firstLine="527"/>
        <w:spacing w:after="0" w:line="332" w:lineRule="auto"/>
        <w:rPr>
          <w:sz w:val="20"/>
          <w:szCs w:val="20"/>
          <w:color w:val="auto"/>
        </w:rPr>
      </w:pPr>
      <w:r>
        <w:rPr>
          <w:rFonts w:ascii="Arial" w:cs="Arial" w:eastAsia="Arial" w:hAnsi="Arial"/>
          <w:sz w:val="16"/>
          <w:szCs w:val="16"/>
          <w:color w:val="auto"/>
        </w:rPr>
        <w:t>Certain employees, directors and consultants have been awarded restricted stock. The restricted stock vesting consists of milestone and time-based vesting. The following table summarizes restricted share activity for the nine months ended September 30,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Number of</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Average Grant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Date Fair Value</w:t>
            </w:r>
          </w:p>
        </w:tc>
        <w:tc>
          <w:tcPr>
            <w:tcW w:w="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Pr>
          <w:p>
            <w:pPr>
              <w:jc w:val="right"/>
              <w:spacing w:after="0"/>
              <w:rPr>
                <w:sz w:val="20"/>
                <w:szCs w:val="20"/>
                <w:color w:val="auto"/>
              </w:rPr>
            </w:pPr>
            <w:r>
              <w:rPr>
                <w:rFonts w:ascii="Arial" w:cs="Arial" w:eastAsia="Arial" w:hAnsi="Arial"/>
                <w:sz w:val="18"/>
                <w:szCs w:val="18"/>
                <w:color w:val="auto"/>
              </w:rPr>
              <w:t>6,321,643</w:t>
            </w:r>
          </w:p>
        </w:tc>
        <w:tc>
          <w:tcPr>
            <w:tcW w:w="240" w:type="dxa"/>
            <w:vAlign w:val="bottom"/>
          </w:tcPr>
          <w:p>
            <w:pPr>
              <w:spacing w:after="0"/>
              <w:rPr>
                <w:sz w:val="18"/>
                <w:szCs w:val="18"/>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1,521,211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(1,582,633)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(155,446)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1280" w:type="dxa"/>
            <w:vAlign w:val="bottom"/>
          </w:tcPr>
          <w:p>
            <w:pPr>
              <w:jc w:val="right"/>
              <w:spacing w:after="0"/>
              <w:rPr>
                <w:sz w:val="20"/>
                <w:szCs w:val="20"/>
                <w:color w:val="auto"/>
              </w:rPr>
            </w:pPr>
            <w:r>
              <w:rPr>
                <w:rFonts w:ascii="Arial" w:cs="Arial" w:eastAsia="Arial" w:hAnsi="Arial"/>
                <w:sz w:val="18"/>
                <w:szCs w:val="18"/>
                <w:color w:val="auto"/>
              </w:rPr>
              <w:t>6,104,775</w:t>
            </w:r>
          </w:p>
        </w:tc>
        <w:tc>
          <w:tcPr>
            <w:tcW w:w="240" w:type="dxa"/>
            <w:vAlign w:val="bottom"/>
          </w:tcPr>
          <w:p>
            <w:pPr>
              <w:spacing w:after="0"/>
              <w:rPr>
                <w:sz w:val="18"/>
                <w:szCs w:val="18"/>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Total expense associated with restricted stock grants was approximately negative $(0.2) million and $4.9 million during the three months ended September 30, 2018 and 2017, respectively, and $11.4 million, and $12.4 million during the nine months ended September 30, 2018 and 2017, respectively. As of September 30, 2018, there was approximately $10.2 million of total unrecognized compensation cost related to unvested time-based restricted stock, which is expected to be recognized over a weighted-average period of 1.1 years. The unrecognized compensation amount does not include, as of September 30, 2018, 1,128,011 shares of restricted stock outstanding which are milestone-based and vest upon certain corporate milestones; and 2,103,750 shares of restricted stock outstanding issued to non-employees, the expense for which is determined each reporting period at the measurement date. The expense for non-employee awards is recognized over the vesting period of the award. Until the measurement date is reached, the total amount of compensation expense remains uncertain. We record compensation expense based on the fair value of the award at the reporting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NOTES PAYABLE</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notes payable: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gridSpan w:val="4"/>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88"/>
              </w:rPr>
              <w:t>September 30, 2018</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December 31</w:t>
            </w:r>
            <w:r>
              <w:rPr>
                <w:rFonts w:ascii="Arial" w:cs="Arial" w:eastAsia="Arial" w:hAnsi="Arial"/>
                <w:sz w:val="18"/>
                <w:szCs w:val="18"/>
                <w:color w:val="auto"/>
                <w:w w:val="87"/>
              </w:rPr>
              <w:t>,</w:t>
            </w:r>
            <w:r>
              <w:rPr>
                <w:rFonts w:ascii="Arial" w:cs="Arial" w:eastAsia="Arial" w:hAnsi="Arial"/>
                <w:sz w:val="18"/>
                <w:szCs w:val="18"/>
                <w:b w:val="1"/>
                <w:bCs w:val="1"/>
                <w:color w:val="auto"/>
                <w:w w:val="87"/>
              </w:rPr>
              <w:t xml:space="preserve"> 2017</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2"/>
              <w:spacing w:after="0" w:line="201" w:lineRule="exact"/>
              <w:rPr>
                <w:sz w:val="20"/>
                <w:szCs w:val="20"/>
                <w:color w:val="auto"/>
              </w:rPr>
            </w:pPr>
            <w:r>
              <w:rPr>
                <w:rFonts w:ascii="Arial" w:cs="Arial" w:eastAsia="Arial" w:hAnsi="Arial"/>
                <w:sz w:val="18"/>
                <w:szCs w:val="18"/>
                <w:b w:val="1"/>
                <w:bCs w:val="1"/>
                <w:color w:val="auto"/>
              </w:rPr>
              <w:t>Current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460"/>
              <w:spacing w:after="0" w:line="201" w:lineRule="exact"/>
              <w:rPr>
                <w:sz w:val="20"/>
                <w:szCs w:val="20"/>
                <w:color w:val="auto"/>
              </w:rPr>
            </w:pPr>
            <w:r>
              <w:rPr>
                <w:rFonts w:ascii="Arial" w:cs="Arial" w:eastAsia="Arial" w:hAnsi="Arial"/>
                <w:sz w:val="18"/>
                <w:szCs w:val="18"/>
                <w:b w:val="1"/>
                <w:bCs w:val="1"/>
                <w:color w:val="auto"/>
                <w:w w:val="91"/>
              </w:rPr>
              <w:t>Non-current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Current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40"/>
              <w:spacing w:after="0" w:line="201" w:lineRule="exact"/>
              <w:rPr>
                <w:sz w:val="20"/>
                <w:szCs w:val="20"/>
                <w:color w:val="auto"/>
              </w:rPr>
            </w:pPr>
            <w:r>
              <w:rPr>
                <w:rFonts w:ascii="Arial" w:cs="Arial" w:eastAsia="Arial" w:hAnsi="Arial"/>
                <w:sz w:val="18"/>
                <w:szCs w:val="18"/>
                <w:b w:val="1"/>
                <w:bCs w:val="1"/>
                <w:color w:val="auto"/>
                <w:w w:val="91"/>
              </w:rPr>
              <w:t>Non-current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6"/>
              </w:rPr>
              <w:t>portion, net</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portion, net</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8"/>
              </w:rPr>
              <w:t>portion, net</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8"/>
              </w:rPr>
              <w:t>portion, net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would be payable to noteholders; and (b) the conversion feature, discussed above. Interest accrues monthly, is added to principal on an annual basis, every March 8, and is payable at maturity, which was March 8, 2015 (see Note 4 for further details).</w:t>
      </w:r>
    </w:p>
    <w:p>
      <w:pPr>
        <w:spacing w:after="0" w:line="197"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$18.2 million at September 30, 2018 and $17.5 million at December 31, 2017. No payments have been made on the 5% Notes as of September 30, 2018.</w:t>
      </w:r>
    </w:p>
    <w:p>
      <w:pPr>
        <w:spacing w:after="0" w:line="186" w:lineRule="exact"/>
        <w:rPr>
          <w:sz w:val="20"/>
          <w:szCs w:val="20"/>
          <w:color w:val="auto"/>
        </w:rPr>
      </w:pPr>
    </w:p>
    <w:p>
      <w:pPr>
        <w:ind w:right="720" w:firstLine="486"/>
        <w:spacing w:after="0" w:line="33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480" w:firstLine="527"/>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97" w:lineRule="exact"/>
        <w:rPr>
          <w:sz w:val="20"/>
          <w:szCs w:val="20"/>
          <w:color w:val="auto"/>
        </w:rPr>
      </w:pPr>
    </w:p>
    <w:p>
      <w:pPr>
        <w:ind w:right="20" w:firstLine="527"/>
        <w:spacing w:after="0" w:line="290"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September 30, 2018 and 2017, and $114,000 for each of the nine months ended September 30, 2018 and 2017 and, at September 30, 2018 and December 31, 2017, have deferred revenue of approximately $1.1 million and $1.2 million, respectively, associated with this $2.0 million payment (approximately $152,000 of which has been classified in current liabilities at September 30, 2018 and December 31, 2017).</w:t>
      </w:r>
    </w:p>
    <w:p>
      <w:pPr>
        <w:spacing w:after="0" w:line="172" w:lineRule="exact"/>
        <w:rPr>
          <w:sz w:val="20"/>
          <w:szCs w:val="20"/>
          <w:color w:val="auto"/>
        </w:rPr>
      </w:pPr>
    </w:p>
    <w:p>
      <w:pPr>
        <w:ind w:right="380" w:firstLine="527"/>
        <w:spacing w:after="0" w:line="268"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ind w:right="20" w:firstLine="527"/>
        <w:spacing w:after="0" w:line="290"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(“Jiangsu”), to acquire worldwide intellectual property rights, excluding Asia but including Japan, and for the research, development, manufacturing, and commercialization of products containing or comprising of any of Jiangsu’s Bruton’s Tyrosine Kinase inhibitors containing the compounds of either TG1701 (SHR1459 or EBI1459) or TG1702 (SHR1266 or EBI1266). Pursuant to the agreement, in April 2018, we paid Jiangsu an upfront fee of $1.0 million in our common stock. Jiangsu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w:t>
      </w:r>
    </w:p>
    <w:p>
      <w:pPr>
        <w:spacing w:after="0" w:line="231" w:lineRule="exact"/>
        <w:rPr>
          <w:sz w:val="20"/>
          <w:szCs w:val="20"/>
          <w:color w:val="auto"/>
        </w:rPr>
      </w:pPr>
    </w:p>
    <w:p>
      <w:pPr>
        <w:ind w:right="160" w:firstLine="527"/>
        <w:spacing w:after="0" w:line="287" w:lineRule="auto"/>
        <w:rPr>
          <w:sz w:val="20"/>
          <w:szCs w:val="20"/>
          <w:color w:val="auto"/>
        </w:rPr>
      </w:pPr>
      <w:r>
        <w:rPr>
          <w:rFonts w:ascii="Arial" w:cs="Arial" w:eastAsia="Arial" w:hAnsi="Arial"/>
          <w:sz w:val="16"/>
          <w:szCs w:val="16"/>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120" w:firstLine="527"/>
        <w:spacing w:after="0" w:line="335" w:lineRule="auto"/>
        <w:rPr>
          <w:sz w:val="20"/>
          <w:szCs w:val="20"/>
          <w:color w:val="auto"/>
        </w:rPr>
      </w:pPr>
      <w:r>
        <w:rPr>
          <w:rFonts w:ascii="Arial" w:cs="Arial" w:eastAsia="Arial" w:hAnsi="Arial"/>
          <w:sz w:val="15"/>
          <w:szCs w:val="15"/>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w:t>
      </w:r>
    </w:p>
    <w:p>
      <w:pPr>
        <w:spacing w:after="0" w:line="142" w:lineRule="exact"/>
        <w:rPr>
          <w:sz w:val="20"/>
          <w:szCs w:val="20"/>
          <w:color w:val="auto"/>
        </w:rPr>
      </w:pPr>
    </w:p>
    <w:p>
      <w:pPr>
        <w:ind w:right="40" w:firstLine="527"/>
        <w:spacing w:after="0" w:line="255" w:lineRule="auto"/>
        <w:rPr>
          <w:sz w:val="20"/>
          <w:szCs w:val="20"/>
          <w:color w:val="auto"/>
        </w:rPr>
      </w:pPr>
      <w:r>
        <w:rPr>
          <w:rFonts w:ascii="Arial" w:cs="Arial" w:eastAsia="Arial" w:hAnsi="Arial"/>
          <w:sz w:val="18"/>
          <w:szCs w:val="18"/>
          <w:color w:val="auto"/>
        </w:rPr>
        <w:t>Under the terms of the LFB License Agreement, we utilize LFB Group for certain development and manufacturing services. We incurred expenses of zero and $1.8 million during the three months ended September 30, 2018 and 2017, respectively, and $0.2 million and $2.3 million during the nine months ended September 30, 2018 and 2017, respectively, which have been included in other research and development expenses in the accompanying condensed consolidated statements of operations. As of September 30, 2018 and December 31, 2017, we had approximately zero recorded in accounts payable related to the LFB License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320" w:firstLine="527"/>
        <w:spacing w:after="0" w:line="289"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three and nine months ended September 30, 2018, we recorded rent expense of approximately $0.3 million and $0.9 million, respectively, and at September 30, 2018, have deferred rent of approximately $1.4 million. As of September 30, 2018 and December 31, 2017, we have approximately $1.2 million and $0.6 million, respectively, of restricted cash pledged to secure a line of credit as a security deposit related to the Office Agreement. Mr. Weiss, our Executive Chairman and CEO, is also Executive Vice Chairman of FBIO.</w:t>
      </w:r>
    </w:p>
    <w:p>
      <w:pPr>
        <w:spacing w:after="0" w:line="172" w:lineRule="exact"/>
        <w:rPr>
          <w:sz w:val="20"/>
          <w:szCs w:val="20"/>
          <w:color w:val="auto"/>
        </w:rPr>
      </w:pPr>
    </w:p>
    <w:p>
      <w:pPr>
        <w:ind w:right="80" w:firstLine="527"/>
        <w:spacing w:after="0" w:line="294" w:lineRule="auto"/>
        <w:rPr>
          <w:sz w:val="20"/>
          <w:szCs w:val="20"/>
          <w:color w:val="auto"/>
        </w:rPr>
      </w:pPr>
      <w:r>
        <w:rPr>
          <w:rFonts w:ascii="Arial" w:cs="Arial" w:eastAsia="Arial" w:hAnsi="Arial"/>
          <w:sz w:val="16"/>
          <w:szCs w:val="16"/>
          <w:color w:val="auto"/>
        </w:rPr>
        <w:t>Under the Office Agreement, we agreed to pay FBIO our portion of the build out costs, which have been allocated to us at the 45% rate mentioned above. The allocated buildout costs have been recorded in Leasehold Interest and will be amortized over the 15 year term of the Office Agreement. After an initial commitment of the 45% rate for a period of three (3) years, we and FBIO will determine actual office space utilization annually and if our utilization differs from the amount we have been billed, we will either receive credits or be assessed incremental utilization charges. As of September 30, 2018, we had approximately $0.1 million recorded in accounts payable related to FBIO, none of which related to rent and build-out costs.</w:t>
      </w:r>
    </w:p>
    <w:p>
      <w:pPr>
        <w:spacing w:after="0" w:line="170" w:lineRule="exact"/>
        <w:rPr>
          <w:sz w:val="20"/>
          <w:szCs w:val="20"/>
          <w:color w:val="auto"/>
        </w:rPr>
      </w:pPr>
    </w:p>
    <w:p>
      <w:pPr>
        <w:ind w:firstLine="527"/>
        <w:spacing w:after="0" w:line="255"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$1.4 million and $1.0 million for shared services for the nine months ended September 30, 2018 and 2017, respectively, and expenses of approximately $0.2 million and $0.3 million for the three months ended September 30, 2018 and 2017, primarily related to shared personnel.</w:t>
      </w:r>
    </w:p>
    <w:p>
      <w:pPr>
        <w:spacing w:after="0" w:line="197" w:lineRule="exact"/>
        <w:rPr>
          <w:sz w:val="20"/>
          <w:szCs w:val="20"/>
          <w:color w:val="auto"/>
        </w:rPr>
      </w:pPr>
    </w:p>
    <w:p>
      <w:pPr>
        <w:ind w:right="60" w:firstLine="527"/>
        <w:spacing w:after="0" w:line="291" w:lineRule="auto"/>
        <w:rPr>
          <w:sz w:val="20"/>
          <w:szCs w:val="20"/>
          <w:color w:val="auto"/>
        </w:rPr>
      </w:pPr>
      <w:r>
        <w:rPr>
          <w:rFonts w:ascii="Arial" w:cs="Arial" w:eastAsia="Arial" w:hAnsi="Arial"/>
          <w:sz w:val="16"/>
          <w:szCs w:val="16"/>
          <w:color w:val="auto"/>
        </w:rPr>
        <w:t>In May 2016, as part of a broader agreement with Jubilant Biosys (“Jubilant”), an India-based biotechnology company, we entered into a sublicense agreement (“JBET Agreement”) with Checkpoint Therapeutics, Inc. (“Checkpoint”), a subsidiary of FBIO, for the development and commercialization of Jubilant’s novel BET inhibitor program in the field of hematological malignancies. We paid Checkpoint an up-front licensing fee of $1.0 million in July 2016 and incurred expenses of $0.2 million in March 2017 for the first milestone achievement as part of the JBET Agreement which is recorded in other research and development in the accompanying consolidated statement of operations. As of September 30, 2018 and December 31, 2017, we had approximately zero and $0.3 million, respectively, recorded in accounts payable, related mostly to the JBET Agreement. Mr. Weiss is also the Executive Chairman of Checkpoint.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LITIGATION</w:t>
      </w:r>
    </w:p>
    <w:p>
      <w:pPr>
        <w:spacing w:after="0" w:line="231" w:lineRule="exact"/>
        <w:rPr>
          <w:sz w:val="20"/>
          <w:szCs w:val="20"/>
          <w:color w:val="auto"/>
        </w:rPr>
      </w:pPr>
    </w:p>
    <w:p>
      <w:pPr>
        <w:ind w:right="60" w:firstLine="527"/>
        <w:spacing w:after="0" w:line="291" w:lineRule="auto"/>
        <w:rPr>
          <w:sz w:val="20"/>
          <w:szCs w:val="20"/>
          <w:color w:val="auto"/>
        </w:rPr>
      </w:pPr>
      <w:r>
        <w:rPr>
          <w:rFonts w:ascii="Arial" w:cs="Arial" w:eastAsia="Arial" w:hAnsi="Arial"/>
          <w:sz w:val="16"/>
          <w:szCs w:val="16"/>
          <w:color w:val="auto"/>
        </w:rPr>
        <w:t>In October 2018, a purported securities class action complaint was filed in the US District Court for the Southern District of New York against the Company and one of its officers on behalf of all shareholders who purchased or otherwise acquired TG Therapeutics common stock between June 4, 2018 and September 25, 2018 (the “Class Period”). The case is captioned Randall Reinmann v. TG Therapeutics Inc., and Michael S. Weiss, Case No. 1:18-cv-09104-KPF. The complaint alleges that, throughout the Class Period, the Company made false and/or misleading statements and/or failed to disclose various facts and circumstances regarding its UNITY-CLL study allegedly in violation of the Securities Exchange Act of 1934 and Rule 10b-5 promulgated thereunder. The action remains pending and is in the early stages of litigation, and the Company intends to vigorously contest the claims in the complaint.</w:t>
      </w:r>
    </w:p>
    <w:p>
      <w:pPr>
        <w:spacing w:after="0" w:line="17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firstLine="527"/>
        <w:spacing w:after="0" w:line="298" w:lineRule="auto"/>
        <w:rPr>
          <w:sz w:val="20"/>
          <w:szCs w:val="20"/>
          <w:color w:val="auto"/>
        </w:rPr>
      </w:pPr>
      <w:r>
        <w:rPr>
          <w:rFonts w:ascii="Arial" w:cs="Arial" w:eastAsia="Arial" w:hAnsi="Arial"/>
          <w:sz w:val="16"/>
          <w:szCs w:val="16"/>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67" w:lineRule="exact"/>
        <w:rPr>
          <w:sz w:val="20"/>
          <w:szCs w:val="20"/>
          <w:color w:val="auto"/>
        </w:rPr>
      </w:pPr>
    </w:p>
    <w:p>
      <w:pPr>
        <w:ind w:right="360" w:firstLine="527"/>
        <w:spacing w:after="0" w:line="306" w:lineRule="auto"/>
        <w:rPr>
          <w:sz w:val="20"/>
          <w:szCs w:val="20"/>
          <w:color w:val="auto"/>
        </w:rPr>
      </w:pPr>
      <w:r>
        <w:rPr>
          <w:rFonts w:ascii="Arial" w:cs="Arial" w:eastAsia="Arial" w:hAnsi="Arial"/>
          <w:sz w:val="16"/>
          <w:szCs w:val="16"/>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527"/>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Our lead therapeutic candidates are TG-1101 (ublituximab), a novel, glycoengineered monoclonal antibody that targets a unique epitope on the CD20 antigen found on mature B-lymphocytes and TGR-1202 (umbralisib), an orally available PI3K delta inhibitor. The delta isoform of PI3K is strongly expressed in cells of hematopoietic origin and is believed to be important in the proliferation and survival of B-lymphocytes. Both TG-1101 and TGR-1202, or the combination which is referred to as "U2," are in Phase 3 clinical development for patients with hematologic malignancies, with TG-1101 also in Phase 3 clinical development for patients with multiple sclerosis. Additionally, we have recently brought our anti-PD-L1 monoclonal antibody (TG-1501) into Phase 1 development and aim to bring additional pipeline assets into the clinic in the future.</w:t>
      </w:r>
    </w:p>
    <w:p>
      <w:pPr>
        <w:spacing w:after="0" w:line="172" w:lineRule="exact"/>
        <w:rPr>
          <w:sz w:val="20"/>
          <w:szCs w:val="20"/>
          <w:color w:val="auto"/>
        </w:rPr>
      </w:pPr>
    </w:p>
    <w:p>
      <w:pPr>
        <w:ind w:right="40" w:firstLine="527"/>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60" w:firstLine="527"/>
        <w:spacing w:after="0" w:line="256"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by us to Ildong in November 2012.</w:t>
      </w:r>
    </w:p>
    <w:p>
      <w:pPr>
        <w:spacing w:after="0" w:line="197" w:lineRule="exact"/>
        <w:rPr>
          <w:sz w:val="20"/>
          <w:szCs w:val="20"/>
          <w:color w:val="auto"/>
        </w:rPr>
      </w:pPr>
    </w:p>
    <w:p>
      <w:pPr>
        <w:ind w:right="100" w:firstLine="527"/>
        <w:spacing w:after="0" w:line="29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 the leading anti-CD20 monoclonal antibody, which had worldwide sales in 2017 of approximately $7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firstLine="527"/>
        <w:spacing w:after="0" w:line="255" w:lineRule="auto"/>
        <w:rPr>
          <w:sz w:val="20"/>
          <w:szCs w:val="20"/>
          <w:color w:val="auto"/>
        </w:rPr>
      </w:pPr>
      <w:r>
        <w:rPr>
          <w:rFonts w:ascii="Arial" w:cs="Arial" w:eastAsia="Arial" w:hAnsi="Arial"/>
          <w:sz w:val="18"/>
          <w:szCs w:val="18"/>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Subsequently, a single-agent Phase I study was undertaken in the US enrolling patients with both NHL and CLL. In both studies, single agent therapy with TG-1101 was deemed well tolerated by treating investigators and displayed promising clinical activity in relapsed and refractory patients.</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9" w:name="page20"/>
    <w:bookmarkEnd w:id="19"/>
    <w:p>
      <w:pPr>
        <w:ind w:right="40" w:firstLine="648"/>
        <w:spacing w:after="0" w:line="259"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194" w:lineRule="exact"/>
        <w:rPr>
          <w:sz w:val="20"/>
          <w:szCs w:val="20"/>
          <w:color w:val="auto"/>
        </w:rPr>
      </w:pPr>
    </w:p>
    <w:p>
      <w:pPr>
        <w:ind w:left="1140" w:right="20" w:hanging="160"/>
        <w:spacing w:after="0" w:line="332"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UNITY-CLL Trial – a randomized controlled Phase 3 trial under Special Protocol Assessment ("SPA") evaluating TG-1101 in combination with TGR-1202, the Company’s development stage PI3K delta inhibitor, for patients with front line and previously treated CLL;</w:t>
      </w:r>
    </w:p>
    <w:p>
      <w:pPr>
        <w:spacing w:after="0" w:line="139" w:lineRule="exact"/>
        <w:rPr>
          <w:rFonts w:ascii="Arial" w:cs="Arial" w:eastAsia="Arial" w:hAnsi="Arial"/>
          <w:sz w:val="16"/>
          <w:szCs w:val="16"/>
          <w:color w:val="auto"/>
        </w:rPr>
      </w:pPr>
    </w:p>
    <w:p>
      <w:pPr>
        <w:ind w:left="1140" w:hanging="160"/>
        <w:spacing w:after="0" w:line="26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UNITY-NHL Trial – registration-directed Phase 2b clinical study evaluating TGR-1202 alone and in combination with TG-1101 with or without bendamustine, in patients with previously treated Non-Hodgkin’s Lymphoma ("NHL"); and</w:t>
      </w:r>
    </w:p>
    <w:p>
      <w:pPr>
        <w:spacing w:after="0" w:line="185" w:lineRule="exact"/>
        <w:rPr>
          <w:rFonts w:ascii="Arial" w:cs="Arial" w:eastAsia="Arial" w:hAnsi="Arial"/>
          <w:sz w:val="18"/>
          <w:szCs w:val="18"/>
          <w:color w:val="auto"/>
        </w:rPr>
      </w:pPr>
    </w:p>
    <w:p>
      <w:pPr>
        <w:ind w:left="1140" w:right="20" w:hanging="160"/>
        <w:spacing w:after="0" w:line="26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spacing w:after="0" w:line="185" w:lineRule="exact"/>
        <w:rPr>
          <w:rFonts w:ascii="Arial" w:cs="Arial" w:eastAsia="Arial" w:hAnsi="Arial"/>
          <w:sz w:val="18"/>
          <w:szCs w:val="18"/>
          <w:color w:val="auto"/>
        </w:rPr>
      </w:pPr>
    </w:p>
    <w:p>
      <w:pPr>
        <w:ind w:left="1140" w:hanging="160"/>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25" w:lineRule="exact"/>
        <w:rPr>
          <w:rFonts w:ascii="Arial" w:cs="Arial" w:eastAsia="Arial" w:hAnsi="Arial"/>
          <w:sz w:val="18"/>
          <w:szCs w:val="18"/>
          <w:color w:val="auto"/>
        </w:rPr>
      </w:pPr>
    </w:p>
    <w:p>
      <w:pPr>
        <w:ind w:left="1140" w:hanging="160"/>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TG-1101 + TGR-1202 + Venetoclax for patients with CLL.</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non-oncology settings, anti-CD20 therapy has generally been used as monotherapy. In addition to the above oncology studies, TG-1101 is being evaluated in a Phase 2 study for the treatment of Multiple Sclerosis ("MS") and in an investigator initiated Phase 1 study for the treatment of acute neuromyelitis optica ("NMO") relapses, with additional autoimmune related indications planned to be studied. On August 1, 2017, we announced we had reached an agreement with the U.S. Food and Drug Administration ("FDA") regarding an SPA on the design of two global Phase 3 clinical trials for TG-1101, referred to as the ULTIMATE I and ULTIMATE II Phase 3 clinical trials.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Manufacturing of TG-1101 is currently performed by a contract manufacturer based in the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details on our priority ongoing trials for TG-1101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320" w:firstLine="648"/>
        <w:spacing w:after="0" w:line="335" w:lineRule="auto"/>
        <w:rPr>
          <w:sz w:val="20"/>
          <w:szCs w:val="20"/>
          <w:color w:val="auto"/>
        </w:rPr>
      </w:pPr>
      <w:r>
        <w:rPr>
          <w:rFonts w:ascii="Arial" w:cs="Arial" w:eastAsia="Arial" w:hAnsi="Arial"/>
          <w:sz w:val="15"/>
          <w:szCs w:val="15"/>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6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"U2"), and second, to demonstrate superiority in Progression Free Survival (“PFS”) over the standard of care to support the submission for full approval of the combination. The study randomized patients into four treatment arms: TG-1101 + TGR-1202, TG-1101 alone, TGR-1202 alone, and an active control arm of obinutuzumab + chlorambucil. An early interim analysis was conducted to assess contribution of each single agent in the TG-1101 + TGR-1202 combination regimen, which, allowed for the early termination of both single agent arms. A second interim analysis was planned to evaluate Overall Response Rate (ORR) to support accelerated approval.</w:t>
      </w:r>
    </w:p>
    <w:p>
      <w:pPr>
        <w:spacing w:after="0" w:line="174"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In September 2018, we announced that the independent Data Safety Monitoring Board (“DSMB”) reviewed ongoing data from the trial and advised the Company that the interim analysis of ORR could not be conducted at this time as the data were not sufficiently mature to conduct the analysis. The Company is now guiding that it will focus on the primary endpoint of Progression Free Survival (PFS) to support full approval of the U2 combination. At this time the Company is not planning to seek accelerated approval based on ORR. The Company remains blinded to all efficacy data.</w:t>
      </w:r>
    </w:p>
    <w:p>
      <w:pPr>
        <w:spacing w:after="0" w:line="16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Additionally, the DSMB reviewed safety data from over 600 patients, including over 300 patients treated with umbralisib either alone or in combination with ublituximab, of which approximately 60% were treatment naïve. While no evaluation of PFS was conducted, the DSMB had PFS information available to them solely for purposes of assessing the overall benefit-risk. After review of the data, the DSMB identified no safety concerns and recommended the trial continue without modification. The UNITY-CLL Phase 3 trial continues to be conducted under SPA agreement with the FDA.</w:t>
      </w:r>
    </w:p>
    <w:p>
      <w:pPr>
        <w:spacing w:after="0" w:line="1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TG-1101 in Combination with TGR-1202 with or without bendamustine Phase 2b Registration-Directed Program – The UNITY-NHL Trial</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June 2016, we commenced a registration-directed UNITY-DLBCL Phase 2b clinical study evaluating TG-1101 in combination with TGR-1202, as well as TGR-1202 alone, in patients with previously treated DLBCL. In mid-2017, this study was expanded to allow enrollment of patients with follicular lymphoma (FL), small lymphocytic lymphoma (SLL), mantle cell lymphoma (MCL) and marginal zone lymphoma (MZL), as well as to add a cohort evaluating the triplet regimen of TG-1101 + TGR-1202 + bendamustine which has previously been explored in Phase 1. The cohorts of DLBCL, FL/SLL, MCL, and MZL are each being enrolled to and evaluated independently.</w:t>
      </w:r>
    </w:p>
    <w:p>
      <w:pPr>
        <w:spacing w:after="0" w:line="1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updated study, called UNITY-NHL, is entitled "A Phase 2b Randomized Study to Assess the Efficacy and Safety of the Combination of Ublituximab + TGR-1202 with or without bendamustine and TGR-1202 alone in Patients with Previously Treated Non-Hodgkin’s Lymphoma.” The DLBCL component is being led by Owen A. O'Connor, MD, PhD, Professor of Medicine and Experimental Therapeutics, and Director of the Center for Lymphoid Malignancies at Columbia University Medical Center, while the indolent NHL component of the study is being led by Nathan H. Fowler, MD, Associate Professor, Department of Lymphoma/Myeloma at the University of Texas MD Anderson Cancer Center, and the MCL component of the study is being led by Michael Wang MD, Director of Mantle Cell Lymphoma (MCL) Program of Excellence and Co-Director of Clinical Trials at The University of Texas MD Anderson Cancer Center. The primary objective of the study is to assess the efficacy of TGR-1202 alone, in combination with TG-1101, or in combination with TG-1101 and bendamustine in patients with previously treated NHL as measured by Overall Response Rate (ORR). The study will also provide important information as to the contribution of each agent, TGR-1202 and TG-1101, to the combination regimen of both agents, as well as the contribution of bendamustine to the combination regimen of both agents. Enrollment in the early cohorts is now complete for patients with DLBCL receiving ublituximab + umbralisib + bendamustine, and for patients with FL, SLL, and MZL receiving umbralisib monotherapy.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GENUINE trial is a randomized controlled clinical trial in patients with previously treated CLL with specific high-risk cytogenetic abnormalities, with patients randomized to receive either TG-1101 plus ibrutinib or ibrutinib alone. In October 2016, we announced revisions to the design of the GENUINE study to accelerate its completion. Initially the study was being conducted pursuant to an SPA with the FDA, and was designed to enroll approximately 330 patients, with a two-part analysis of both ORR and progression-free survival ("PFS"). The trial was amended in October 2016 to enroll approximately 120 patients, with the PFS analysis component removed. Following the revisions, the sole primary endpoint of the study is ORR, and the SPA is no longer in effect.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June 2017, the positive results from our Phase 3 GENUINE trial were presented by Dr. Jeff Sharman, Medical Director, Hematology Research, US Oncology in an oral session during the 53rd American Society of Clinical Oncology ("ASCO") Annual Meeting in Chicago, IL.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follow patients in the GENUINE study for safety and efficacy including Overall Response, MRD and PFS.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Relapsing Forms of Multiple Sclerosis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May 2016, we commenced our first study of TG-1101 in patients with relapsing remitting multiple sclerosis (RRMS), a chronic demyelinating disease of the central nervous system (CNS).</w:t>
      </w:r>
    </w:p>
    <w:p>
      <w:pPr>
        <w:spacing w:after="0" w:line="18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study, entitled "A Placebo-Controlled Multi-Center Phase 2 Dose Finding Study of Ublituximab, a Third-Generation Anti-CD20 Monoclonal Antibody, in Patients with Relapsing Forms of Multiple Sclerosis," is being led by Edward Fox, MD, PhD, Director of the Multiple Sclerosis Clinic of Central Texas and Clinical Assistant Professor at the University of Texas Medical Branch in Round Rock, TX. The primary objective of the study is to determine the optimal dosing regimen for TG-1101 with a focus on accelerating infusion times. In addition to monitoring for safety and tolerability at each dosing cohort, B-cell depletion and established MS efficacy endpoints will also be evaluated.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2018, final data from this Phase II study were presented at the 34th Congress of the European Committee for Treatment and Research in Multiple Sclerosis (ECTRIMS) Meeting in Berlin, Germany. The presentation included final data on all patients, enrolled in the study through 48 weeks of treatment.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relapsing forms of Multiple Sclerosis Phase 3 Study Program – The ULTIMATE I and ULTIMATE II Trial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2017, we reached an agreement with the FDA regarding an SPA on the design of two Phase 3 clinical trials for TG-1101, for the treatment of relapsing forms of Multiple Sclerosis (RMS). The SPA provides agreement that the two Phase 3 trial designs adequately address objectives that, if met, would support the regulatory submission for approval of TG-1101.</w:t>
      </w:r>
    </w:p>
    <w:p>
      <w:pPr>
        <w:spacing w:after="0" w:line="19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RMS Phase 3 program consists of two trials, called the ULTIMATE I and ULTIMATE II trials. Each trial is a global, randomized, multi-center, double-blinded, double-dummy, active-controlled study comparing TG-1101 (ublituximab) to teriflunomide in subjects with RMS. The primary endpoint for each study is Annualized Relapse Rate (ARR) following 96 weeks of treatment. Each trial is ongoing and was designed to enroll approximately 440 subjects, randomized in a 1:1 ratio.</w:t>
      </w:r>
    </w:p>
    <w:p>
      <w:pPr>
        <w:spacing w:after="0" w:line="224"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In August 2018, we announced that target enrollment into the ULTIMATE I and II trials has been achieved, and that enrollment would continue into September 2018 to allow identified patients to participate in the study.</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TGR-1202 (also referred to as umbralisib)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94"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86"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study in combination with TG-1101 with or without the BTK inhibitor, ibrutinib, our current priority clinical trials for TGR-1202 include:</w:t>
      </w:r>
    </w:p>
    <w:p>
      <w:pPr>
        <w:spacing w:after="0" w:line="197" w:lineRule="exact"/>
        <w:rPr>
          <w:sz w:val="20"/>
          <w:szCs w:val="20"/>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TGR-1202 as a single agent in patients with previously treated FL, SLL, or MZL as part of our UNITY-NHL Study;</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TGR-1202 as a single agent in CLL patients who are intolerant to prior BTK inhibitor or PI3K-delta inhibitor therapy;</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 and</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TGR-1202 in combination with the JAK inhibitor, ruxolitinib (JAKAFI®), in patients with previously treated Myelofibrosis or Polycythemia Vera.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0" w:lineRule="exact"/>
        <w:rPr>
          <w:sz w:val="20"/>
          <w:szCs w:val="20"/>
          <w:color w:val="auto"/>
        </w:rPr>
      </w:pPr>
    </w:p>
    <w:p>
      <w:pPr>
        <w:ind w:right="40" w:firstLine="648"/>
        <w:spacing w:after="0" w:line="332" w:lineRule="auto"/>
        <w:rPr>
          <w:sz w:val="20"/>
          <w:szCs w:val="20"/>
          <w:color w:val="auto"/>
        </w:rPr>
      </w:pPr>
      <w:r>
        <w:rPr>
          <w:rFonts w:ascii="Arial" w:cs="Arial" w:eastAsia="Arial" w:hAnsi="Arial"/>
          <w:sz w:val="16"/>
          <w:szCs w:val="16"/>
          <w:color w:val="auto"/>
        </w:rPr>
        <w:t xml:space="preserve">Data from this ongoing Phase I study was published in full in </w:t>
      </w:r>
      <w:r>
        <w:rPr>
          <w:rFonts w:ascii="Arial" w:cs="Arial" w:eastAsia="Arial" w:hAnsi="Arial"/>
          <w:sz w:val="16"/>
          <w:szCs w:val="16"/>
          <w:i w:val="1"/>
          <w:iCs w:val="1"/>
          <w:color w:val="auto"/>
        </w:rPr>
        <w:t>The Lancet Oncology</w:t>
      </w:r>
      <w:r>
        <w:rPr>
          <w:rFonts w:ascii="Arial" w:cs="Arial" w:eastAsia="Arial" w:hAnsi="Arial"/>
          <w:sz w:val="16"/>
          <w:szCs w:val="16"/>
          <w:color w:val="auto"/>
        </w:rPr>
        <w:t xml:space="preserve"> in February 2018, including safety and efficacy information from 90 patients with relapsed or refractory b-cell malignancies, including patients with CLL and various forms of lymphoma treated with single agent umbralisib.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Long-term Follow-up Integrated Analysis in Patients with Relapsed/Refractory Hematologic Malignancies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December 2017, at the 59th American Society of Hematology ("ASH") Annual Meeting, the Company presented integrated data with long term follow-up from 347 patients exposed to TGR-1202 across 5 studies, which continued to demonstrate high response rates in CLL, and FL coupled with a favorable safety profile distinct from other PI3K delta inhibitors.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93" w:right="259" w:bottom="1440" w:gutter="0" w:footer="0" w:header="0"/>
        </w:sectPr>
      </w:pPr>
    </w:p>
    <w:bookmarkStart w:id="22" w:name="page23"/>
    <w:bookmarkEnd w:id="22"/>
    <w:p>
      <w:pPr>
        <w:ind w:firstLine="648"/>
        <w:spacing w:after="0" w:line="254" w:lineRule="auto"/>
        <w:rPr>
          <w:sz w:val="20"/>
          <w:szCs w:val="20"/>
          <w:color w:val="auto"/>
        </w:rPr>
      </w:pPr>
      <w:r>
        <w:rPr>
          <w:rFonts w:ascii="Arial" w:cs="Arial" w:eastAsia="Arial" w:hAnsi="Arial"/>
          <w:sz w:val="18"/>
          <w:szCs w:val="18"/>
          <w:color w:val="auto"/>
        </w:rPr>
        <w:t>In June 2018, an update on the data was presented at the 23rd Congress of the European Hematology Association (EHA). The presentation included data pooled from 4 completed or ongoing Phase 1 or 2 studies containing umbralisib, focusing on 177 patients who have been on daily umbralisib for a minimum of 6 months. Patients were heavily pretreated, with 45% of patients having seen 3 or more prior lines of therapy. Umbralisib continued to exhibit a differentiated safety profile compared to prior generation PI3K delta inhibitors. Serious adverse events occurring in &gt;1% of patients after 6 months on therapy were limited to pneumonia (3%), diarrhea (2%), and cellulitis (2%) with only 2% of patients discontinuing umbralisib as a result of diarrhea/colitis after being on umbralisib for more than 6 months.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TKI Intolerance Study</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June 2018, at the 23rd Congress of the European Hematology Association (EHA), the Company presented data from 47 patients with CLL who were intolerant to prior BTK or PI3K delta inhibitor therapy who were then treated with single agent TGR-1202. TGR-1202 appeared to demonstrate a favorable safety profile in patients intolerant to prior ibrutinib (BTK) or idelalisib (PI3K) with only 13% discontinuing due to an adverse event, of which only one patient discontinued due to a recurrent adverse event (AE) also experienced with prior kinase inhibitor therapy. The median progression free survival (PFS) and overall survival has not been reached with a median follow-up of 9.5 months. Enrollment is now closed with patients continuing to be followed.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Additional investigator sponsored trials are also underway which are combining TGR-1202 with other approved agents for the treatment of B-cell malignancies.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anticipated that updated results from these studies will be presented or updated at future medical conferences.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We hold global rights to develop and commercialize the IRAK4 program, which was licensed from Ligand Pharmaceuticals. Our IRAK4 program is currently in pre-clinical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200" w:firstLine="648"/>
        <w:spacing w:after="0" w:line="306"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recently entered the clinic and our anti-GITR program is currently in pre-clinical development, with pre-clinical data most recently presented at the American Association for Cancer Research Annual Meeting in March 2017.</w:t>
      </w:r>
    </w:p>
    <w:p>
      <w:pPr>
        <w:spacing w:after="0" w:line="161"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In October 2017, we announced that the first patient has been dosed in a Phase 1 clinical trial evaluating the safety and tolerability of our anti-PD-L1 monoclonal antibody, enrolling patients across sites in Australia and New Zealand.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a subsidiary of FBIO,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9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In April 2018, pre-clinical data for TG-1601, the BET inhibitor, was announced at the American Association for Cancer Research ("AACR") Annual Meeting in Chicago, 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or Jiangsu (“BTK Agreement”), pursuant to which we obtained worldwide rights, excluding Asia but including Japan, for the development of Hengrui's Bruton's Tyrosine Kinase ("BTK") inhibitor program, including lead candidate TG-1701 (known in China as SHR-1459), as monotherapy and in combination with TG-1101 and TGR-1202. In addition to TG-1701, the global license agreement covers TG-1702 (SHR-1266), another BTK inhibitor in pre-clinical development. BTK is an essential component of the B-cell receptor signaling pathways that regulate the survival, activation, proliferation, and differentiation of B lymphocytes. Targeting BTK with small molecule inhibitors has been demonstrated to be an effective treatment option for B-cell lymphomas and autoimmune diseases.</w:t>
      </w:r>
    </w:p>
    <w:p>
      <w:pPr>
        <w:spacing w:after="0" w:line="174" w:lineRule="exact"/>
        <w:rPr>
          <w:sz w:val="20"/>
          <w:szCs w:val="20"/>
          <w:color w:val="auto"/>
        </w:rPr>
      </w:pPr>
    </w:p>
    <w:p>
      <w:pPr>
        <w:ind w:right="660" w:firstLine="648"/>
        <w:spacing w:after="0" w:line="332" w:lineRule="auto"/>
        <w:rPr>
          <w:sz w:val="20"/>
          <w:szCs w:val="20"/>
          <w:color w:val="auto"/>
        </w:rPr>
      </w:pPr>
      <w:r>
        <w:rPr>
          <w:rFonts w:ascii="Arial" w:cs="Arial" w:eastAsia="Arial" w:hAnsi="Arial"/>
          <w:sz w:val="16"/>
          <w:szCs w:val="16"/>
          <w:color w:val="auto"/>
        </w:rPr>
        <w:t>In June 2018, pre-clinical data for TG-1701, the BTK inhibitor, was presented at the 23rd Congress of the European Hematology Association in Stockholm, Sweden. A Phase I study of TG-1701 in patients with relapsed or refractory hematologic malignancies is now underway.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w:t>
      </w:r>
    </w:p>
    <w:p>
      <w:pPr>
        <w:spacing w:after="0" w:line="231" w:lineRule="exact"/>
        <w:rPr>
          <w:sz w:val="20"/>
          <w:szCs w:val="20"/>
          <w:color w:val="auto"/>
        </w:rPr>
      </w:pPr>
    </w:p>
    <w:p>
      <w:pPr>
        <w:jc w:val="both"/>
        <w:ind w:right="160" w:firstLine="648"/>
        <w:spacing w:after="0" w:line="306" w:lineRule="auto"/>
        <w:rPr>
          <w:sz w:val="20"/>
          <w:szCs w:val="20"/>
          <w:color w:val="auto"/>
        </w:rPr>
      </w:pPr>
      <w:r>
        <w:rPr>
          <w:rFonts w:ascii="Arial" w:cs="Arial" w:eastAsia="Arial" w:hAnsi="Arial"/>
          <w:sz w:val="16"/>
          <w:szCs w:val="16"/>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61" w:lineRule="exact"/>
        <w:rPr>
          <w:sz w:val="20"/>
          <w:szCs w:val="20"/>
          <w:color w:val="auto"/>
        </w:rPr>
      </w:pPr>
    </w:p>
    <w:p>
      <w:pPr>
        <w:ind w:right="320" w:firstLine="648"/>
        <w:spacing w:after="0" w:line="33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3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 w:name="page25"/>
    <w:bookmarkEnd w:id="24"/>
    <w:p>
      <w:pPr>
        <w:ind w:right="20" w:firstLine="527"/>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60" w:firstLine="527"/>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ind w:right="20" w:firstLine="527"/>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may need to establish a commercial infrastructure required to manufacture, market and sell our drug candidates following approval, if any, by the FDA or a foreign health authority, which would result in incurring additional expenses. As a result, our quarterly results may fluctuate and a quarter-by-quarter comparison of our operating results may not be a meaningful indication of our future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and 2017</w:t>
      </w:r>
    </w:p>
    <w:p>
      <w:pPr>
        <w:spacing w:after="0" w:line="231" w:lineRule="exact"/>
        <w:rPr>
          <w:sz w:val="20"/>
          <w:szCs w:val="20"/>
          <w:color w:val="auto"/>
        </w:rPr>
      </w:pPr>
    </w:p>
    <w:p>
      <w:pPr>
        <w:ind w:right="20" w:firstLine="527"/>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$38,000 for each of the three months ended September 30, 2018 and 2017. License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ind w:right="60" w:firstLine="527"/>
        <w:spacing w:after="0" w:line="256"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totaled $0.6 million for the three months ended September 30, 2018, as compared to $1.8 million during the comparable period in 2017. The decrease of $1.2 million in noncash compensation expense was primarily related to a decrease in the measurement date fair value of certain consultant restricted stock during the period ended September 30, 2018.</w:t>
      </w:r>
    </w:p>
    <w:p>
      <w:pPr>
        <w:spacing w:after="0" w:line="197" w:lineRule="exact"/>
        <w:rPr>
          <w:sz w:val="20"/>
          <w:szCs w:val="20"/>
          <w:color w:val="auto"/>
        </w:rPr>
      </w:pPr>
    </w:p>
    <w:p>
      <w:pPr>
        <w:ind w:firstLine="527"/>
        <w:spacing w:after="0" w:line="256"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$7.5 million to $32.8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as compared to $25.3 million for the three months ended September 30, 2017. The increase was mainly due to ongoing clinical development programs during the three months ended September 30, 2018.We expect our other research and development costs to remain relatively consistent for the remainder of 2018.</w:t>
      </w:r>
    </w:p>
    <w:p>
      <w:pPr>
        <w:spacing w:after="0" w:line="197" w:lineRule="exact"/>
        <w:rPr>
          <w:sz w:val="20"/>
          <w:szCs w:val="20"/>
          <w:color w:val="auto"/>
        </w:rPr>
      </w:pPr>
    </w:p>
    <w:p>
      <w:pPr>
        <w:ind w:right="220" w:firstLine="527"/>
        <w:spacing w:after="0" w:line="298"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decreased by $3.9 million, as compared to the three months ended September 30, 2017. The decrease in noncash compensation expense was primarily related to a decrease in the measurement date fair value of certain consultant restricted stock during the period ended September 30, 2018 and greater compensation expense during the three months ended September 30, 2017 related to restricted stock granted to executive personnel.</w:t>
      </w:r>
    </w:p>
    <w:p>
      <w:pPr>
        <w:spacing w:after="0" w:line="167" w:lineRule="exact"/>
        <w:rPr>
          <w:sz w:val="20"/>
          <w:szCs w:val="20"/>
          <w:color w:val="auto"/>
        </w:rPr>
      </w:pPr>
    </w:p>
    <w:p>
      <w:pPr>
        <w:ind w:right="180" w:firstLine="527"/>
        <w:spacing w:after="0" w:line="335" w:lineRule="auto"/>
        <w:rPr>
          <w:sz w:val="20"/>
          <w:szCs w:val="20"/>
          <w:color w:val="auto"/>
        </w:rPr>
      </w:pPr>
      <w:r>
        <w:rPr>
          <w:rFonts w:ascii="Arial" w:cs="Arial" w:eastAsia="Arial" w:hAnsi="Arial"/>
          <w:sz w:val="15"/>
          <w:szCs w:val="15"/>
          <w:i w:val="1"/>
          <w:iCs w:val="1"/>
          <w:color w:val="auto"/>
        </w:rPr>
        <w:t>Other General and Administrative Expenses</w:t>
      </w:r>
      <w:r>
        <w:rPr>
          <w:rFonts w:ascii="Arial" w:cs="Arial" w:eastAsia="Arial" w:hAnsi="Arial"/>
          <w:sz w:val="15"/>
          <w:szCs w:val="15"/>
          <w:color w:val="auto"/>
        </w:rPr>
        <w:t>. Other general and administrative expenses increased by $0.4 million to $1.8 million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2018, as compared to $1.4 million for the three months ended September 30, 2017. The increase was due primarily to increased personnel and other general and administrative costs. We expect our other general and administrative expenses to remain at a comparable level for the remainder of 2018.</w:t>
      </w:r>
    </w:p>
    <w:p>
      <w:pPr>
        <w:spacing w:after="0" w:line="142" w:lineRule="exact"/>
        <w:rPr>
          <w:sz w:val="20"/>
          <w:szCs w:val="20"/>
          <w:color w:val="auto"/>
        </w:rPr>
      </w:pPr>
    </w:p>
    <w:p>
      <w:pPr>
        <w:ind w:right="280" w:firstLine="527"/>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increased by $0.3 million to approximately $0.4 million for the three months ended September 30,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$49,000 for the three months ended September 30, 2017. The increase is mainly due to an increase in interest income for the three months ended September 30,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Nine months ended September 30, 2018 and 2017</w:t>
      </w:r>
    </w:p>
    <w:p>
      <w:pPr>
        <w:spacing w:after="0" w:line="231"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$0.1 million for each of the nine months ended September 30, 2018 and 2017. License revenue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2018 and 2017 was related to the amortization of an upfront payment of $2.0 million received in 2012 associated with our license agreement with Ildong.</w:t>
      </w:r>
    </w:p>
    <w:p>
      <w:pPr>
        <w:spacing w:after="0" w:line="194" w:lineRule="exact"/>
        <w:rPr>
          <w:sz w:val="20"/>
          <w:szCs w:val="20"/>
          <w:color w:val="auto"/>
        </w:rPr>
      </w:pPr>
    </w:p>
    <w:p>
      <w:pPr>
        <w:ind w:right="300" w:firstLine="486"/>
        <w:spacing w:after="0" w:line="298" w:lineRule="auto"/>
        <w:rPr>
          <w:sz w:val="20"/>
          <w:szCs w:val="20"/>
          <w:color w:val="auto"/>
        </w:rPr>
      </w:pPr>
      <w:r>
        <w:rPr>
          <w:rFonts w:ascii="Arial" w:cs="Arial" w:eastAsia="Arial" w:hAnsi="Arial"/>
          <w:sz w:val="16"/>
          <w:szCs w:val="16"/>
          <w:i w:val="1"/>
          <w:iCs w:val="1"/>
          <w:color w:val="auto"/>
        </w:rPr>
        <w:t xml:space="preserve">Noncash Stock Expense Associated with In-Licensing Agreement (Research and Development). </w:t>
      </w:r>
      <w:r>
        <w:rPr>
          <w:rFonts w:ascii="Arial" w:cs="Arial" w:eastAsia="Arial" w:hAnsi="Arial"/>
          <w:sz w:val="16"/>
          <w:szCs w:val="16"/>
          <w:color w:val="auto"/>
        </w:rPr>
        <w:t>Noncash stock expense associated with in-licensing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(research and development) amounted to $4.0 million for the nine months ended September 30, 2018, as compared to zero during the comparable period in 2017. The expense during the nine months ended September 30, 2018 was recorded in conjunction with the stock issued to Novimmune and Jiangsu Hengrui as upfront payments for the licenses to the CD47/CD19 and BTK programs, respectively.</w:t>
      </w:r>
    </w:p>
    <w:p>
      <w:pPr>
        <w:spacing w:after="0" w:line="167"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totaled $4.4 million for the nine months ended September 30, 2018, as compared to $5.4 million during the comparable period in 2017. The decrease in noncash compensation expense was primarily related to a decrease in the measurement date fair value of certain consultant restricted stock during the period ended September 30, 2018.</w:t>
      </w:r>
    </w:p>
    <w:p>
      <w:pPr>
        <w:spacing w:after="0" w:line="197"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$27.5 million to $98.7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as compared to $71.2 million for the nine months ended September 30, 2017. The increase in other research and development expenses was due primarily to ongoing clinical development programs during the nine months ended September 30, 2018. We expect our other research and development costs to remain relatively consistent for the remainder of 2018.</w:t>
      </w:r>
    </w:p>
    <w:p>
      <w:pPr>
        <w:spacing w:after="0" w:line="197" w:lineRule="exact"/>
        <w:rPr>
          <w:sz w:val="20"/>
          <w:szCs w:val="20"/>
          <w:color w:val="auto"/>
        </w:rPr>
      </w:pPr>
    </w:p>
    <w:p>
      <w:pPr>
        <w:ind w:right="260" w:firstLine="486"/>
        <w:spacing w:after="0" w:line="332"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remained consistent between the two periods totaling $7.0 million for the nine months ended September 30, 2018 and 2017.</w:t>
      </w:r>
    </w:p>
    <w:p>
      <w:pPr>
        <w:spacing w:after="0" w:line="139" w:lineRule="exact"/>
        <w:rPr>
          <w:sz w:val="20"/>
          <w:szCs w:val="20"/>
          <w:color w:val="auto"/>
        </w:rPr>
      </w:pPr>
    </w:p>
    <w:p>
      <w:pPr>
        <w:ind w:right="200" w:firstLine="486"/>
        <w:spacing w:after="0" w:line="335" w:lineRule="auto"/>
        <w:rPr>
          <w:sz w:val="20"/>
          <w:szCs w:val="20"/>
          <w:color w:val="auto"/>
        </w:rPr>
      </w:pPr>
      <w:r>
        <w:rPr>
          <w:rFonts w:ascii="Arial" w:cs="Arial" w:eastAsia="Arial" w:hAnsi="Arial"/>
          <w:sz w:val="15"/>
          <w:szCs w:val="15"/>
          <w:i w:val="1"/>
          <w:iCs w:val="1"/>
          <w:color w:val="auto"/>
        </w:rPr>
        <w:t>Other General and Administrative Expenses</w:t>
      </w:r>
      <w:r>
        <w:rPr>
          <w:rFonts w:ascii="Arial" w:cs="Arial" w:eastAsia="Arial" w:hAnsi="Arial"/>
          <w:sz w:val="15"/>
          <w:szCs w:val="15"/>
          <w:color w:val="auto"/>
        </w:rPr>
        <w:t>. Other general and administrative expenses increased by $1.9 million to $6.2 million for the nine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2018, as compared to $4.3 million for the nine months ended September 30, 2017. The increase was due primarily to increased personnel and other general and administrative costs. We expect our other general and administrative expenses to remain at a comparable level for the remainder of 2018.</w:t>
      </w:r>
    </w:p>
    <w:p>
      <w:pPr>
        <w:spacing w:after="0" w:line="142" w:lineRule="exact"/>
        <w:rPr>
          <w:sz w:val="20"/>
          <w:szCs w:val="20"/>
          <w:color w:val="auto"/>
        </w:rPr>
      </w:pPr>
    </w:p>
    <w:p>
      <w:pPr>
        <w:jc w:val="both"/>
        <w:ind w:right="340" w:firstLine="486"/>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increased by $0.5 million to $0.6 million for the nine months ended September 30, 2018, as compared to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2017. The increase is mainly due to an increase in interest income for the nine months ended September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527"/>
        <w:spacing w:after="0" w:line="254" w:lineRule="auto"/>
        <w:rPr>
          <w:sz w:val="20"/>
          <w:szCs w:val="20"/>
          <w:color w:val="auto"/>
        </w:rPr>
      </w:pPr>
      <w:r>
        <w:rPr>
          <w:rFonts w:ascii="Arial" w:cs="Arial" w:eastAsia="Arial" w:hAnsi="Arial"/>
          <w:sz w:val="18"/>
          <w:szCs w:val="18"/>
          <w:color w:val="auto"/>
        </w:rPr>
        <w:t>Our primary sources of cash have been from the sale of equity securities, warrant and option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8" w:lineRule="exact"/>
        <w:rPr>
          <w:sz w:val="20"/>
          <w:szCs w:val="20"/>
          <w:color w:val="auto"/>
        </w:rPr>
      </w:pPr>
    </w:p>
    <w:p>
      <w:pPr>
        <w:ind w:right="200" w:firstLine="527"/>
        <w:spacing w:after="0" w:line="294" w:lineRule="auto"/>
        <w:rPr>
          <w:sz w:val="20"/>
          <w:szCs w:val="20"/>
          <w:color w:val="auto"/>
        </w:rPr>
      </w:pPr>
      <w:r>
        <w:rPr>
          <w:rFonts w:ascii="Arial" w:cs="Arial" w:eastAsia="Arial" w:hAnsi="Arial"/>
          <w:sz w:val="16"/>
          <w:szCs w:val="16"/>
          <w:color w:val="auto"/>
        </w:rPr>
        <w:t>As of September 30, 2018, we had approximately $97.8 million in cash, cash equivalents, investment securities, and interest receivable. The Company believes its cash, cash equivalents, investment securities, and interest receivable on hand as of September 30, 2018 will be sufficient to fund the Company’s planned operations through the end of 2019.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70" w:lineRule="exact"/>
        <w:rPr>
          <w:sz w:val="20"/>
          <w:szCs w:val="20"/>
          <w:color w:val="auto"/>
        </w:rPr>
      </w:pPr>
    </w:p>
    <w:p>
      <w:pPr>
        <w:ind w:right="20" w:firstLine="527"/>
        <w:spacing w:after="0" w:line="259" w:lineRule="auto"/>
        <w:rPr>
          <w:sz w:val="20"/>
          <w:szCs w:val="20"/>
          <w:color w:val="auto"/>
        </w:rPr>
      </w:pPr>
      <w:r>
        <w:rPr>
          <w:rFonts w:ascii="Arial" w:cs="Arial" w:eastAsia="Arial" w:hAnsi="Arial"/>
          <w:sz w:val="18"/>
          <w:szCs w:val="18"/>
          <w:color w:val="auto"/>
        </w:rPr>
        <w:t>Cash used in operating activities for the nine months ended September 30, 2018 was $95.2 million as compared to $71.9 million for the nine months ended September 30, 2017. The increase in cash used in operating activities was due primarily to increased expenditures associated with our clinical development programs for TG-1101 and TGR-1202.</w:t>
      </w:r>
    </w:p>
    <w:p>
      <w:pPr>
        <w:spacing w:after="0" w:line="194" w:lineRule="exact"/>
        <w:rPr>
          <w:sz w:val="20"/>
          <w:szCs w:val="20"/>
          <w:color w:val="auto"/>
        </w:rPr>
      </w:pPr>
    </w:p>
    <w:p>
      <w:pPr>
        <w:ind w:right="60" w:firstLine="527"/>
        <w:spacing w:after="0" w:line="259" w:lineRule="auto"/>
        <w:rPr>
          <w:sz w:val="20"/>
          <w:szCs w:val="20"/>
          <w:color w:val="auto"/>
        </w:rPr>
      </w:pPr>
      <w:r>
        <w:rPr>
          <w:rFonts w:ascii="Arial" w:cs="Arial" w:eastAsia="Arial" w:hAnsi="Arial"/>
          <w:sz w:val="18"/>
          <w:szCs w:val="18"/>
          <w:color w:val="auto"/>
        </w:rPr>
        <w:t>For the nine months ended September 30, 2018, net cash provided by investing activities was $0.9 million as compared to $19.8 million for the nine months ended September 30, 2017. The decrease in net cash provided by investing activities was primarily due to greater investment in treasury securities during the nine months ended September 30, 2018.</w:t>
      </w:r>
    </w:p>
    <w:p>
      <w:pPr>
        <w:spacing w:after="0" w:line="194" w:lineRule="exact"/>
        <w:rPr>
          <w:sz w:val="20"/>
          <w:szCs w:val="20"/>
          <w:color w:val="auto"/>
        </w:rPr>
      </w:pPr>
    </w:p>
    <w:p>
      <w:pPr>
        <w:ind w:firstLine="527"/>
        <w:spacing w:after="0" w:line="268" w:lineRule="auto"/>
        <w:rPr>
          <w:sz w:val="20"/>
          <w:szCs w:val="20"/>
          <w:color w:val="auto"/>
        </w:rPr>
      </w:pPr>
      <w:r>
        <w:rPr>
          <w:rFonts w:ascii="Arial" w:cs="Arial" w:eastAsia="Arial" w:hAnsi="Arial"/>
          <w:sz w:val="18"/>
          <w:szCs w:val="18"/>
          <w:color w:val="auto"/>
        </w:rPr>
        <w:t>For the nine months ended September 30, 2018, net cash provided by financing activities of $108.9 million related primarily to proceeds from the issuance of common stock as part of our ATM program.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firstLine="527"/>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400" w:firstLine="527"/>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ind w:right="60" w:firstLine="527"/>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97" w:lineRule="exact"/>
        <w:rPr>
          <w:sz w:val="20"/>
          <w:szCs w:val="20"/>
          <w:color w:val="auto"/>
        </w:rPr>
      </w:pPr>
    </w:p>
    <w:p>
      <w:pPr>
        <w:ind w:firstLine="527"/>
        <w:spacing w:after="0" w:line="28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ASU No. 2014-09, “Revenue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(Topic 606) (“ASC 606”).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a promise to transfer more than one good or service to the customer, in which case we would account for each promised good or service as a performance obligation only if it is (1) distinct or (2) a series of distinct goods or services that are substantially the same and have the same pattern of transfer. For each performance obligation, we would determine whether we satisfy the performance obligation over time by transferring control of a good or service over time. To determine whether our promise is to provide a right to access its intellectual property or a right to use its intellectual property, we would consider the nature of the intellectual property to which the customer will have rights. We have symbolic intellectual property, derived from our association with ongoing activities, including our ordinary business activities.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5" w:lineRule="exact"/>
        <w:rPr>
          <w:sz w:val="20"/>
          <w:szCs w:val="20"/>
          <w:color w:val="auto"/>
        </w:rPr>
      </w:pPr>
    </w:p>
    <w:p>
      <w:pPr>
        <w:ind w:right="60" w:firstLine="527"/>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7" w:lineRule="exact"/>
        <w:rPr>
          <w:sz w:val="20"/>
          <w:szCs w:val="20"/>
          <w:color w:val="auto"/>
        </w:rPr>
      </w:pPr>
    </w:p>
    <w:p>
      <w:pPr>
        <w:ind w:right="140" w:firstLine="527"/>
        <w:spacing w:after="0" w:line="314"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27" w:name="page28"/>
    <w:bookmarkEnd w:id="27"/>
    <w:p>
      <w:pPr>
        <w:ind w:firstLine="527"/>
        <w:spacing w:after="0" w:line="286"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1" w:lineRule="exact"/>
        <w:rPr>
          <w:sz w:val="20"/>
          <w:szCs w:val="20"/>
          <w:color w:val="auto"/>
        </w:rPr>
      </w:pPr>
    </w:p>
    <w:p>
      <w:pPr>
        <w:jc w:val="both"/>
        <w:ind w:right="140" w:firstLine="527"/>
        <w:spacing w:after="0" w:line="256"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97" w:lineRule="exact"/>
        <w:rPr>
          <w:sz w:val="20"/>
          <w:szCs w:val="20"/>
          <w:color w:val="auto"/>
        </w:rPr>
      </w:pPr>
    </w:p>
    <w:p>
      <w:pPr>
        <w:ind w:right="60" w:firstLine="527"/>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condensed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74" w:lineRule="exact"/>
        <w:rPr>
          <w:sz w:val="20"/>
          <w:szCs w:val="20"/>
          <w:color w:val="auto"/>
        </w:rPr>
      </w:pPr>
    </w:p>
    <w:p>
      <w:pPr>
        <w:ind w:right="200" w:firstLine="527"/>
        <w:spacing w:after="0" w:line="259"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94" w:lineRule="exact"/>
        <w:rPr>
          <w:sz w:val="20"/>
          <w:szCs w:val="20"/>
          <w:color w:val="auto"/>
        </w:rPr>
      </w:pPr>
    </w:p>
    <w:p>
      <w:pPr>
        <w:ind w:right="160" w:firstLine="527"/>
        <w:spacing w:after="0" w:line="268"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20" w:firstLine="527"/>
        <w:spacing w:after="0" w:line="291" w:lineRule="auto"/>
        <w:rPr>
          <w:sz w:val="20"/>
          <w:szCs w:val="20"/>
          <w:color w:val="auto"/>
        </w:rPr>
      </w:pPr>
      <w:r>
        <w:rPr>
          <w:rFonts w:ascii="Arial" w:cs="Arial" w:eastAsia="Arial" w:hAnsi="Arial"/>
          <w:sz w:val="16"/>
          <w:szCs w:val="16"/>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93" w:right="259" w:bottom="1440" w:gutter="0" w:footer="0" w:header="0"/>
        </w:sectPr>
      </w:pPr>
    </w:p>
    <w:bookmarkStart w:id="28" w:name="page29"/>
    <w:bookmarkEnd w:id="28"/>
    <w:p>
      <w:pPr>
        <w:ind w:right="80" w:firstLine="648"/>
        <w:spacing w:after="0" w:line="291" w:lineRule="auto"/>
        <w:rPr>
          <w:sz w:val="20"/>
          <w:szCs w:val="20"/>
          <w:color w:val="auto"/>
        </w:rPr>
      </w:pPr>
      <w:r>
        <w:rPr>
          <w:rFonts w:ascii="Arial" w:cs="Arial" w:eastAsia="Arial" w:hAnsi="Arial"/>
          <w:sz w:val="16"/>
          <w:szCs w:val="16"/>
          <w:color w:val="auto"/>
        </w:rPr>
        <w:t>ASU 2018-11 provides an entity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840, Leases). An entity that elects this additional (and optional) transition method must provide the required Topic 840 disclosures for all periods that continue to be in accordance with Topic 840. The amendments do not change the existing disclosure requirements in Topic 840. An entity shall apply the effects of modification using one of the following two methods:</w:t>
      </w:r>
    </w:p>
    <w:p>
      <w:pPr>
        <w:spacing w:after="0" w:line="174" w:lineRule="exact"/>
        <w:rPr>
          <w:sz w:val="20"/>
          <w:szCs w:val="20"/>
          <w:color w:val="auto"/>
        </w:rPr>
      </w:pPr>
    </w:p>
    <w:p>
      <w:pPr>
        <w:jc w:val="both"/>
        <w:ind w:left="980" w:hanging="162"/>
        <w:spacing w:after="0" w:line="306"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Retrospectively to each prior reporting period presented in the financial statements with the cumulative effect of initially applying ASU 2018-11 recognized at the beginning of the earliest comparative period presented. Under this transition method, the application date shall be the later of the beginning of the earliest period presented in the financial statements and the commencement date of the lease.</w:t>
      </w:r>
    </w:p>
    <w:p>
      <w:pPr>
        <w:spacing w:after="0" w:line="160" w:lineRule="exact"/>
        <w:rPr>
          <w:rFonts w:ascii="Arial" w:cs="Arial" w:eastAsia="Arial" w:hAnsi="Arial"/>
          <w:sz w:val="16"/>
          <w:szCs w:val="16"/>
          <w:color w:val="auto"/>
        </w:rPr>
      </w:pPr>
    </w:p>
    <w:p>
      <w:pPr>
        <w:ind w:left="980" w:hanging="162"/>
        <w:spacing w:after="0" w:line="26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Retrospectively at the beginning of the period of adoption through a cumulative-effect adjustment. Under this transition method, the application date shall be the beginning of the reporting period in which the entity first applies ASU 2018-11.</w:t>
      </w:r>
    </w:p>
    <w:p>
      <w:pPr>
        <w:spacing w:after="0" w:line="186" w:lineRule="exact"/>
        <w:rPr>
          <w:sz w:val="20"/>
          <w:szCs w:val="20"/>
          <w:color w:val="auto"/>
        </w:rPr>
      </w:pPr>
    </w:p>
    <w:p>
      <w:pPr>
        <w:ind w:right="300" w:firstLine="527"/>
        <w:spacing w:after="0" w:line="332" w:lineRule="auto"/>
        <w:rPr>
          <w:sz w:val="20"/>
          <w:szCs w:val="20"/>
          <w:color w:val="auto"/>
        </w:rPr>
      </w:pPr>
      <w:r>
        <w:rPr>
          <w:rFonts w:ascii="Arial" w:cs="Arial" w:eastAsia="Arial" w:hAnsi="Arial"/>
          <w:sz w:val="16"/>
          <w:szCs w:val="16"/>
          <w:color w:val="auto"/>
        </w:rPr>
        <w:t>ASU 2018-11 is effective for public business entities for fiscal years beginning after December 15, 2018, and interim periods within those fiscal years, with earlier adoption permitted. We are currently evaluating the impact the adoption of ASU 2018-11 will have on our consolidated financial statements.</w:t>
      </w:r>
    </w:p>
    <w:p>
      <w:pPr>
        <w:spacing w:after="0" w:line="139" w:lineRule="exact"/>
        <w:rPr>
          <w:sz w:val="20"/>
          <w:szCs w:val="20"/>
          <w:color w:val="auto"/>
        </w:rPr>
      </w:pPr>
    </w:p>
    <w:p>
      <w:pPr>
        <w:ind w:right="100" w:firstLine="527"/>
        <w:spacing w:after="0" w:line="290"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2" w:lineRule="exact"/>
        <w:rPr>
          <w:sz w:val="20"/>
          <w:szCs w:val="20"/>
          <w:color w:val="auto"/>
        </w:rPr>
      </w:pPr>
    </w:p>
    <w:p>
      <w:pPr>
        <w:jc w:val="both"/>
        <w:ind w:right="40" w:firstLine="527"/>
        <w:spacing w:after="0" w:line="259"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We expect the impact to our consolidated statements of operations could be material given potential fluctuations in our stock price as of the adoption date.</w:t>
      </w:r>
    </w:p>
    <w:p>
      <w:pPr>
        <w:spacing w:after="0" w:line="194" w:lineRule="exact"/>
        <w:rPr>
          <w:sz w:val="20"/>
          <w:szCs w:val="20"/>
          <w:color w:val="auto"/>
        </w:rPr>
      </w:pPr>
    </w:p>
    <w:p>
      <w:pPr>
        <w:jc w:val="both"/>
        <w:ind w:right="80" w:firstLine="527"/>
        <w:spacing w:after="0" w:line="259" w:lineRule="auto"/>
        <w:rPr>
          <w:sz w:val="20"/>
          <w:szCs w:val="20"/>
          <w:color w:val="auto"/>
        </w:rPr>
      </w:pPr>
      <w:r>
        <w:rPr>
          <w:rFonts w:ascii="Arial" w:cs="Arial" w:eastAsia="Arial" w:hAnsi="Arial"/>
          <w:sz w:val="18"/>
          <w:szCs w:val="18"/>
          <w:color w:val="auto"/>
        </w:rPr>
        <w:t>In May 2017, the FASB issued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94" w:lineRule="exact"/>
        <w:rPr>
          <w:sz w:val="20"/>
          <w:szCs w:val="20"/>
          <w:color w:val="auto"/>
        </w:rPr>
      </w:pPr>
    </w:p>
    <w:p>
      <w:pPr>
        <w:jc w:val="both"/>
        <w:ind w:left="980" w:hanging="162"/>
        <w:spacing w:after="0" w:line="298"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66" w:lineRule="exact"/>
        <w:rPr>
          <w:rFonts w:ascii="Arial" w:cs="Arial" w:eastAsia="Arial" w:hAnsi="Arial"/>
          <w:sz w:val="16"/>
          <w:szCs w:val="16"/>
          <w:color w:val="auto"/>
        </w:rPr>
      </w:pPr>
    </w:p>
    <w:p>
      <w:pPr>
        <w:ind w:left="980" w:hanging="162"/>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spacing w:after="0" w:line="185"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9" w:name="page30"/>
    <w:bookmarkEnd w:id="29"/>
    <w:p>
      <w:pPr>
        <w:ind w:right="20" w:firstLine="527"/>
        <w:spacing w:after="0" w:line="255" w:lineRule="auto"/>
        <w:rPr>
          <w:sz w:val="20"/>
          <w:szCs w:val="20"/>
          <w:color w:val="auto"/>
        </w:rPr>
      </w:pPr>
      <w:r>
        <w:rPr>
          <w:rFonts w:ascii="Arial" w:cs="Arial" w:eastAsia="Arial" w:hAnsi="Arial"/>
          <w:sz w:val="18"/>
          <w:szCs w:val="18"/>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adopted ASU 2017-09 on January 1, 2018. The adoption of ASU 2017-09 did not have a material effect on our consolidated financial statements as of September 30, 2018.</w:t>
      </w:r>
    </w:p>
    <w:p>
      <w:pPr>
        <w:spacing w:after="0" w:line="197" w:lineRule="exact"/>
        <w:rPr>
          <w:sz w:val="20"/>
          <w:szCs w:val="20"/>
          <w:color w:val="auto"/>
        </w:rPr>
      </w:pPr>
    </w:p>
    <w:p>
      <w:pPr>
        <w:ind w:right="280" w:firstLine="527"/>
        <w:spacing w:after="0" w:line="294" w:lineRule="auto"/>
        <w:rPr>
          <w:sz w:val="20"/>
          <w:szCs w:val="20"/>
          <w:color w:val="auto"/>
        </w:rPr>
      </w:pPr>
      <w:r>
        <w:rPr>
          <w:rFonts w:ascii="Arial" w:cs="Arial" w:eastAsia="Arial" w:hAnsi="Arial"/>
          <w:sz w:val="16"/>
          <w:szCs w:val="16"/>
          <w:color w:val="auto"/>
        </w:rPr>
        <w:t>In November 2016, the FASB issued ASU No. 2016-18, “Statement of Cash Flows – Restricted Cash” (“ASU 2016-18”). ASU 2016-18 requires that a statement of cash flows explain the change during the period for the total of cash, cash equivalents, and amounts generally described as restricted cash or restricted cash equivalents. ASU 2016-18 does not provide a definition of restricted cash or restricted cash equivalents, and does not change the balance sheet presentation for such items. The Company adopted ASU 2016-18 on January 1, 2018. The adoption of ASU 2016-18 did not have a material effect on our consolidated financial statements as of September 30, 2018.</w:t>
      </w:r>
    </w:p>
    <w:p>
      <w:pPr>
        <w:spacing w:after="0" w:line="170" w:lineRule="exact"/>
        <w:rPr>
          <w:sz w:val="20"/>
          <w:szCs w:val="20"/>
          <w:color w:val="auto"/>
        </w:rPr>
      </w:pPr>
    </w:p>
    <w:p>
      <w:pPr>
        <w:ind w:right="200" w:firstLine="527"/>
        <w:spacing w:after="0" w:line="298"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or “ASC 606”),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67" w:lineRule="exact"/>
        <w:rPr>
          <w:sz w:val="20"/>
          <w:szCs w:val="20"/>
          <w:color w:val="auto"/>
        </w:rPr>
      </w:pPr>
    </w:p>
    <w:p>
      <w:pPr>
        <w:jc w:val="both"/>
        <w:ind w:firstLine="527"/>
        <w:spacing w:after="0" w:line="259" w:lineRule="auto"/>
        <w:rPr>
          <w:sz w:val="20"/>
          <w:szCs w:val="20"/>
          <w:color w:val="auto"/>
        </w:rPr>
      </w:pPr>
      <w:r>
        <w:rPr>
          <w:rFonts w:ascii="Arial" w:cs="Arial" w:eastAsia="Arial" w:hAnsi="Arial"/>
          <w:sz w:val="18"/>
          <w:szCs w:val="18"/>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94" w:lineRule="exact"/>
        <w:rPr>
          <w:sz w:val="20"/>
          <w:szCs w:val="20"/>
          <w:color w:val="auto"/>
        </w:rPr>
      </w:pPr>
    </w:p>
    <w:p>
      <w:pPr>
        <w:ind w:right="420" w:firstLine="527"/>
        <w:spacing w:after="0" w:line="323" w:lineRule="auto"/>
        <w:rPr>
          <w:sz w:val="20"/>
          <w:szCs w:val="20"/>
          <w:color w:val="auto"/>
        </w:rPr>
      </w:pPr>
      <w:r>
        <w:rPr>
          <w:rFonts w:ascii="Arial" w:cs="Arial" w:eastAsia="Arial" w:hAnsi="Arial"/>
          <w:sz w:val="15"/>
          <w:szCs w:val="15"/>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condensed consolidated financial statements as of September 30, 2018.</w:t>
      </w:r>
    </w:p>
    <w:p>
      <w:pPr>
        <w:spacing w:after="0" w:line="152" w:lineRule="exact"/>
        <w:rPr>
          <w:sz w:val="20"/>
          <w:szCs w:val="20"/>
          <w:color w:val="auto"/>
        </w:rPr>
      </w:pPr>
    </w:p>
    <w:p>
      <w:pPr>
        <w:ind w:right="740" w:firstLine="527"/>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8" w:lineRule="exact"/>
        <w:rPr>
          <w:sz w:val="20"/>
          <w:szCs w:val="20"/>
          <w:color w:val="auto"/>
        </w:rPr>
      </w:pPr>
    </w:p>
    <w:p>
      <w:pPr>
        <w:ind w:right="80" w:firstLine="547"/>
        <w:spacing w:after="0" w:line="291"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September 30, 2018,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40" w:firstLine="527"/>
        <w:spacing w:after="0" w:line="254" w:lineRule="auto"/>
        <w:rPr>
          <w:sz w:val="20"/>
          <w:szCs w:val="20"/>
          <w:color w:val="auto"/>
        </w:rPr>
      </w:pPr>
      <w:r>
        <w:rPr>
          <w:rFonts w:ascii="Arial" w:cs="Arial" w:eastAsia="Arial" w:hAnsi="Arial"/>
          <w:sz w:val="18"/>
          <w:szCs w:val="18"/>
          <w:color w:val="auto"/>
        </w:rPr>
        <w:t>As of September 30, 2018,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2018, our disclosure controls and procedures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220" w:firstLine="527"/>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2018 that have materially affected, or are reasonably likely to materially affect, our internal control over financial reporting.</w:t>
      </w:r>
    </w:p>
    <w:p>
      <w:pPr>
        <w:spacing w:after="0" w:line="18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jc w:val="both"/>
        <w:ind w:firstLine="729"/>
        <w:spacing w:after="0" w:line="291" w:lineRule="auto"/>
        <w:rPr>
          <w:sz w:val="20"/>
          <w:szCs w:val="20"/>
          <w:color w:val="auto"/>
        </w:rPr>
      </w:pPr>
      <w:r>
        <w:rPr>
          <w:rFonts w:ascii="Arial" w:cs="Arial" w:eastAsia="Arial" w:hAnsi="Arial"/>
          <w:sz w:val="16"/>
          <w:szCs w:val="16"/>
          <w:color w:val="auto"/>
        </w:rPr>
        <w:t>In October 2018, a purported securities class action complaint was filed in the US District Court for the Southern District of New York against the Company and one of its officers on behalf of all shareholders who purchased or otherwise acquired TG Therapeutics common stock between June 4, 2018 and September 25, 2018 (the “Class Period”). The case is captioned Randall Reinmann v. TG Therapeutics Inc., and Michael S. Weiss, Case No. 1:18-cv-09104-KPF. The complaint alleges that, throughout the Class Period, the Company made false and/or misleading statements and/or failed to disclose various facts and circumstances regarding its UNITY-CLL study allegedly in violation of the Securities Exchange Act of 1934 and Rule 10b-5 promulgated thereunder. The action remains pending and is in the early stages of litigation, and the Company intends to vigorously contest the claims in the complaint.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280" w:firstLine="486"/>
        <w:spacing w:after="0" w:line="332" w:lineRule="auto"/>
        <w:rPr>
          <w:sz w:val="20"/>
          <w:szCs w:val="20"/>
          <w:color w:val="auto"/>
        </w:rPr>
      </w:pPr>
      <w:r>
        <w:rPr>
          <w:rFonts w:ascii="Arial" w:cs="Arial" w:eastAsia="Arial" w:hAnsi="Arial"/>
          <w:sz w:val="16"/>
          <w:szCs w:val="16"/>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ind w:right="20" w:firstLine="527"/>
        <w:spacing w:after="0" w:line="306" w:lineRule="auto"/>
        <w:rPr>
          <w:sz w:val="20"/>
          <w:szCs w:val="20"/>
          <w:color w:val="auto"/>
        </w:rPr>
      </w:pPr>
      <w:r>
        <w:rPr>
          <w:rFonts w:ascii="Arial" w:cs="Arial" w:eastAsia="Arial" w:hAnsi="Arial"/>
          <w:sz w:val="16"/>
          <w:szCs w:val="16"/>
          <w:color w:val="181717"/>
        </w:rPr>
        <w:t xml:space="preserve">Because we license our intellectual property from third parties and we expect to continue to in-license additional intellectual property rights, if there is any dispute between us and our licensor regarding our rights under a </w:t>
      </w:r>
      <w:r>
        <w:rPr>
          <w:rFonts w:ascii="Arial" w:cs="Arial" w:eastAsia="Arial" w:hAnsi="Arial"/>
          <w:sz w:val="16"/>
          <w:szCs w:val="16"/>
          <w:color w:val="000000"/>
        </w:rPr>
        <w:t>license</w:t>
      </w:r>
      <w:r>
        <w:rPr>
          <w:rFonts w:ascii="Arial" w:cs="Arial" w:eastAsia="Arial" w:hAnsi="Arial"/>
          <w:sz w:val="16"/>
          <w:szCs w:val="16"/>
          <w:color w:val="181717"/>
        </w:rPr>
        <w:t xml:space="preserve"> agreement, our ability to develop and commercialize our product candidates may be adversely affected. Disputes may arise with the third parties from whom we license our intellectual property rights from for a variety of reasons, including:</w:t>
      </w:r>
    </w:p>
    <w:p>
      <w:pPr>
        <w:spacing w:after="0" w:line="161" w:lineRule="exact"/>
        <w:rPr>
          <w:sz w:val="20"/>
          <w:szCs w:val="20"/>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181717"/>
        </w:rPr>
        <w:t>the scope of rights granted under the license agreement and other interpretation-related issues;</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181717"/>
        </w:rPr>
        <w:t>the extent to which our technology and processes infringe on intellectual property of the licensor that is not subject to the license agreement;</w:t>
      </w:r>
    </w:p>
    <w:p>
      <w:pPr>
        <w:spacing w:after="0" w:line="32" w:lineRule="exact"/>
        <w:rPr>
          <w:rFonts w:ascii="Arial" w:cs="Arial" w:eastAsia="Arial" w:hAnsi="Arial"/>
          <w:sz w:val="16"/>
          <w:szCs w:val="16"/>
          <w:color w:val="auto"/>
        </w:rPr>
      </w:pPr>
    </w:p>
    <w:p>
      <w:pPr>
        <w:ind w:left="980" w:hanging="162"/>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181717"/>
        </w:rPr>
        <w:t>the sublicensing of patent and other rights under our collaborative development relationships and obligations associated with sublicensing;</w:t>
      </w:r>
    </w:p>
    <w:p>
      <w:pPr>
        <w:spacing w:after="0" w:line="32" w:lineRule="exact"/>
        <w:rPr>
          <w:rFonts w:ascii="Arial" w:cs="Arial" w:eastAsia="Arial" w:hAnsi="Arial"/>
          <w:sz w:val="16"/>
          <w:szCs w:val="16"/>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181717"/>
        </w:rPr>
        <w:t>our diligence obligations under the license agreement and what activities satisfy those diligence obligations;</w:t>
      </w:r>
    </w:p>
    <w:p>
      <w:pPr>
        <w:spacing w:after="0" w:line="9" w:lineRule="exact"/>
        <w:rPr>
          <w:rFonts w:ascii="Arial" w:cs="Arial" w:eastAsia="Arial" w:hAnsi="Arial"/>
          <w:sz w:val="18"/>
          <w:szCs w:val="18"/>
          <w:color w:val="auto"/>
        </w:rPr>
      </w:pPr>
    </w:p>
    <w:p>
      <w:pPr>
        <w:ind w:left="980" w:hanging="162"/>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181717"/>
        </w:rPr>
        <w:t>the ownership of inventions and know-how resulting from the joint creation or use of intellectual property by our licensors and us and our partners; and</w:t>
      </w: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181717"/>
        </w:rPr>
        <w:t>the priority of invention of patented technology.</w:t>
      </w:r>
    </w:p>
    <w:p>
      <w:pPr>
        <w:spacing w:after="0" w:line="219" w:lineRule="exact"/>
        <w:rPr>
          <w:sz w:val="20"/>
          <w:szCs w:val="20"/>
          <w:color w:val="auto"/>
        </w:rPr>
      </w:pPr>
    </w:p>
    <w:p>
      <w:pPr>
        <w:ind w:right="40" w:firstLine="527"/>
        <w:spacing w:after="0" w:line="289" w:lineRule="auto"/>
        <w:rPr>
          <w:sz w:val="20"/>
          <w:szCs w:val="20"/>
          <w:color w:val="auto"/>
        </w:rPr>
      </w:pPr>
      <w:r>
        <w:rPr>
          <w:rFonts w:ascii="Arial" w:cs="Arial" w:eastAsia="Arial" w:hAnsi="Arial"/>
          <w:sz w:val="16"/>
          <w:szCs w:val="16"/>
          <w:color w:val="181717"/>
        </w:rPr>
        <w:t xml:space="preserve">In addition, the agreements under which we currently license intellectual property or technology from third parties are </w:t>
      </w:r>
      <w:r>
        <w:rPr>
          <w:rFonts w:ascii="Arial" w:cs="Arial" w:eastAsia="Arial" w:hAnsi="Arial"/>
          <w:sz w:val="16"/>
          <w:szCs w:val="16"/>
          <w:color w:val="000000"/>
        </w:rPr>
        <w:t>complex</w:t>
      </w:r>
      <w:r>
        <w:rPr>
          <w:rFonts w:ascii="Arial" w:cs="Arial" w:eastAsia="Arial" w:hAnsi="Arial"/>
          <w:sz w:val="16"/>
          <w:szCs w:val="16"/>
          <w:color w:val="181717"/>
        </w:rPr>
        <w:t>,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7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39" w:lineRule="exact"/>
        <w:rPr>
          <w:sz w:val="20"/>
          <w:szCs w:val="20"/>
          <w:color w:val="auto"/>
        </w:rPr>
      </w:pPr>
    </w:p>
    <w:p>
      <w:pPr>
        <w:ind w:right="40" w:firstLine="527"/>
        <w:spacing w:after="0" w:line="285" w:lineRule="auto"/>
        <w:rPr>
          <w:sz w:val="20"/>
          <w:szCs w:val="20"/>
          <w:color w:val="auto"/>
        </w:rPr>
      </w:pPr>
      <w:r>
        <w:rPr>
          <w:rFonts w:ascii="Arial" w:cs="Arial" w:eastAsia="Arial" w:hAnsi="Arial"/>
          <w:sz w:val="16"/>
          <w:szCs w:val="16"/>
          <w:color w:val="auto"/>
        </w:rPr>
        <w:t>In order to submit and maintain an Investigational New Drug application (“IND”), Biologics License Application (“BLA”), or New Drug Application (“NDA”) to the United States Food and Drug Administration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some of our product candidates are in Phase I trials outside of the US, we currently do not have an active US IND for any of the IRAK4, BTK, or BET inhibitors, nor for our anti-PDL1, anti-GITR or anti-CD47/ anti-CD-19 antibodies. Additionally, there can be no assurance given that any of the molecules under development in our IRAK4 or BET inhibitor program or in our anti-GITR or anti-CD47/ anti-CD-19 antibody research programs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and an active IND for TG-1101 under the FDA’s Division of Neurology, there can be no assurance that we will be successful in obtaining an active IND for these drugs in any other division under whose supervision we may seek to develop our product candidates, or that the FDA will allow us to continue the development of our product candidates in those divisions where we maintain an active IND.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1" w:name="page32"/>
    <w:bookmarkEnd w:id="31"/>
    <w:p>
      <w:pPr>
        <w:ind w:right="680"/>
        <w:spacing w:after="0" w:line="268"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94" w:lineRule="exact"/>
        <w:rPr>
          <w:sz w:val="20"/>
          <w:szCs w:val="20"/>
          <w:color w:val="auto"/>
        </w:rPr>
      </w:pPr>
    </w:p>
    <w:p>
      <w:pPr>
        <w:ind w:right="320" w:firstLine="648"/>
        <w:spacing w:after="0" w:line="306" w:lineRule="auto"/>
        <w:rPr>
          <w:sz w:val="20"/>
          <w:szCs w:val="20"/>
          <w:color w:val="auto"/>
        </w:rPr>
      </w:pPr>
      <w:r>
        <w:rPr>
          <w:rFonts w:ascii="Arial" w:cs="Arial" w:eastAsia="Arial" w:hAnsi="Arial"/>
          <w:sz w:val="16"/>
          <w:szCs w:val="16"/>
          <w:color w:val="auto"/>
        </w:rPr>
        <w:t>If we are unable to develop or receive regulatory approval for or successfully commercialize any of our product candidates, we will not be able to generate product revenues. Even if we are able to develop or receive regulatory approval for or successfully commercialize any of our product candidates, we may not be able to gain market acceptance for our product candidates and future products and may never become profitable.</w:t>
      </w:r>
    </w:p>
    <w:p>
      <w:pPr>
        <w:spacing w:after="0" w:line="16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Further, larger scale Phase III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Early clinical trial results from interim analysis or from the review of a Data Safety Monitoring Board (“DSMB”) or similar safety committee may not be reflective of the results of the entire study, when completed. 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BET, anti-CD47/ anti-CD-19,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and accordingly if our pre-clinical assets advance into clinical development, no assurance can be made that a safe and efficacious dose can be found.</w:t>
      </w:r>
    </w:p>
    <w:p>
      <w:pPr>
        <w:spacing w:after="0" w:line="17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United States. Negative or inconclusive results from the clinical trials we conduct or unanticipated adverse medical events could cause us to have to repeat or terminate the clinical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93" w:right="259" w:bottom="1440" w:gutter="0" w:footer="0" w:header="0"/>
        </w:sectPr>
      </w:pPr>
    </w:p>
    <w:bookmarkStart w:id="32" w:name="page33"/>
    <w:bookmarkEnd w:id="32"/>
    <w:p>
      <w:pPr>
        <w:ind w:firstLine="648"/>
        <w:spacing w:after="0" w:line="288" w:lineRule="auto"/>
        <w:rPr>
          <w:sz w:val="20"/>
          <w:szCs w:val="20"/>
          <w:color w:val="auto"/>
        </w:rPr>
      </w:pPr>
      <w:r>
        <w:rPr>
          <w:rFonts w:ascii="Arial" w:cs="Arial" w:eastAsia="Arial" w:hAnsi="Arial"/>
          <w:sz w:val="16"/>
          <w:szCs w:val="16"/>
          <w:color w:val="auto"/>
        </w:rPr>
        <w:t>In September 2015 we announced a Phase 3 clinical trial for the combination of TG-1101 + TGR-1202 for patients with Chronic Lymphocytic Leukemia (“CLL”), which is being conducted pursuant to a Special Protocol Assessment (“SPA”) with the FDA and in August 2017 we announced an SPA for our registration program for TG-1101 in relapsing forms of Multiple Sclerosis (“MS”).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sufficiency of our clinical trial results for approval, in particular for the GENUINE study, are subject to FDA’s discretion.</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 number of our product approval strategies for TG-1101 and/or TG-1202 involve use of the FDA's accelerated approval pathway. Obtaining accelerated approval for an agent requires demonstration of meaningful benefit over available therapies. While we believe we have an understanding of what is considered available therapy today, ultimately the determination of what constitutes available therapy is wholly up to the FDA and is subject to change. In October 2017, we announced the outcome of a meeting with the FDA regarding the use of the results from the GENUINE Phase 3 trial to support a BLA filing for accelerated approval of TG-1101 in combination with ibrutinib. As part of the discussion, the FDA also guided that if one or more agents obtained full approval before we could obtain accelerated approval, those agents could be considered available therapy, and we would need to show meaningful benefit over those agents as well.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 This principal applies not only to the GENUINE study, but also to our initial strategies for accelerated approval of TGR-1202 for patients with DLBCL, FL, SLL, and/or MZL which are reliant on establishing clinical efficacy utilizing a surrogate endpoint of overall response rate from the UNITY-NHL study. No assurance can be given that other agents will not receive full approval for any of the indications being studied in UNITY-NHL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w:t>
      </w:r>
    </w:p>
    <w:p>
      <w:pPr>
        <w:spacing w:after="0" w:line="18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While we wait to see if any drugs receive full approval and can evaluate the data associated with any such agents, we are continuing to make preparations for a BLA and/or NDA filing for accelerated approval. Whether or not we ultimately file such application will be subject to multiple factors and no assurance can be given that a filing will be made. If a filing is made, the FDA acceptance of such a filing will depend on the FDA’s views on the adequacy of the filing, and further even if the filing is accepted, approval of such a filing is a question wholly within the FDA’s discretion to determine. In addition, if we were to receive accelerated approval, we would be required to conduct a post-market confirmatory study, which we may not complete, or if completed, may prove unsuccessful. In such instance, the FDA can remove the product from the market.</w:t>
      </w:r>
    </w:p>
    <w:p>
      <w:pPr>
        <w:spacing w:after="0" w:line="174"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GENUINE study in its final form was not powered for progression-free survival (“PFS”). There can be no assurance given that we will reach agreement with the FDA on an acceptable use of PFS data from GENUINE to support approval of TG-1101, or even if an agreement is reached, that the PFS results of TG-1101 will be positive and/or sufficient to support a regulatory approval of TG-1101.</w:t>
      </w:r>
    </w:p>
    <w:p>
      <w:pPr>
        <w:spacing w:after="0" w:line="194"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 or “fast track” or “priority review” status to commercialize our product candidates.</w:t>
      </w:r>
    </w:p>
    <w:p>
      <w:pPr>
        <w:spacing w:after="0" w:line="11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Even with “fast track” or “priority review” status which we intend to seek for our product candidates, where possible, including with regard to TG-1101, such designations do not necessarily mean a faster development process or regulatory review process or necessarily confer any advantage with respect to approval compared to conventional FDA procedures.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these countries.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3" w:name="page34"/>
    <w:bookmarkEnd w:id="33"/>
    <w:p>
      <w:pPr>
        <w:ind w:firstLine="702"/>
        <w:spacing w:after="0" w:line="294"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70" w:lineRule="exact"/>
        <w:rPr>
          <w:sz w:val="20"/>
          <w:szCs w:val="20"/>
          <w:color w:val="auto"/>
        </w:rPr>
      </w:pPr>
    </w:p>
    <w:p>
      <w:pPr>
        <w:ind w:left="980" w:hanging="16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5" w:lineRule="exact"/>
        <w:rPr>
          <w:rFonts w:ascii="Arial" w:cs="Arial" w:eastAsia="Arial" w:hAnsi="Arial"/>
          <w:sz w:val="18"/>
          <w:szCs w:val="18"/>
          <w:color w:val="auto"/>
        </w:rPr>
      </w:pPr>
    </w:p>
    <w:p>
      <w:pPr>
        <w:ind w:left="980" w:right="20" w:hanging="162"/>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0" w:hanging="162"/>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0" w:hanging="162"/>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16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980" w:hanging="162"/>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20" w:hanging="162"/>
        <w:spacing w:after="0" w:line="28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or our collaborators currently contract for clinical supplies and plan to contract for commercial supplies; or</w:t>
      </w:r>
    </w:p>
    <w:p>
      <w:pPr>
        <w:spacing w:after="0" w:line="1" w:lineRule="exact"/>
        <w:rPr>
          <w:rFonts w:ascii="Arial" w:cs="Arial" w:eastAsia="Arial" w:hAnsi="Arial"/>
          <w:sz w:val="16"/>
          <w:szCs w:val="16"/>
          <w:color w:val="auto"/>
        </w:rPr>
      </w:pPr>
    </w:p>
    <w:p>
      <w:pPr>
        <w:ind w:left="980" w:hanging="162"/>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92"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In addition, raising questions about the safety of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86"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6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Should we not be able to adequately demonstrate analytical comparability between drug product manufactured under different conditions, the introduction of such new drug product into ongoing trials also has the potential to confound the interpretation of the results or complicate the statistical analysis of such trial. Further, with respect to TGR-1202, although approximately one thousand patients have been dosed amongst all ongoing TGR-1202 studies, the full adverse effect profile of TGR-1202 is not known. It is also unknown as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4" w:name="page35"/>
    <w:bookmarkEnd w:id="34"/>
    <w:p>
      <w:pPr>
        <w:ind w:right="20" w:firstLine="648"/>
        <w:spacing w:after="0" w:line="253"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9"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86" w:lineRule="exact"/>
        <w:rPr>
          <w:sz w:val="20"/>
          <w:szCs w:val="20"/>
          <w:color w:val="auto"/>
        </w:rPr>
      </w:pPr>
    </w:p>
    <w:p>
      <w:pPr>
        <w:ind w:left="980" w:hanging="16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hanging="162"/>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contradictions, or precautions, that could diminish the usage of the product or otherwise limit the commercial success of the affected product;</w:t>
      </w:r>
    </w:p>
    <w:p>
      <w:pPr>
        <w:ind w:left="980" w:hanging="16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86"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5" w:name="page36"/>
    <w:bookmarkEnd w:id="35"/>
    <w:p>
      <w:pPr>
        <w:ind w:right="60" w:firstLine="648"/>
        <w:spacing w:after="0" w:line="268"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86"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86" w:lineRule="exact"/>
        <w:rPr>
          <w:sz w:val="20"/>
          <w:szCs w:val="20"/>
          <w:color w:val="auto"/>
        </w:rPr>
      </w:pPr>
    </w:p>
    <w:p>
      <w:pPr>
        <w:ind w:left="980" w:hanging="16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0" w:hanging="162"/>
        <w:spacing w:after="0" w:line="281"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6"/>
          <w:szCs w:val="16"/>
          <w:color w:val="auto"/>
        </w:rPr>
      </w:pPr>
    </w:p>
    <w:p>
      <w:pPr>
        <w:ind w:left="980" w:hanging="16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20" w:hanging="162"/>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16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280" w:firstLine="648"/>
        <w:spacing w:after="0" w:line="306" w:lineRule="auto"/>
        <w:rPr>
          <w:sz w:val="20"/>
          <w:szCs w:val="20"/>
          <w:color w:val="auto"/>
        </w:rPr>
      </w:pPr>
      <w:r>
        <w:rPr>
          <w:rFonts w:ascii="Arial" w:cs="Arial" w:eastAsia="Arial" w:hAnsi="Arial"/>
          <w:sz w:val="16"/>
          <w:szCs w:val="16"/>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DSMC overseeing the clinical trial, any of our clinical trial sites with respect to that site or the FDA or other regulatory authorities due to a number of factors, including:</w:t>
      </w:r>
    </w:p>
    <w:p>
      <w:pPr>
        <w:spacing w:after="0" w:line="161" w:lineRule="exact"/>
        <w:rPr>
          <w:sz w:val="20"/>
          <w:szCs w:val="20"/>
          <w:color w:val="auto"/>
        </w:rPr>
      </w:pPr>
    </w:p>
    <w:p>
      <w:pPr>
        <w:ind w:left="980" w:hanging="16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inspection of the clinical trial operations or clinical trial site by the FDA or other regulatory authorities resulting in the imposition of a clinical hold;</w:t>
      </w:r>
    </w:p>
    <w:p>
      <w:pPr>
        <w:spacing w:after="0" w:line="32" w:lineRule="exact"/>
        <w:rPr>
          <w:rFonts w:ascii="Arial" w:cs="Arial" w:eastAsia="Arial" w:hAnsi="Arial"/>
          <w:sz w:val="16"/>
          <w:szCs w:val="16"/>
          <w:color w:val="auto"/>
        </w:rPr>
      </w:pPr>
    </w:p>
    <w:p>
      <w:pPr>
        <w:ind w:left="980" w:hanging="16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39"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6" w:name="page37"/>
    <w:bookmarkEnd w:id="36"/>
    <w:p>
      <w:pPr>
        <w:ind w:right="40" w:firstLine="648"/>
        <w:spacing w:after="0" w:line="255"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to enable introduction into our clinical trials,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or that the relevant regulatory agencies will agree with our interpretation of comparability.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7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300" w:firstLine="648"/>
        <w:spacing w:after="0" w:line="288"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we are exposed to liability risks under the Foreign Corrupt Practices Act or similar anti-bribery laws.</w:t>
      </w:r>
    </w:p>
    <w:p>
      <w:pPr>
        <w:spacing w:after="0" w:line="174"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9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1"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Non-Hodgkin’s Lymphoma (“NHL”), CLL, and other B-cell proliferative malignancies, including both therapies with traditional, as well as novel, mechanisms of action. Additionally, numerous established therapies exist for the autoimmune disorders for which we are developing TG-1101, including and in particular, MS.</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Novartis’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In 2017, the Roche Group’s anti-CD20 antibody ocrelizumab was approved for the treatment of MS.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7" w:name="page38"/>
    <w:bookmarkEnd w:id="37"/>
    <w:p>
      <w:pPr>
        <w:ind w:firstLine="648"/>
        <w:spacing w:after="0" w:line="254" w:lineRule="auto"/>
        <w:rPr>
          <w:sz w:val="20"/>
          <w:szCs w:val="20"/>
          <w:color w:val="auto"/>
        </w:rPr>
      </w:pPr>
      <w:r>
        <w:rPr>
          <w:rFonts w:ascii="Arial" w:cs="Arial" w:eastAsia="Arial" w:hAnsi="Arial"/>
          <w:sz w:val="18"/>
          <w:szCs w:val="18"/>
          <w:color w:val="auto"/>
        </w:rPr>
        <w:t>With respect to TGR-1202, there are several PI3K delta targeted compounds both approved, such as Gilead’s Zydelig® (idelalisib), Verastem's Copiktra™ (duvelisib), and Bayer’s Aliqopa™ (copanlisib), and in development, which if approved we would expect to compete directly with TGR-1202. In addition, there are numerous other novel therapies targeting similar pathways to TGR-1202 that are both approved and in development, which could also compete with TGR-1202 in similar indications, such as the BTK inhibitor, ibrutinib (FDA approved for MCL, CLL, Marginal Zone Lymphoma and WM and marketed by AbbVie and Janssen), the BTK inhibitor acalabrutinib (FDA approved for MCL and marketed by AstraZeneca), or the BCL-2 inhibitor venetoclax (FDA approved for CLL and marketed by AbbVie and Roche).</w:t>
      </w:r>
    </w:p>
    <w:p>
      <w:pPr>
        <w:spacing w:after="0" w:line="198" w:lineRule="exact"/>
        <w:rPr>
          <w:sz w:val="20"/>
          <w:szCs w:val="20"/>
          <w:color w:val="auto"/>
        </w:rPr>
      </w:pPr>
    </w:p>
    <w:p>
      <w:pPr>
        <w:ind w:right="800" w:firstLine="648"/>
        <w:spacing w:after="0" w:line="26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86" w:lineRule="exact"/>
        <w:rPr>
          <w:sz w:val="20"/>
          <w:szCs w:val="20"/>
          <w:color w:val="auto"/>
        </w:rPr>
      </w:pPr>
    </w:p>
    <w:p>
      <w:pPr>
        <w:ind w:left="980" w:hanging="16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9"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0"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the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97"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or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93" w:right="279" w:bottom="1440" w:gutter="0" w:footer="0" w:header="0"/>
        </w:sectPr>
      </w:pPr>
    </w:p>
    <w:bookmarkStart w:id="38" w:name="page39"/>
    <w:bookmarkEnd w:id="38"/>
    <w:p>
      <w:pPr>
        <w:ind w:right="20" w:firstLine="648"/>
        <w:spacing w:after="0" w:line="253"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201"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181717"/>
        </w:rPr>
        <w:t>Our product candidates may compete with other product candidates and products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We may incur added costs and delays in identifying and qualifying any replacement manufacturers.</w:t>
      </w:r>
    </w:p>
    <w:p>
      <w:pPr>
        <w:spacing w:after="0" w:line="170" w:lineRule="exact"/>
        <w:rPr>
          <w:sz w:val="20"/>
          <w:szCs w:val="20"/>
          <w:color w:val="auto"/>
        </w:rPr>
      </w:pPr>
    </w:p>
    <w:p>
      <w:pPr>
        <w:ind w:right="240" w:firstLine="648"/>
        <w:spacing w:after="0" w:line="332" w:lineRule="auto"/>
        <w:rPr>
          <w:sz w:val="20"/>
          <w:szCs w:val="20"/>
          <w:color w:val="auto"/>
        </w:rPr>
      </w:pPr>
      <w:r>
        <w:rPr>
          <w:rFonts w:ascii="Arial" w:cs="Arial" w:eastAsia="Arial" w:hAnsi="Arial"/>
          <w:sz w:val="16"/>
          <w:szCs w:val="16"/>
          <w:color w:val="181717"/>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3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181717"/>
        </w:rPr>
        <w:t>We also expect to rely on other third parties to store and distribute drug supplies for our clinical trials.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9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94"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181717"/>
        </w:rPr>
        <w:t>We may seek to establish additional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181717"/>
        </w:rPr>
        <w:t xml:space="preserve">Any future product candidate development programs and the potential commercialization of </w:t>
      </w:r>
      <w:r>
        <w:rPr>
          <w:rFonts w:ascii="Arial" w:cs="Arial" w:eastAsia="Arial" w:hAnsi="Arial"/>
          <w:sz w:val="18"/>
          <w:szCs w:val="18"/>
          <w:color w:val="000000"/>
        </w:rPr>
        <w:t>our</w:t>
      </w:r>
      <w:r>
        <w:rPr>
          <w:rFonts w:ascii="Arial" w:cs="Arial" w:eastAsia="Arial" w:hAnsi="Arial"/>
          <w:sz w:val="18"/>
          <w:szCs w:val="18"/>
          <w:color w:val="181717"/>
        </w:rPr>
        <w:t xml:space="preserve"> product candidates will require substantial additional cash to fund expenses. For </w:t>
      </w:r>
      <w:r>
        <w:rPr>
          <w:rFonts w:ascii="Arial" w:cs="Arial" w:eastAsia="Arial" w:hAnsi="Arial"/>
          <w:sz w:val="18"/>
          <w:szCs w:val="18"/>
          <w:color w:val="000000"/>
        </w:rPr>
        <w:t>any current or</w:t>
      </w:r>
      <w:r>
        <w:rPr>
          <w:rFonts w:ascii="Arial" w:cs="Arial" w:eastAsia="Arial" w:hAnsi="Arial"/>
          <w:sz w:val="18"/>
          <w:szCs w:val="18"/>
          <w:color w:val="181717"/>
        </w:rPr>
        <w:t xml:space="preserve"> future product candidates, we may decide to collaborate with additional pharmaceutical and biotechnology companies for the development and potential commercialization of those product candidates.</w:t>
      </w:r>
    </w:p>
    <w:p>
      <w:pPr>
        <w:spacing w:after="0" w:line="19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181717"/>
        </w:rPr>
        <w:t>We face significant competition in seeking appropriate collaborators. Whether we reach a definitive agreement for any additional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any future product candidate. The terms of any additional collaborations or other arrangements that we may establish may not be favorable to us.</w:t>
      </w:r>
    </w:p>
    <w:p>
      <w:pPr>
        <w:spacing w:after="0" w:line="17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181717"/>
        </w:rPr>
        <w:t>We may not be able to negotiate additional collaborations on a timely basis, on acceptable terms, or at all.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negotiate and enter into new collaborations, we may have to curtail the development of the product candidate for which we are seeking to collaborate, reduce or delay its development program or reduce or delay any other future development programs.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93" w:right="299" w:bottom="1440" w:gutter="0" w:footer="0" w:header="0"/>
        </w:sectPr>
      </w:pPr>
    </w:p>
    <w:bookmarkStart w:id="39" w:name="page40"/>
    <w:bookmarkEnd w:id="39"/>
    <w:p>
      <w:pPr>
        <w:ind w:right="160"/>
        <w:spacing w:after="0" w:line="268" w:lineRule="auto"/>
        <w:rPr>
          <w:sz w:val="20"/>
          <w:szCs w:val="20"/>
          <w:color w:val="auto"/>
        </w:rPr>
      </w:pPr>
      <w:r>
        <w:rPr>
          <w:rFonts w:ascii="Arial" w:cs="Arial" w:eastAsia="Arial" w:hAnsi="Arial"/>
          <w:sz w:val="18"/>
          <w:szCs w:val="18"/>
          <w:b w:val="1"/>
          <w:bCs w:val="1"/>
          <w:i w:val="1"/>
          <w:iCs w:val="1"/>
          <w:color w:val="181717"/>
        </w:rPr>
        <w:t>If conflicts arise between us and our future collaborators or strategic partners, these parties may act in a manner adverse to us and could limit our ability to implement our strategies.</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181717"/>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181717"/>
        </w:rPr>
        <w:t>We will need to obtain FDA approval of any proposed product brand names, and any failure or delay associated with such approval may adversely impact our business.</w:t>
      </w:r>
    </w:p>
    <w:p>
      <w:pPr>
        <w:spacing w:after="0" w:line="186"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181717"/>
        </w:rPr>
        <w:t xml:space="preserve">A pharmaceutical product candidate cannot be marketed in the United States or other countries until we have completed a rigorous and extensive regulatory review processes, including approval of a brand name. Any brand names we intend to use for </w:t>
      </w:r>
      <w:r>
        <w:rPr>
          <w:rFonts w:ascii="Arial" w:cs="Arial" w:eastAsia="Arial" w:hAnsi="Arial"/>
          <w:sz w:val="16"/>
          <w:szCs w:val="16"/>
          <w:color w:val="000000"/>
        </w:rPr>
        <w:t>TG-1101, TGR-1202</w:t>
      </w:r>
      <w:r>
        <w:rPr>
          <w:rFonts w:ascii="Arial" w:cs="Arial" w:eastAsia="Arial" w:hAnsi="Arial"/>
          <w:sz w:val="16"/>
          <w:szCs w:val="16"/>
          <w:color w:val="181717"/>
        </w:rPr>
        <w:t xml:space="preserve"> or any future product candidates will require approval from the FDA regardless of whether we have secured a formal trademark registration from the United States Patent and Trademark Office(“USPTO”).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w:t>
      </w:r>
      <w:r>
        <w:rPr>
          <w:rFonts w:ascii="Arial" w:cs="Arial" w:eastAsia="Arial" w:hAnsi="Arial"/>
          <w:sz w:val="16"/>
          <w:szCs w:val="16"/>
          <w:color w:val="000000"/>
        </w:rPr>
        <w:t>required</w:t>
      </w:r>
      <w:r>
        <w:rPr>
          <w:rFonts w:ascii="Arial" w:cs="Arial" w:eastAsia="Arial" w:hAnsi="Arial"/>
          <w:sz w:val="16"/>
          <w:szCs w:val="16"/>
          <w:color w:val="181717"/>
        </w:rPr>
        <w:t xml:space="preserve"> to adopt an alternative brand name for </w:t>
      </w:r>
      <w:r>
        <w:rPr>
          <w:rFonts w:ascii="Arial" w:cs="Arial" w:eastAsia="Arial" w:hAnsi="Arial"/>
          <w:sz w:val="16"/>
          <w:szCs w:val="16"/>
          <w:color w:val="000000"/>
        </w:rPr>
        <w:t>TG-1101, TGR-1202</w:t>
      </w:r>
      <w:r>
        <w:rPr>
          <w:rFonts w:ascii="Arial" w:cs="Arial" w:eastAsia="Arial" w:hAnsi="Arial"/>
          <w:sz w:val="16"/>
          <w:szCs w:val="16"/>
          <w:color w:val="181717"/>
        </w:rPr>
        <w:t xml:space="preserve"> or any future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w:t>
      </w:r>
      <w:r>
        <w:rPr>
          <w:rFonts w:ascii="Arial" w:cs="Arial" w:eastAsia="Arial" w:hAnsi="Arial"/>
          <w:sz w:val="16"/>
          <w:szCs w:val="16"/>
          <w:color w:val="000000"/>
        </w:rPr>
        <w:t>TG-1101, TGR-1202,</w:t>
      </w:r>
      <w:r>
        <w:rPr>
          <w:rFonts w:ascii="Arial" w:cs="Arial" w:eastAsia="Arial" w:hAnsi="Arial"/>
          <w:sz w:val="16"/>
          <w:szCs w:val="16"/>
          <w:color w:val="181717"/>
        </w:rPr>
        <w:t xml:space="preserve"> or any future product candidates.</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jc w:val="both"/>
        <w:ind w:right="80" w:firstLine="648"/>
        <w:spacing w:after="0" w:line="306"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would depend on a number of factors, including:</w:t>
      </w:r>
    </w:p>
    <w:p>
      <w:pPr>
        <w:spacing w:after="0" w:line="161" w:lineRule="exact"/>
        <w:rPr>
          <w:sz w:val="20"/>
          <w:szCs w:val="20"/>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 candidates;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219"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181717"/>
        </w:rPr>
        <w:t>If the market opportunities for our product candidates are smaller than we believe they are, even assuming approval of a drug candidate, our business may suffer.</w:t>
      </w:r>
    </w:p>
    <w:p>
      <w:pPr>
        <w:spacing w:after="0" w:line="18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181717"/>
        </w:rPr>
        <w:t xml:space="preserve">Our projections of both the number of people who are affected by disease within our target indications, as well as the subset of these people who have the potential to benefit from treatment with </w:t>
      </w:r>
      <w:r>
        <w:rPr>
          <w:rFonts w:ascii="Arial" w:cs="Arial" w:eastAsia="Arial" w:hAnsi="Arial"/>
          <w:sz w:val="16"/>
          <w:szCs w:val="16"/>
          <w:color w:val="000000"/>
        </w:rPr>
        <w:t>our</w:t>
      </w:r>
      <w:r>
        <w:rPr>
          <w:rFonts w:ascii="Arial" w:cs="Arial" w:eastAsia="Arial" w:hAnsi="Arial"/>
          <w:sz w:val="16"/>
          <w:szCs w:val="16"/>
          <w:color w:val="181717"/>
        </w:rPr>
        <w:t xml:space="preserve"> product candidates, are based on our beliefs and estimates. These estimates have been derived from a variety of sources, including the scientific literature, healthcare utilization databases and market research, and may prove to be incorrect. Further, new studies may change the estimated incidence or prevalence of these diseases. The number of patients may turn out to be lower than expected. Likewise, the potentially addressable patient population for each of </w:t>
      </w:r>
      <w:r>
        <w:rPr>
          <w:rFonts w:ascii="Arial" w:cs="Arial" w:eastAsia="Arial" w:hAnsi="Arial"/>
          <w:sz w:val="16"/>
          <w:szCs w:val="16"/>
          <w:color w:val="000000"/>
        </w:rPr>
        <w:t>our</w:t>
      </w:r>
      <w:r>
        <w:rPr>
          <w:rFonts w:ascii="Arial" w:cs="Arial" w:eastAsia="Arial" w:hAnsi="Arial"/>
          <w:sz w:val="16"/>
          <w:szCs w:val="16"/>
          <w:color w:val="181717"/>
        </w:rPr>
        <w:t xml:space="preserve"> product candidates may be limited or may not be amenable to treatment with </w:t>
      </w:r>
      <w:r>
        <w:rPr>
          <w:rFonts w:ascii="Arial" w:cs="Arial" w:eastAsia="Arial" w:hAnsi="Arial"/>
          <w:sz w:val="16"/>
          <w:szCs w:val="16"/>
          <w:color w:val="000000"/>
        </w:rPr>
        <w:t>our</w:t>
      </w:r>
      <w:r>
        <w:rPr>
          <w:rFonts w:ascii="Arial" w:cs="Arial" w:eastAsia="Arial" w:hAnsi="Arial"/>
          <w:sz w:val="16"/>
          <w:szCs w:val="16"/>
          <w:color w:val="181717"/>
        </w:rPr>
        <w:t xml:space="preserve"> product candidates, and new patients may become increasingly difficult to identify or gain access to, which would adversely affect our results of operations and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0" w:name="page41"/>
    <w:bookmarkEnd w:id="40"/>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198" w:lineRule="exact"/>
        <w:rPr>
          <w:sz w:val="20"/>
          <w:szCs w:val="20"/>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5"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4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8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would depend significantly on the availability of adequate coverage and reimbursement from third-party payors for any of our product candidates and may be affected by existing and future healthcare reform measures.</w:t>
      </w:r>
    </w:p>
    <w:p>
      <w:pPr>
        <w:spacing w:after="0" w:line="17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spacing w:after="0" w:line="194" w:lineRule="exact"/>
        <w:rPr>
          <w:sz w:val="20"/>
          <w:szCs w:val="20"/>
          <w:color w:val="auto"/>
        </w:rPr>
      </w:pPr>
    </w:p>
    <w:p>
      <w:pPr>
        <w:ind w:left="980" w:hanging="16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93" w:right="259" w:bottom="1440" w:gutter="0" w:footer="0" w:header="0"/>
        </w:sectPr>
      </w:pPr>
    </w:p>
    <w:bookmarkStart w:id="41" w:name="page42"/>
    <w:bookmarkEnd w:id="41"/>
    <w:p>
      <w:pPr>
        <w:spacing w:after="0" w:line="268"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86" w:lineRule="exact"/>
        <w:rPr>
          <w:sz w:val="20"/>
          <w:szCs w:val="20"/>
          <w:color w:val="auto"/>
        </w:rPr>
      </w:pPr>
    </w:p>
    <w:p>
      <w:pPr>
        <w:ind w:right="400" w:firstLine="648"/>
        <w:spacing w:after="0" w:line="294"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170"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collectively, the “ACA,” was enacted in 2010 and made significant changes to the United States’ healthcare system. The ACA and any revisions or replacements of that Act, any substitute legislation, and other changes in the law or regulatory framework could have a material adverse effect on our business.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the provisions of the ACA of importance to our potential product candidates are:</w:t>
      </w:r>
    </w:p>
    <w:p>
      <w:pPr>
        <w:spacing w:after="0" w:line="225" w:lineRule="exact"/>
        <w:rPr>
          <w:sz w:val="20"/>
          <w:szCs w:val="20"/>
          <w:color w:val="auto"/>
        </w:rPr>
      </w:pPr>
    </w:p>
    <w:p>
      <w:pPr>
        <w:ind w:left="980" w:hanging="162"/>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5"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85"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spacing w:after="0" w:line="185" w:lineRule="exact"/>
        <w:rPr>
          <w:rFonts w:ascii="Arial" w:cs="Arial" w:eastAsia="Arial" w:hAnsi="Arial"/>
          <w:sz w:val="18"/>
          <w:szCs w:val="18"/>
          <w:color w:val="auto"/>
        </w:rPr>
      </w:pPr>
    </w:p>
    <w:p>
      <w:pPr>
        <w:jc w:val="both"/>
        <w:ind w:left="980" w:hanging="162"/>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94"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85" w:lineRule="exact"/>
        <w:rPr>
          <w:rFonts w:ascii="Arial" w:cs="Arial" w:eastAsia="Arial" w:hAnsi="Arial"/>
          <w:sz w:val="18"/>
          <w:szCs w:val="18"/>
          <w:color w:val="auto"/>
        </w:rPr>
      </w:pPr>
    </w:p>
    <w:p>
      <w:pPr>
        <w:jc w:val="both"/>
        <w:ind w:left="980" w:hanging="162"/>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spacing w:after="0" w:line="194" w:lineRule="exact"/>
        <w:rPr>
          <w:rFonts w:ascii="Arial" w:cs="Arial" w:eastAsia="Arial" w:hAnsi="Arial"/>
          <w:sz w:val="18"/>
          <w:szCs w:val="18"/>
          <w:color w:val="auto"/>
        </w:rPr>
      </w:pPr>
    </w:p>
    <w:p>
      <w:pPr>
        <w:ind w:left="980" w:hanging="16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Pricing Program;</w:t>
      </w:r>
    </w:p>
    <w:p>
      <w:pPr>
        <w:spacing w:after="0" w:line="225" w:lineRule="exact"/>
        <w:rPr>
          <w:rFonts w:ascii="Arial" w:cs="Arial" w:eastAsia="Arial" w:hAnsi="Arial"/>
          <w:sz w:val="18"/>
          <w:szCs w:val="18"/>
          <w:color w:val="auto"/>
        </w:rPr>
      </w:pPr>
    </w:p>
    <w:p>
      <w:pPr>
        <w:ind w:left="980" w:hanging="16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225" w:lineRule="exact"/>
        <w:rPr>
          <w:rFonts w:ascii="Arial" w:cs="Arial" w:eastAsia="Arial" w:hAnsi="Arial"/>
          <w:sz w:val="18"/>
          <w:szCs w:val="18"/>
          <w:color w:val="auto"/>
        </w:rPr>
      </w:pPr>
    </w:p>
    <w:p>
      <w:pPr>
        <w:ind w:left="980" w:hanging="16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225"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regulatory pathway for the approval of biosimilar biological products, all of which will impact existing government healthcare programs and will result in the development of new programs; and</w:t>
      </w:r>
    </w:p>
    <w:p>
      <w:pPr>
        <w:spacing w:after="0" w:line="185"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Supreme Court upheld the ACA in the main challenge to the constitutionality of the law in 2012. The Supreme Court also upheld federal subsidies for purchasers of insurance through federally facilitated exchanges in a decision released in June 2015.</w:t>
      </w:r>
    </w:p>
    <w:p>
      <w:pPr>
        <w:spacing w:after="0" w:line="18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President Trump ran for office on a platform that supported the repeal of the ACA, and one of his first actions after his inauguration was to sign an Executive Order instructing federal agencies to waive or delay requirements of the ACA that impose economic or regulatory burdens on states, families, the health-care industry and others. Modifications to or repeal of all or certain provisions of the ACA have been attempted in Congress as a result of the outcome of the recent presidential and congressional elections, consistent with statements made by the incoming administration and members of Congress during the presidential and congressional campaigns and following the election.</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2" w:name="page43"/>
    <w:bookmarkEnd w:id="42"/>
    <w:p>
      <w:pPr>
        <w:ind w:firstLine="486"/>
        <w:spacing w:after="0" w:line="288" w:lineRule="auto"/>
        <w:rPr>
          <w:sz w:val="20"/>
          <w:szCs w:val="20"/>
          <w:color w:val="auto"/>
        </w:rPr>
      </w:pPr>
      <w:r>
        <w:rPr>
          <w:rFonts w:ascii="Arial" w:cs="Arial" w:eastAsia="Arial" w:hAnsi="Arial"/>
          <w:sz w:val="16"/>
          <w:szCs w:val="16"/>
          <w:color w:val="auto"/>
        </w:rPr>
        <w:t>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legislation that would repeal certain aspects of the ACA. In March 2017, following the passage of the budget resolution for fiscal year 2017, the United States House of Representatives passed legislation known as the American Health Care Act of 2017, which, if enacted, would amend or repeal significant portions of the ACA. Attempts in the Senate in 2017 to pass ACA repeal legislation, including the Better Care Reconciliation Act of 2017, so far have been unsuccessful. At the end of 2017, Congress passed the Tax Cuts and Jobs Act, which repealed the penalty for individuals who fail to maintain minimum essential health coverage as required by the ACA. Following this legislation, Texas and 19 other states filed a lawsuit alleging that the ACA is unconstitutional as the individual mandate was repealed, undermining the legal basis for the Supreme Court’s prior decision. This lawsuit is ongoing and the outcome may have a significant impact on our business.</w:t>
      </w:r>
    </w:p>
    <w:p>
      <w:pPr>
        <w:spacing w:after="0" w:line="174"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Most recently, the Bipartisan Budget Act of 2018, the “BBA,” which set government spending levels for Fiscal Years 2018 and 2019, revised certain provisions of the ACA. Specifically, beginning in 2019, the BBA increased manufacturer point-of-sale discounts off negotiated prices of applicable brand drugs in the Medicare Part D coverage gap from 50% to 70%, ultimately increasing the liability for brand drug manufacturers. Further, this mandatory manufacturer discount applies to biosimilars beginning in 2019.</w:t>
      </w:r>
    </w:p>
    <w:p>
      <w:pPr>
        <w:spacing w:after="0" w:line="197" w:lineRule="exact"/>
        <w:rPr>
          <w:sz w:val="20"/>
          <w:szCs w:val="20"/>
          <w:color w:val="auto"/>
        </w:rPr>
      </w:pPr>
    </w:p>
    <w:p>
      <w:pPr>
        <w:ind w:right="20" w:firstLine="486"/>
        <w:spacing w:after="0" w:line="294" w:lineRule="auto"/>
        <w:rPr>
          <w:sz w:val="20"/>
          <w:szCs w:val="20"/>
          <w:color w:val="auto"/>
        </w:rPr>
      </w:pPr>
      <w:r>
        <w:rPr>
          <w:rFonts w:ascii="Arial" w:cs="Arial" w:eastAsia="Arial" w:hAnsi="Arial"/>
          <w:sz w:val="16"/>
          <w:szCs w:val="16"/>
          <w:color w:val="auto"/>
        </w:rPr>
        <w:t>The Trump Administration has also taken several regulatory steps to redirect ACA implementation. The Department of Health and Human Services (“HHS”) finalized a hospital payment reduction for drugs acquired through the 340B Drug Pricing Program and has proposed to expand this payment reduction to other hospital settings. HHS also has taken steps to increase the availability of cheaper health insurance options, typically with fewer benefits. The Administration has also signaled its intention to address drug prices and to increase competition, including by increasing the availability of biosimilars and generic drugs. As these are regulatory actions, a new administration could undo or modify these efforts.</w:t>
      </w:r>
    </w:p>
    <w:p>
      <w:pPr>
        <w:spacing w:after="0" w:line="170" w:lineRule="exact"/>
        <w:rPr>
          <w:sz w:val="20"/>
          <w:szCs w:val="20"/>
          <w:color w:val="auto"/>
        </w:rPr>
      </w:pPr>
    </w:p>
    <w:p>
      <w:pPr>
        <w:ind w:right="140" w:firstLine="486"/>
        <w:spacing w:after="0" w:line="298"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Legislative proposals such as expanding the Medicaid drug rebate program to the Medicare Part D program, providing authority for the government to negotiate drug prices under the Medicare Part D program and lowering reimbursement for drugs covered under the Medicare Part B program have been raised in Congress, but have been met with opposition and have not been enacted so far.</w:t>
      </w:r>
    </w:p>
    <w:p>
      <w:pPr>
        <w:spacing w:after="0" w:line="194"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color w:val="auto"/>
        </w:rPr>
        <w:t>The administration can rely on its existing statutory authority to make policy changes that could have an impact on the drug industry. For example, the Medicare program has in the past proposed to test alternative payment methodologies for drugs covered under the Part B program and currently is proposing to pay hospitals less for Part B-covered drugs purchased through the 340B Drug Pricing Program.</w:t>
      </w:r>
    </w:p>
    <w:p>
      <w:pPr>
        <w:spacing w:after="0" w:line="194"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9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97" w:lineRule="exact"/>
        <w:rPr>
          <w:sz w:val="20"/>
          <w:szCs w:val="20"/>
          <w:color w:val="auto"/>
        </w:rPr>
      </w:pPr>
    </w:p>
    <w:p>
      <w:pPr>
        <w:ind w:left="980" w:hanging="16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3" w:name="page44"/>
    <w:bookmarkEnd w:id="43"/>
    <w:p>
      <w:pPr>
        <w:ind w:right="20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8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As of November 1, 2018, we had 104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197" w:lineRule="exact"/>
        <w:rPr>
          <w:sz w:val="20"/>
          <w:szCs w:val="20"/>
          <w:color w:val="auto"/>
        </w:rPr>
      </w:pPr>
    </w:p>
    <w:p>
      <w:pPr>
        <w:ind w:left="980" w:hanging="16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32" w:lineRule="exact"/>
        <w:rPr>
          <w:rFonts w:ascii="Arial" w:cs="Arial" w:eastAsia="Arial" w:hAnsi="Arial"/>
          <w:sz w:val="16"/>
          <w:szCs w:val="16"/>
          <w:color w:val="auto"/>
        </w:rPr>
      </w:pPr>
    </w:p>
    <w:p>
      <w:pPr>
        <w:ind w:left="980" w:hanging="16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9" w:lineRule="exact"/>
        <w:rPr>
          <w:sz w:val="20"/>
          <w:szCs w:val="20"/>
          <w:color w:val="auto"/>
        </w:rPr>
      </w:pPr>
    </w:p>
    <w:p>
      <w:pPr>
        <w:ind w:right="40" w:firstLine="648"/>
        <w:spacing w:after="0" w:line="308"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181717"/>
        </w:rPr>
        <w:t>We may not be successful in our efforts to identify or discover additional product candidates and may fail to capitalize on programs or product candidates that may present a greater commercial opportunity or for which there is a greater likelihood of success.</w:t>
      </w:r>
    </w:p>
    <w:p>
      <w:pPr>
        <w:spacing w:after="0" w:line="18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181717"/>
        </w:rPr>
        <w:t>The success of our business depends upon our ability to identify, develop and commercialize product candidates based on our programs.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181717"/>
        </w:rPr>
        <w:t>Additionally, 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201" w:lineRule="exact"/>
        <w:rPr>
          <w:sz w:val="20"/>
          <w:szCs w:val="20"/>
          <w:color w:val="auto"/>
        </w:rPr>
      </w:pPr>
    </w:p>
    <w:p>
      <w:pPr>
        <w:jc w:val="both"/>
        <w:ind w:right="440" w:firstLine="648"/>
        <w:spacing w:after="0" w:line="259" w:lineRule="auto"/>
        <w:rPr>
          <w:sz w:val="20"/>
          <w:szCs w:val="20"/>
          <w:color w:val="auto"/>
        </w:rPr>
      </w:pPr>
      <w:r>
        <w:rPr>
          <w:rFonts w:ascii="Arial" w:cs="Arial" w:eastAsia="Arial" w:hAnsi="Arial"/>
          <w:sz w:val="18"/>
          <w:szCs w:val="18"/>
          <w:color w:val="181717"/>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4" w:lineRule="exact"/>
        <w:rPr>
          <w:sz w:val="20"/>
          <w:szCs w:val="20"/>
          <w:color w:val="auto"/>
        </w:rPr>
      </w:pPr>
    </w:p>
    <w:p>
      <w:pPr>
        <w:jc w:val="both"/>
        <w:ind w:right="220" w:firstLine="648"/>
        <w:spacing w:after="0" w:line="294"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4" w:name="page45"/>
    <w:bookmarkEnd w:id="44"/>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In addition to FDA restrictions on the marketing of pharmaceutical and biotechnology products, several other types of state and federal laws have been applied to restrict certain marketing practices in the pharmaceutical and medical device industries, as well as consulting or other service agreements with physicians or other potential referral sources and regulate the use and disclosure of identifiable patient information. These laws include anti-kickback statutes and false claims statutes that prohibit, among other things, knowingly and willfully offering, paying, soliciting or receiving remuneration to induce, or, in return for, purchasing, leasing, ordering, recommending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 Finally, the Health Insurance Portability and Accountability Act (HIPAA), as amended by the Health Information Technology for Economic and Clinical Health Act of 2009, or (“HITECH”), their respective implementing regulations and similar state laws and regulations,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 In the event our operations result in our receiving such information, we could become subject to the requirements of these laws and regulations, including potential civil and criminal penalties.</w:t>
      </w:r>
    </w:p>
    <w:p>
      <w:pPr>
        <w:spacing w:after="0" w:line="18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181717"/>
        </w:rPr>
        <w:t>Our employees, consultants, or third party partners may engage in misconduct or other improper activities, including noncompliance with regulatory standards and requirements, which could have a material adverse effect on our business.</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181717"/>
        </w:rPr>
        <w:t xml:space="preserve">We are exposed to the risk of employee fraud or other misconduct. Misconduct by employees, consultants, or third party partners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w:t>
      </w:r>
      <w:r>
        <w:rPr>
          <w:rFonts w:ascii="Arial" w:cs="Arial" w:eastAsia="Arial" w:hAnsi="Arial"/>
          <w:sz w:val="16"/>
          <w:szCs w:val="16"/>
          <w:color w:val="000000"/>
        </w:rPr>
        <w:t>particular</w:t>
      </w:r>
      <w:r>
        <w:rPr>
          <w:rFonts w:ascii="Arial" w:cs="Arial" w:eastAsia="Arial" w:hAnsi="Arial"/>
          <w:sz w:val="16"/>
          <w:szCs w:val="16"/>
          <w:color w:val="181717"/>
        </w:rPr>
        <w:t>,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consultant, or third party misconduct could also involve the improper use of information obtained in the course of clinical trials, which could result in regulatory sanctions and serious harm to our reputation, as well as civil and criminal liability.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civil and/or criminal sanctions.</w:t>
      </w:r>
    </w:p>
    <w:p>
      <w:pPr>
        <w:spacing w:after="0" w:line="18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86"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6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181717"/>
        </w:rPr>
        <w:t>We incur significant increased costs as a result of operating as a public company, and our management is required to devote substantial time to compliance initiatives.</w:t>
      </w:r>
    </w:p>
    <w:p>
      <w:pPr>
        <w:spacing w:after="0" w:line="186"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181717"/>
        </w:rPr>
        <w:t>As a public company, we incur significant legal, accounting and other expenses under the Sarbanes-Oxley Act of 2002, as well as rules subsequently implemented by the Securities and Exchange Commission (“SEC”), and the rules of any stock exchange on which we may become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7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181717"/>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39" w:lineRule="exact"/>
        <w:rPr>
          <w:sz w:val="20"/>
          <w:szCs w:val="20"/>
          <w:color w:val="auto"/>
        </w:rPr>
      </w:pPr>
    </w:p>
    <w:p>
      <w:pPr>
        <w:ind w:right="460" w:firstLine="648"/>
        <w:spacing w:after="0" w:line="332" w:lineRule="auto"/>
        <w:rPr>
          <w:sz w:val="20"/>
          <w:szCs w:val="20"/>
          <w:color w:val="auto"/>
        </w:rPr>
      </w:pPr>
      <w:r>
        <w:rPr>
          <w:rFonts w:ascii="Arial" w:cs="Arial" w:eastAsia="Arial" w:hAnsi="Arial"/>
          <w:sz w:val="16"/>
          <w:szCs w:val="16"/>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spacing w:after="0" w:line="139" w:lineRule="exact"/>
        <w:rPr>
          <w:sz w:val="20"/>
          <w:szCs w:val="20"/>
          <w:color w:val="auto"/>
        </w:rPr>
      </w:pPr>
    </w:p>
    <w:p>
      <w:pPr>
        <w:ind w:left="980" w:hanging="16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20" w:hanging="162"/>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16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hanging="162"/>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16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97"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8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position by filing patent applications in the United States and abroad related to our novel technologies and product candidates, and by maintenance of our trade secrets through proper procedures. We will only be able to protect our technologies from unauthorized use by third parties to the extent that valid and enforceable patents or trade secrets cover them in the market they are being used or developed.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7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United States for TG-1101 and TGR-1202, no patents to date have been issued for our IRAK4 inhibitor, BET inhibitor, BTK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25" w:lineRule="exact"/>
        <w:rPr>
          <w:sz w:val="20"/>
          <w:szCs w:val="20"/>
          <w:color w:val="auto"/>
        </w:rPr>
      </w:pPr>
    </w:p>
    <w:p>
      <w:pPr>
        <w:ind w:left="980" w:hanging="16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225"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spacing w:after="0" w:line="185"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spacing w:after="0" w:line="185" w:lineRule="exact"/>
        <w:rPr>
          <w:rFonts w:ascii="Arial" w:cs="Arial" w:eastAsia="Arial" w:hAnsi="Arial"/>
          <w:sz w:val="18"/>
          <w:szCs w:val="18"/>
          <w:color w:val="auto"/>
        </w:rPr>
      </w:pPr>
    </w:p>
    <w:p>
      <w:pPr>
        <w:jc w:val="both"/>
        <w:ind w:left="980" w:hanging="162"/>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94" w:lineRule="exact"/>
        <w:rPr>
          <w:rFonts w:ascii="Arial" w:cs="Arial" w:eastAsia="Arial" w:hAnsi="Arial"/>
          <w:sz w:val="18"/>
          <w:szCs w:val="18"/>
          <w:color w:val="auto"/>
        </w:rPr>
      </w:pPr>
    </w:p>
    <w:p>
      <w:pPr>
        <w:jc w:val="both"/>
        <w:ind w:left="980" w:hanging="162"/>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94" w:lineRule="exact"/>
        <w:rPr>
          <w:rFonts w:ascii="Arial" w:cs="Arial" w:eastAsia="Arial" w:hAnsi="Arial"/>
          <w:sz w:val="18"/>
          <w:szCs w:val="18"/>
          <w:color w:val="auto"/>
        </w:rPr>
      </w:pPr>
    </w:p>
    <w:p>
      <w:pPr>
        <w:ind w:left="980" w:hanging="162"/>
        <w:spacing w:after="0" w:line="26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 The patent prosecution process is expensive and time-consuming, and we may not be able to file and prosecute all necessary or desirable patent applications at a reasonable cost or in a timely manner.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If our licensors or we fail to obtain or maintain patent protection or trade secret protection for one or more product candidates or any future product candidate we may license or acquire, third parties may be able to leverage our proprietary information and products without risk of infringement, which could impair our ability to compete in the market and adversely affect our ability to generate revenues and achieve profitability. Moreover, should we enter into other collaborations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47" w:name="page48"/>
    <w:bookmarkEnd w:id="47"/>
    <w:p>
      <w:pPr>
        <w:ind w:right="60" w:firstLine="648"/>
        <w:spacing w:after="0" w:line="28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75"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In addition, U.S. patent laws may change, which could prevent or limit us or our subsidiaries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2"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9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20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to patents, we and our partners also rely on trade secrets and proprietary know-how, technology and other proprietary information, to maintain our competitive position, particularly where we do not believe patent protection is appropriate or obtainable. However, trade secrets are difficult to protect.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United States that block the commercialization of antibody products derived from a single cell line, like TG-1101. Also, Roche, Biogen Idec, and Genentech hold patents for the use of anti-CD20 antibodies utilized in the treatment of CLL in the United States.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74" w:lineRule="exact"/>
        <w:rPr>
          <w:sz w:val="20"/>
          <w:szCs w:val="20"/>
          <w:color w:val="auto"/>
        </w:rPr>
      </w:pPr>
    </w:p>
    <w:p>
      <w:pPr>
        <w:ind w:right="180" w:firstLine="648"/>
        <w:spacing w:after="0" w:line="332"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spacing w:after="0" w:line="139" w:lineRule="exact"/>
        <w:rPr>
          <w:sz w:val="20"/>
          <w:szCs w:val="20"/>
          <w:color w:val="auto"/>
        </w:rPr>
      </w:pPr>
    </w:p>
    <w:p>
      <w:pPr>
        <w:ind w:left="980" w:hanging="162"/>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hanging="162"/>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162"/>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hanging="162"/>
        <w:spacing w:after="0" w:line="261"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92"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86"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9" w:name="page50"/>
    <w:bookmarkEnd w:id="49"/>
    <w:p>
      <w:pPr>
        <w:ind w:right="14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Even if frivolous or unsubstantiated in nature, litigation may be necessary to defend against these claims. Even if we are successful in defending against these claims, litigation could result in substantial costs and be a distraction to management, day-to-day business operations, and the implicated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As of September 30, 2018, we had approximately $97.8 million in cash, cash equivalents, investment securities, and interest receivable, which will be sufficient to fund our planned operations through the end of 2019.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2" w:lineRule="exact"/>
        <w:rPr>
          <w:sz w:val="20"/>
          <w:szCs w:val="20"/>
          <w:color w:val="auto"/>
        </w:rPr>
      </w:pPr>
    </w:p>
    <w:p>
      <w:pPr>
        <w:ind w:right="300" w:firstLine="648"/>
        <w:spacing w:after="0" w:line="33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3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9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have never been profitable and, as of September 30, 2018, we had an accumulated deficit of $474.5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167" w:lineRule="exact"/>
        <w:rPr>
          <w:sz w:val="20"/>
          <w:szCs w:val="20"/>
          <w:color w:val="auto"/>
        </w:rPr>
      </w:pPr>
    </w:p>
    <w:p>
      <w:pPr>
        <w:ind w:left="980" w:hanging="16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15" w:lineRule="exact"/>
        <w:rPr>
          <w:rFonts w:ascii="Arial" w:cs="Arial" w:eastAsia="Arial" w:hAnsi="Arial"/>
          <w:sz w:val="18"/>
          <w:szCs w:val="18"/>
          <w:color w:val="auto"/>
        </w:rPr>
      </w:pPr>
    </w:p>
    <w:p>
      <w:pPr>
        <w:ind w:left="980" w:hanging="162"/>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hanging="162"/>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16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46"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86"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980" w:hanging="162"/>
        <w:spacing w:after="0" w:line="25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16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67"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181717"/>
        </w:rPr>
        <w:t>Our tax position could be affected by recent changes in United States federal income tax laws.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181717"/>
        </w:rPr>
        <w:t>On December 22, 2017, legislation commonly referred to as the “Tax Cuts and Jobs Act” was signed into law and is generally effective after December 31, 2017. The Tax Cuts and Jobs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Cuts and Jobs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United States federal income tax base. The Tax Cuts and Jobs Act makes numerous other large and small changes to the federal income tax rules that may affect potential investors and may directly or indirectly affect us. We continue to examine the impact this tax reform legislation may have on our business. However, the effect of the Tax Cuts and Jobs Act on us and our affiliates,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Cuts and Jobs Act and any other regulatory or administrative developments and proposals, and their potential effects on them based on their unique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right="260" w:firstLine="648"/>
        <w:spacing w:after="0" w:line="306"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26%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86" w:lineRule="exact"/>
        <w:rPr>
          <w:sz w:val="20"/>
          <w:szCs w:val="20"/>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15"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9"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93" w:right="259" w:bottom="1440" w:gutter="0" w:footer="0" w:header="0"/>
        </w:sectPr>
      </w:pPr>
    </w:p>
    <w:bookmarkStart w:id="52" w:name="page53"/>
    <w:bookmarkEnd w:id="52"/>
    <w:p>
      <w:pPr>
        <w:ind w:right="360"/>
        <w:spacing w:after="0" w:line="268"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8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717"/>
        </w:rPr>
        <w:t>We may become involved in securities class action litigation that could divert management’s attention and harm our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181717"/>
        </w:rPr>
        <w:t xml:space="preserve">The </w:t>
      </w:r>
      <w:r>
        <w:rPr>
          <w:rFonts w:ascii="Arial" w:cs="Arial" w:eastAsia="Arial" w:hAnsi="Arial"/>
          <w:sz w:val="18"/>
          <w:szCs w:val="18"/>
          <w:color w:val="000000"/>
        </w:rPr>
        <w:t>stock</w:t>
      </w:r>
      <w:r>
        <w:rPr>
          <w:rFonts w:ascii="Arial" w:cs="Arial" w:eastAsia="Arial" w:hAnsi="Arial"/>
          <w:sz w:val="18"/>
          <w:szCs w:val="18"/>
          <w:color w:val="181717"/>
        </w:rPr>
        <w:t xml:space="preserve"> markets have from time to time experienced significant price and volume fluctuations that have affected the market prices for the common stock of biotechnology and pharmaceutical companies. These broad market fluctuations may cause the market price of our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 </w:t>
      </w:r>
      <w:r>
        <w:rPr>
          <w:rFonts w:ascii="Arial" w:cs="Arial" w:eastAsia="Arial" w:hAnsi="Arial"/>
          <w:sz w:val="18"/>
          <w:szCs w:val="18"/>
          <w:color w:val="000000"/>
        </w:rPr>
        <w:t>(see Part II</w:t>
      </w:r>
      <w:r>
        <w:rPr>
          <w:rFonts w:ascii="Arial" w:cs="Arial" w:eastAsia="Arial" w:hAnsi="Arial"/>
          <w:sz w:val="18"/>
          <w:szCs w:val="18"/>
          <w:color w:val="181717"/>
        </w:rPr>
        <w:t xml:space="preserve"> </w:t>
      </w:r>
      <w:r>
        <w:rPr>
          <w:rFonts w:ascii="Arial" w:cs="Arial" w:eastAsia="Arial" w:hAnsi="Arial"/>
          <w:sz w:val="18"/>
          <w:szCs w:val="18"/>
          <w:color w:val="000000"/>
        </w:rPr>
        <w:t>Item 1 for further details).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93"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00" w:lineRule="exact"/>
        <w:rPr>
          <w:sz w:val="20"/>
          <w:szCs w:val="20"/>
          <w:color w:val="auto"/>
        </w:rPr>
      </w:pPr>
    </w:p>
    <w:p>
      <w:pPr>
        <w:spacing w:after="0" w:line="245"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10720" w:type="dxa"/>
            <w:vAlign w:val="bottom"/>
          </w:tcPr>
          <w:p>
            <w:pPr>
              <w:ind w:left="600"/>
              <w:spacing w:after="0"/>
              <w:rPr>
                <w:sz w:val="20"/>
                <w:szCs w:val="20"/>
                <w:color w:val="auto"/>
              </w:rPr>
            </w:pPr>
            <w:r>
              <w:rPr>
                <w:rFonts w:ascii="Arial" w:cs="Arial" w:eastAsia="Arial" w:hAnsi="Arial"/>
                <w:sz w:val="18"/>
                <w:szCs w:val="18"/>
                <w:color w:val="auto"/>
                <w:w w:val="88"/>
              </w:rPr>
              <w:t>Certification of Chief Executive Officer pursuant to Rule 13a-14(a)/15d-14(a), as adopted pursuant to Section 302 of the Sarbanes-Oxley Act of</w:t>
            </w:r>
          </w:p>
        </w:tc>
      </w:tr>
      <w:tr>
        <w:trPr>
          <w:trHeight w:val="235"/>
        </w:trPr>
        <w:tc>
          <w:tcPr>
            <w:tcW w:w="300" w:type="dxa"/>
            <w:vAlign w:val="bottom"/>
          </w:tcPr>
          <w:p>
            <w:pPr>
              <w:spacing w:after="0"/>
              <w:rPr>
                <w:sz w:val="20"/>
                <w:szCs w:val="20"/>
                <w:color w:val="auto"/>
              </w:rPr>
            </w:pPr>
          </w:p>
        </w:tc>
        <w:tc>
          <w:tcPr>
            <w:tcW w:w="10720" w:type="dxa"/>
            <w:vAlign w:val="bottom"/>
          </w:tcPr>
          <w:p>
            <w:pPr>
              <w:ind w:left="600"/>
              <w:spacing w:after="0"/>
              <w:rPr>
                <w:sz w:val="20"/>
                <w:szCs w:val="20"/>
                <w:color w:val="auto"/>
              </w:rPr>
            </w:pPr>
            <w:r>
              <w:rPr>
                <w:rFonts w:ascii="Arial" w:cs="Arial" w:eastAsia="Arial" w:hAnsi="Arial"/>
                <w:sz w:val="18"/>
                <w:szCs w:val="18"/>
                <w:color w:val="auto"/>
              </w:rPr>
              <w:t>2002, dated November 9, 2018.</w:t>
            </w:r>
          </w:p>
        </w:tc>
      </w:tr>
      <w:tr>
        <w:trPr>
          <w:trHeight w:val="394"/>
        </w:trPr>
        <w:tc>
          <w:tcPr>
            <w:tcW w:w="3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10720" w:type="dxa"/>
            <w:vAlign w:val="bottom"/>
          </w:tcPr>
          <w:p>
            <w:pPr>
              <w:ind w:left="600"/>
              <w:spacing w:after="0"/>
              <w:rPr>
                <w:sz w:val="20"/>
                <w:szCs w:val="20"/>
                <w:color w:val="auto"/>
              </w:rPr>
            </w:pPr>
            <w:r>
              <w:rPr>
                <w:rFonts w:ascii="Arial" w:cs="Arial" w:eastAsia="Arial" w:hAnsi="Arial"/>
                <w:sz w:val="18"/>
                <w:szCs w:val="18"/>
                <w:color w:val="auto"/>
                <w:w w:val="89"/>
              </w:rPr>
              <w:t>Certification of Chief Financial Officer pursuant to Rule 13a-14(a)/15d-14(a), as adopted pursuant to Section 302 of the Sarbanes-Oxley Act of</w:t>
            </w:r>
          </w:p>
        </w:tc>
      </w:tr>
      <w:tr>
        <w:trPr>
          <w:trHeight w:val="235"/>
        </w:trPr>
        <w:tc>
          <w:tcPr>
            <w:tcW w:w="300" w:type="dxa"/>
            <w:vAlign w:val="bottom"/>
          </w:tcPr>
          <w:p>
            <w:pPr>
              <w:spacing w:after="0"/>
              <w:rPr>
                <w:sz w:val="20"/>
                <w:szCs w:val="20"/>
                <w:color w:val="auto"/>
              </w:rPr>
            </w:pPr>
          </w:p>
        </w:tc>
        <w:tc>
          <w:tcPr>
            <w:tcW w:w="10720" w:type="dxa"/>
            <w:vAlign w:val="bottom"/>
          </w:tcPr>
          <w:p>
            <w:pPr>
              <w:ind w:left="600"/>
              <w:spacing w:after="0"/>
              <w:rPr>
                <w:sz w:val="20"/>
                <w:szCs w:val="20"/>
                <w:color w:val="auto"/>
              </w:rPr>
            </w:pPr>
            <w:r>
              <w:rPr>
                <w:rFonts w:ascii="Arial" w:cs="Arial" w:eastAsia="Arial" w:hAnsi="Arial"/>
                <w:sz w:val="18"/>
                <w:szCs w:val="18"/>
                <w:color w:val="auto"/>
              </w:rPr>
              <w:t>2002, dated November 9, 2018.</w:t>
            </w:r>
          </w:p>
        </w:tc>
      </w:tr>
      <w:tr>
        <w:trPr>
          <w:trHeight w:val="394"/>
        </w:trPr>
        <w:tc>
          <w:tcPr>
            <w:tcW w:w="3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hyperlink>
          </w:p>
        </w:tc>
        <w:tc>
          <w:tcPr>
            <w:tcW w:w="10720" w:type="dxa"/>
            <w:vAlign w:val="bottom"/>
          </w:tcPr>
          <w:p>
            <w:pPr>
              <w:ind w:left="600"/>
              <w:spacing w:after="0"/>
              <w:rPr>
                <w:sz w:val="20"/>
                <w:szCs w:val="20"/>
                <w:color w:val="auto"/>
              </w:rPr>
            </w:pPr>
            <w:r>
              <w:rPr>
                <w:rFonts w:ascii="Arial" w:cs="Arial" w:eastAsia="Arial" w:hAnsi="Arial"/>
                <w:sz w:val="18"/>
                <w:szCs w:val="18"/>
                <w:color w:val="auto"/>
                <w:w w:val="90"/>
              </w:rPr>
              <w:t>Certification of Chief Executive Officer pursuant to 18 U.S.C. §1350, as adopted pursuant to Section 906 of the Sarbanes-Oxley Act of 2002,</w:t>
            </w:r>
          </w:p>
        </w:tc>
      </w:tr>
      <w:tr>
        <w:trPr>
          <w:trHeight w:val="235"/>
        </w:trPr>
        <w:tc>
          <w:tcPr>
            <w:tcW w:w="300" w:type="dxa"/>
            <w:vAlign w:val="bottom"/>
          </w:tcPr>
          <w:p>
            <w:pPr>
              <w:spacing w:after="0"/>
              <w:rPr>
                <w:sz w:val="20"/>
                <w:szCs w:val="20"/>
                <w:color w:val="auto"/>
              </w:rPr>
            </w:pPr>
          </w:p>
        </w:tc>
        <w:tc>
          <w:tcPr>
            <w:tcW w:w="10720" w:type="dxa"/>
            <w:vAlign w:val="bottom"/>
          </w:tcPr>
          <w:p>
            <w:pPr>
              <w:ind w:left="600"/>
              <w:spacing w:after="0"/>
              <w:rPr>
                <w:sz w:val="20"/>
                <w:szCs w:val="20"/>
                <w:color w:val="auto"/>
              </w:rPr>
            </w:pPr>
            <w:r>
              <w:rPr>
                <w:rFonts w:ascii="Arial" w:cs="Arial" w:eastAsia="Arial" w:hAnsi="Arial"/>
                <w:sz w:val="18"/>
                <w:szCs w:val="18"/>
                <w:color w:val="auto"/>
              </w:rPr>
              <w:t>dated November 9, 2018.</w:t>
            </w:r>
          </w:p>
        </w:tc>
      </w:tr>
      <w:tr>
        <w:trPr>
          <w:trHeight w:val="394"/>
        </w:trPr>
        <w:tc>
          <w:tcPr>
            <w:tcW w:w="3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hyperlink>
          </w:p>
        </w:tc>
        <w:tc>
          <w:tcPr>
            <w:tcW w:w="10720" w:type="dxa"/>
            <w:vAlign w:val="bottom"/>
          </w:tcPr>
          <w:p>
            <w:pPr>
              <w:ind w:left="6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 of 2002,</w:t>
            </w:r>
          </w:p>
        </w:tc>
      </w:tr>
      <w:tr>
        <w:trPr>
          <w:trHeight w:val="235"/>
        </w:trPr>
        <w:tc>
          <w:tcPr>
            <w:tcW w:w="300" w:type="dxa"/>
            <w:vAlign w:val="bottom"/>
          </w:tcPr>
          <w:p>
            <w:pPr>
              <w:spacing w:after="0"/>
              <w:rPr>
                <w:sz w:val="20"/>
                <w:szCs w:val="20"/>
                <w:color w:val="auto"/>
              </w:rPr>
            </w:pPr>
          </w:p>
        </w:tc>
        <w:tc>
          <w:tcPr>
            <w:tcW w:w="10720" w:type="dxa"/>
            <w:vAlign w:val="bottom"/>
          </w:tcPr>
          <w:p>
            <w:pPr>
              <w:ind w:left="600"/>
              <w:spacing w:after="0"/>
              <w:rPr>
                <w:sz w:val="20"/>
                <w:szCs w:val="20"/>
                <w:color w:val="auto"/>
              </w:rPr>
            </w:pPr>
            <w:r>
              <w:rPr>
                <w:rFonts w:ascii="Arial" w:cs="Arial" w:eastAsia="Arial" w:hAnsi="Arial"/>
                <w:sz w:val="18"/>
                <w:szCs w:val="18"/>
                <w:color w:val="auto"/>
              </w:rPr>
              <w:t>dated November 9, 2018.</w:t>
            </w:r>
          </w:p>
        </w:tc>
      </w:tr>
    </w:tbl>
    <w:p>
      <w:pPr>
        <w:spacing w:after="0" w:line="210" w:lineRule="exact"/>
        <w:rPr>
          <w:sz w:val="20"/>
          <w:szCs w:val="20"/>
          <w:color w:val="auto"/>
        </w:rPr>
      </w:pPr>
    </w:p>
    <w:p>
      <w:pPr>
        <w:ind w:left="1260" w:right="80" w:hanging="901"/>
        <w:spacing w:after="0" w:line="298" w:lineRule="auto"/>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September 30, 2018,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TG THERAPEUTICS, INC.</w:t>
      </w:r>
    </w:p>
    <w:p>
      <w:pPr>
        <w:spacing w:after="0" w:line="225" w:lineRule="exact"/>
        <w:rPr>
          <w:sz w:val="20"/>
          <w:szCs w:val="20"/>
          <w:color w:val="auto"/>
        </w:rPr>
      </w:pPr>
    </w:p>
    <w:p>
      <w:pPr>
        <w:spacing w:after="0"/>
        <w:tabs>
          <w:tab w:leader="none" w:pos="5240" w:val="left"/>
          <w:tab w:leader="none" w:pos="570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557" w:right="7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240" w:right="280" w:hanging="232"/>
        <w:spacing w:after="0" w:line="268" w:lineRule="auto"/>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240" w:right="80" w:hanging="232"/>
        <w:spacing w:after="0" w:line="259" w:lineRule="auto"/>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820" w:right="140" w:hanging="592"/>
        <w:spacing w:after="0" w:line="259"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40" w:right="40" w:hanging="232"/>
        <w:spacing w:after="0" w:line="268" w:lineRule="auto"/>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240" w:right="280" w:hanging="232"/>
        <w:spacing w:after="0" w:line="268" w:lineRule="auto"/>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240" w:right="80" w:hanging="232"/>
        <w:spacing w:after="0" w:line="259" w:lineRule="auto"/>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820" w:right="140" w:hanging="592"/>
        <w:spacing w:after="0" w:line="259"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40" w:right="40" w:hanging="232"/>
        <w:spacing w:after="0" w:line="268" w:lineRule="auto"/>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10795</wp:posOffset>
            </wp:positionV>
            <wp:extent cx="40563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5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2018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2018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10795</wp:posOffset>
            </wp:positionV>
            <wp:extent cx="417639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76395"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2"/>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0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2019-12-28T18:05:17Z</dcterms:created>
  <dcterms:modified xsi:type="dcterms:W3CDTF">2019-12-28T18:05:17Z</dcterms:modified>
</cp:coreProperties>
</file>