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124460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52"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470" w:right="2120" w:hanging="1360"/>
        <w:spacing w:after="0" w:line="282" w:lineRule="auto"/>
        <w:tabs>
          <w:tab w:leader="none" w:pos="232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1350010</wp:posOffset>
            </wp:positionH>
            <wp:positionV relativeFrom="paragraph">
              <wp:posOffset>-281940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7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470" w:right="2100" w:hanging="1367"/>
        <w:spacing w:after="0" w:line="282" w:lineRule="auto"/>
        <w:tabs>
          <w:tab w:leader="none" w:pos="231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1346200</wp:posOffset>
            </wp:positionH>
            <wp:positionV relativeFrom="paragraph">
              <wp:posOffset>-281940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0"/>
        <w:spacing w:after="0"/>
        <w:rPr>
          <w:sz w:val="20"/>
          <w:szCs w:val="20"/>
          <w:color w:val="auto"/>
        </w:rPr>
      </w:pPr>
      <w:r>
        <w:rPr>
          <w:rFonts w:ascii="Arial" w:cs="Arial" w:eastAsia="Arial" w:hAnsi="Arial"/>
          <w:sz w:val="18"/>
          <w:szCs w:val="18"/>
          <w:b w:val="1"/>
          <w:bCs w:val="1"/>
          <w:color w:val="auto"/>
        </w:rPr>
        <w:t>For the transition period from to</w:t>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146050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8"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TG THERAPEUTICS, INC.</w:t>
      </w:r>
    </w:p>
    <w:p>
      <w:pPr>
        <w:spacing w:after="0" w:line="3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230"/>
          </w:cols>
          <w:pgMar w:left="830" w:top="665" w:right="839" w:bottom="1440" w:gutter="0" w:footer="0" w:header="0"/>
        </w:sectPr>
      </w:pPr>
    </w:p>
    <w:p>
      <w:pPr>
        <w:spacing w:after="0" w:line="97" w:lineRule="exact"/>
        <w:rPr>
          <w:sz w:val="24"/>
          <w:szCs w:val="24"/>
          <w:color w:val="auto"/>
        </w:rPr>
      </w:pPr>
    </w:p>
    <w:p>
      <w:pPr>
        <w:jc w:val="center"/>
        <w:ind w:right="63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3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(I.R.S. Employer Identification No.)</w:t>
      </w:r>
    </w:p>
    <w:p>
      <w:pPr>
        <w:spacing w:after="0" w:line="108" w:lineRule="exact"/>
        <w:rPr>
          <w:sz w:val="24"/>
          <w:szCs w:val="24"/>
          <w:color w:val="auto"/>
        </w:rPr>
      </w:pPr>
    </w:p>
    <w:p>
      <w:pPr>
        <w:sectPr>
          <w:pgSz w:w="11900" w:h="16838" w:orient="portrait"/>
          <w:cols w:equalWidth="0" w:num="2">
            <w:col w:w="5550" w:space="720"/>
            <w:col w:w="3960"/>
          </w:cols>
          <w:pgMar w:left="830" w:top="665" w:right="839" w:bottom="1440" w:gutter="0" w:footer="0" w:header="0"/>
          <w:type w:val="continuous"/>
        </w:sectPr>
      </w:pPr>
    </w:p>
    <w:p>
      <w:pPr>
        <w:ind w:left="3950"/>
        <w:spacing w:after="0"/>
        <w:rPr>
          <w:sz w:val="20"/>
          <w:szCs w:val="20"/>
          <w:color w:val="auto"/>
        </w:rPr>
      </w:pPr>
      <w:r>
        <w:rPr>
          <w:rFonts w:ascii="Arial" w:cs="Arial" w:eastAsia="Arial" w:hAnsi="Arial"/>
          <w:sz w:val="18"/>
          <w:szCs w:val="18"/>
          <w:b w:val="1"/>
          <w:bCs w:val="1"/>
          <w:color w:val="auto"/>
        </w:rPr>
        <w:t>2 Gansevoort Street, 9th Floor</w:t>
      </w:r>
    </w:p>
    <w:p>
      <w:pPr>
        <w:spacing w:after="0" w:line="27" w:lineRule="exact"/>
        <w:rPr>
          <w:sz w:val="24"/>
          <w:szCs w:val="24"/>
          <w:color w:val="auto"/>
        </w:rPr>
      </w:pPr>
    </w:p>
    <w:p>
      <w:pPr>
        <w:ind w:left="4050"/>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ind w:left="2990"/>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85" w:lineRule="exact"/>
        <w:rPr>
          <w:sz w:val="24"/>
          <w:szCs w:val="24"/>
          <w:color w:val="auto"/>
        </w:rPr>
      </w:pPr>
    </w:p>
    <w:p>
      <w:pPr>
        <w:ind w:left="4550"/>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ind w:left="3230"/>
        <w:spacing w:after="0"/>
        <w:rPr>
          <w:sz w:val="20"/>
          <w:szCs w:val="20"/>
          <w:color w:val="auto"/>
        </w:rPr>
      </w:pPr>
      <w:r>
        <w:rPr>
          <w:rFonts w:ascii="Arial" w:cs="Arial" w:eastAsia="Arial" w:hAnsi="Arial"/>
          <w:sz w:val="18"/>
          <w:szCs w:val="18"/>
          <w:color w:val="auto"/>
        </w:rPr>
        <w:t>(Registrants telephone number, including area code)</w:t>
      </w:r>
    </w:p>
    <w:p>
      <w:pPr>
        <w:spacing w:after="0" w:line="76"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Class</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Exchange Name</w:t>
            </w:r>
          </w:p>
        </w:tc>
      </w:tr>
      <w:tr>
        <w:trPr>
          <w:trHeight w:val="210"/>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TGTX</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80" w:lineRule="exact"/>
        <w:rPr>
          <w:sz w:val="24"/>
          <w:szCs w:val="24"/>
          <w:color w:val="auto"/>
        </w:rPr>
      </w:pPr>
    </w:p>
    <w:p>
      <w:pPr>
        <w:jc w:val="both"/>
        <w:ind w:left="10" w:right="1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4" w:lineRule="exact"/>
        <w:rPr>
          <w:sz w:val="24"/>
          <w:szCs w:val="24"/>
          <w:color w:val="auto"/>
        </w:rPr>
      </w:pPr>
    </w:p>
    <w:p>
      <w:pPr>
        <w:ind w:left="10" w:right="28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w:t>
      </w:r>
    </w:p>
    <w:p>
      <w:pPr>
        <w:ind w:left="210" w:hanging="210"/>
        <w:spacing w:after="0" w:line="207" w:lineRule="exact"/>
        <w:tabs>
          <w:tab w:leader="none" w:pos="21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ind w:left="10"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type w:val="continuous"/>
        </w:sectPr>
      </w:pPr>
    </w:p>
    <w:p>
      <w:pPr>
        <w:spacing w:after="0" w:line="4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8090" w:space="720"/>
            <w:col w:w="1420"/>
          </w:cols>
          <w:pgMar w:left="830" w:top="665" w:right="839" w:bottom="1440" w:gutter="0" w:footer="0" w:header="0"/>
          <w:type w:val="continuous"/>
        </w:sectPr>
      </w:pPr>
    </w:p>
    <w:p>
      <w:pPr>
        <w:ind w:left="1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7330" w:space="720"/>
            <w:col w:w="2180"/>
          </w:cols>
          <w:pgMar w:left="830" w:top="665" w:right="839" w:bottom="1440" w:gutter="0" w:footer="0" w:header="0"/>
          <w:type w:val="continuous"/>
        </w:sectPr>
      </w:pPr>
    </w:p>
    <w:p>
      <w:pPr>
        <w:ind w:left="805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0230"/>
          </w:cols>
          <w:pgMar w:left="830" w:top="665" w:right="839" w:bottom="1440" w:gutter="0" w:footer="0" w:header="0"/>
          <w:type w:val="continuous"/>
        </w:sectPr>
      </w:pPr>
    </w:p>
    <w:p>
      <w:pPr>
        <w:spacing w:after="0" w:line="159" w:lineRule="exact"/>
        <w:rPr>
          <w:sz w:val="24"/>
          <w:szCs w:val="24"/>
          <w:color w:val="auto"/>
        </w:rPr>
      </w:pPr>
    </w:p>
    <w:p>
      <w:pPr>
        <w:ind w:left="10"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left="10"/>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23" w:lineRule="exact"/>
        <w:rPr>
          <w:sz w:val="24"/>
          <w:szCs w:val="24"/>
          <w:color w:val="auto"/>
        </w:rPr>
      </w:pP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490"/>
        <w:spacing w:after="0"/>
        <w:rPr>
          <w:sz w:val="20"/>
          <w:szCs w:val="20"/>
          <w:color w:val="auto"/>
        </w:rPr>
      </w:pPr>
      <w:r>
        <w:rPr>
          <w:rFonts w:ascii="Arial" w:cs="Arial" w:eastAsia="Arial" w:hAnsi="Arial"/>
          <w:sz w:val="18"/>
          <w:szCs w:val="18"/>
          <w:color w:val="auto"/>
        </w:rPr>
        <w:t>There were 113,747,986 shares of the registrant’s common stock, $0.001 par value, outstanding as of May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452120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48895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MARCH 31, 2020</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280" w:type="dxa"/>
            <w:vAlign w:val="bottom"/>
          </w:tcPr>
          <w:p>
            <w:pPr>
              <w:ind w:left="280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0"/>
                <w:szCs w:val="20"/>
                <w:color w:val="auto"/>
              </w:rPr>
            </w:pPr>
          </w:p>
        </w:tc>
      </w:tr>
      <w:tr>
        <w:trPr>
          <w:trHeight w:val="405"/>
        </w:trPr>
        <w:tc>
          <w:tcPr>
            <w:tcW w:w="796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CAUTIONARY NOTICE REGARDING FORWARD-LOOKING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w:t>
              </w:r>
            </w:hyperlink>
          </w:p>
        </w:tc>
        <w:tc>
          <w:tcPr>
            <w:tcW w:w="728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728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Stockholders’ (Deficit) Equity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680" w:type="dxa"/>
            <w:vAlign w:val="bottom"/>
          </w:tcPr>
          <w:p>
            <w:pPr>
              <w:spacing w:after="0"/>
              <w:rPr>
                <w:sz w:val="24"/>
                <w:szCs w:val="24"/>
                <w:color w:val="auto"/>
              </w:rPr>
            </w:pPr>
          </w:p>
        </w:tc>
        <w:tc>
          <w:tcPr>
            <w:tcW w:w="7280" w:type="dxa"/>
            <w:vAlign w:val="bottom"/>
          </w:tcPr>
          <w:p>
            <w:pPr>
              <w:ind w:left="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 (unaudited)</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w:t>
              </w:r>
            </w:hyperlink>
          </w:p>
        </w:tc>
        <w:tc>
          <w:tcPr>
            <w:tcW w:w="7280" w:type="dxa"/>
            <w:vAlign w:val="bottom"/>
          </w:tcPr>
          <w:p>
            <w:pPr>
              <w:ind w:left="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3</w:t>
              </w:r>
            </w:hyperlink>
          </w:p>
        </w:tc>
        <w:tc>
          <w:tcPr>
            <w:tcW w:w="7280" w:type="dxa"/>
            <w:vAlign w:val="bottom"/>
          </w:tcPr>
          <w:p>
            <w:pPr>
              <w:ind w:left="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Quantitative and Qualitative Disclosures About Market Risk</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4</w:t>
              </w:r>
            </w:hyperlink>
          </w:p>
        </w:tc>
        <w:tc>
          <w:tcPr>
            <w:tcW w:w="728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PART II</w:t>
              </w:r>
            </w:hyperlink>
          </w:p>
        </w:tc>
        <w:tc>
          <w:tcPr>
            <w:tcW w:w="728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OTHER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w:t>
              </w:r>
            </w:hyperlink>
          </w:p>
        </w:tc>
        <w:tc>
          <w:tcPr>
            <w:tcW w:w="728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1A</w:t>
              </w:r>
            </w:hyperlink>
          </w:p>
        </w:tc>
        <w:tc>
          <w:tcPr>
            <w:tcW w:w="7280" w:type="dxa"/>
            <w:vAlign w:val="bottom"/>
          </w:tcPr>
          <w:p>
            <w:pPr>
              <w:ind w:left="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68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Item 6</w:t>
              </w:r>
            </w:hyperlink>
          </w:p>
        </w:tc>
        <w:tc>
          <w:tcPr>
            <w:tcW w:w="7280" w:type="dxa"/>
            <w:vAlign w:val="bottom"/>
          </w:tcPr>
          <w:p>
            <w:pPr>
              <w:ind w:left="8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Exhibits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02"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 our:</w:t>
      </w:r>
    </w:p>
    <w:p>
      <w:pPr>
        <w:spacing w:after="0" w:line="24" w:lineRule="exact"/>
        <w:rPr>
          <w:sz w:val="20"/>
          <w:szCs w:val="20"/>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23"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as to the timing of commencing or completing pre-clinical and clinical trials and the expected outcomes of those trials;</w:t>
      </w:r>
    </w:p>
    <w:p>
      <w:pPr>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products being accepted by doctors, patients or payors;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9" w:lineRule="exact"/>
        <w:rPr>
          <w:rFonts w:ascii="Arial" w:cs="Arial" w:eastAsia="Arial" w:hAnsi="Arial"/>
          <w:sz w:val="18"/>
          <w:szCs w:val="18"/>
          <w:color w:val="auto"/>
        </w:rPr>
      </w:pPr>
    </w:p>
    <w:p>
      <w:pPr>
        <w:ind w:left="1040" w:right="79" w:hanging="315"/>
        <w:spacing w:after="0" w:line="265"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estimates of the sufficiency of our existing cash and cash equivalents and investments to finance our operating requirements, including expectations regarding the value and liquidity of our investments;</w:t>
      </w: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and its volatility;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impact of the coronavirus (“COVID-19”) pandemic and government measures to control it.</w:t>
      </w:r>
    </w:p>
    <w:p>
      <w:pPr>
        <w:spacing w:after="0" w:line="103" w:lineRule="exact"/>
        <w:rPr>
          <w:sz w:val="20"/>
          <w:szCs w:val="20"/>
          <w:color w:val="auto"/>
        </w:rPr>
      </w:pPr>
    </w:p>
    <w:p>
      <w:pPr>
        <w:jc w:val="both"/>
        <w:ind w:left="60" w:right="59" w:firstLine="492"/>
        <w:spacing w:after="0" w:line="342"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83"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43"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You should read this report and the documents that we have filed as exhibits to this report completely and with the understanding that our actual future results, performance or achievements may be materially different from what we expect. Any forward-looking statements contained in this report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The forward-looking statements contained in this report reflect our views and assumptions only as of the date this report is signed. Except as required by law, we assume no obligation to update or revise these forward-looking statements for any reason, even if new information becomes available in the future.</w:t>
      </w:r>
    </w:p>
    <w:p>
      <w:pPr>
        <w:spacing w:after="0" w:line="154"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This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r>
      <w:tr>
        <w:trPr>
          <w:trHeight w:val="142"/>
        </w:trPr>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(Note 1)</w:t>
            </w:r>
          </w:p>
        </w:tc>
        <w:tc>
          <w:tcPr>
            <w:tcW w:w="200" w:type="dxa"/>
            <w:vAlign w:val="bottom"/>
          </w:tcPr>
          <w:p>
            <w:pPr>
              <w:spacing w:after="0"/>
              <w:rPr>
                <w:sz w:val="12"/>
                <w:szCs w:val="12"/>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112,637</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Short-term investment securities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27,798</w:t>
            </w: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research and development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8,105</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Borders>
              <w:bottom w:val="single" w:sz="8" w:color="CCEEFF"/>
            </w:tcBorders>
          </w:tcPr>
          <w:p>
            <w:pPr>
              <w:spacing w:after="0"/>
              <w:rPr>
                <w:sz w:val="18"/>
                <w:szCs w:val="18"/>
                <w:color w:val="auto"/>
              </w:rPr>
            </w:pPr>
          </w:p>
        </w:tc>
      </w:tr>
      <w:tr>
        <w:trPr>
          <w:trHeight w:val="210"/>
        </w:trPr>
        <w:tc>
          <w:tcPr>
            <w:tcW w:w="6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149,151</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1,251</w:t>
            </w: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interest, net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Equipment, net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Borders>
              <w:bottom w:val="single" w:sz="8" w:color="CCEEFF"/>
            </w:tcBorders>
          </w:tcPr>
          <w:p>
            <w:pPr>
              <w:spacing w:after="0"/>
              <w:rPr>
                <w:sz w:val="18"/>
                <w:szCs w:val="18"/>
                <w:color w:val="auto"/>
              </w:rPr>
            </w:pPr>
          </w:p>
        </w:tc>
      </w:tr>
      <w:tr>
        <w:trPr>
          <w:trHeight w:val="209"/>
        </w:trPr>
        <w:tc>
          <w:tcPr>
            <w:tcW w:w="66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163,014</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(deficit)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30,041</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48,994</w:t>
            </w: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 current portion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Accrued compensation</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200" w:type="dxa"/>
            <w:vAlign w:val="bottom"/>
            <w:tcBorders>
              <w:bottom w:val="single" w:sz="8" w:color="CCEEFF"/>
            </w:tcBorders>
          </w:tcPr>
          <w:p>
            <w:pPr>
              <w:spacing w:after="0"/>
              <w:rPr>
                <w:sz w:val="18"/>
                <w:szCs w:val="18"/>
                <w:color w:val="auto"/>
              </w:rPr>
            </w:pPr>
          </w:p>
        </w:tc>
      </w:tr>
      <w:tr>
        <w:trPr>
          <w:trHeight w:val="210"/>
        </w:trPr>
        <w:tc>
          <w:tcPr>
            <w:tcW w:w="6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84,449</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762</w:t>
            </w: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28,970</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 non-current</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10,218</w:t>
            </w:r>
          </w:p>
        </w:tc>
        <w:tc>
          <w:tcPr>
            <w:tcW w:w="200" w:type="dxa"/>
            <w:vAlign w:val="bottom"/>
            <w:tcBorders>
              <w:bottom w:val="single" w:sz="8" w:color="CCEEFF"/>
            </w:tcBorders>
          </w:tcPr>
          <w:p>
            <w:pPr>
              <w:spacing w:after="0"/>
              <w:rPr>
                <w:sz w:val="18"/>
                <w:szCs w:val="18"/>
                <w:color w:val="auto"/>
              </w:rPr>
            </w:pPr>
          </w:p>
        </w:tc>
      </w:tr>
      <w:tr>
        <w:trPr>
          <w:trHeight w:val="209"/>
        </w:trPr>
        <w:tc>
          <w:tcPr>
            <w:tcW w:w="6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103,202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124,399</w:t>
            </w:r>
          </w:p>
        </w:tc>
        <w:tc>
          <w:tcPr>
            <w:tcW w:w="200" w:type="dxa"/>
            <w:vAlign w:val="bottom"/>
            <w:shd w:val="clear" w:color="auto" w:fill="CCEEFF"/>
          </w:tcPr>
          <w:p>
            <w:pPr>
              <w:spacing w:after="0"/>
              <w:rPr>
                <w:sz w:val="18"/>
                <w:szCs w:val="18"/>
                <w:color w:val="auto"/>
              </w:rPr>
            </w:pPr>
          </w:p>
        </w:tc>
      </w:tr>
      <w:tr>
        <w:trPr>
          <w:trHeight w:val="210"/>
        </w:trPr>
        <w:tc>
          <w:tcPr>
            <w:tcW w:w="66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2"/>
        </w:trPr>
        <w:tc>
          <w:tcPr>
            <w:tcW w:w="6680" w:type="dxa"/>
            <w:vAlign w:val="bottom"/>
          </w:tcPr>
          <w:p>
            <w:pPr>
              <w:ind w:left="440"/>
              <w:spacing w:after="0" w:line="201" w:lineRule="exact"/>
              <w:rPr>
                <w:sz w:val="20"/>
                <w:szCs w:val="20"/>
                <w:color w:val="auto"/>
              </w:rPr>
            </w:pPr>
            <w:r>
              <w:rPr>
                <w:rFonts w:ascii="Arial" w:cs="Arial" w:eastAsia="Arial" w:hAnsi="Arial"/>
                <w:sz w:val="18"/>
                <w:szCs w:val="18"/>
                <w:color w:val="auto"/>
              </w:rPr>
              <w:t>Common stock, $0.001 par value per share (150,000,000 shares authorized,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w w:val="93"/>
              </w:rPr>
              <w:t>110,209,293 and 109,425,243 shares issued, 110,167,984 and 109,383,934 shares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6680" w:type="dxa"/>
            <w:vAlign w:val="bottom"/>
          </w:tcPr>
          <w:p>
            <w:pPr>
              <w:ind w:left="440"/>
              <w:spacing w:after="0"/>
              <w:rPr>
                <w:sz w:val="20"/>
                <w:szCs w:val="20"/>
                <w:color w:val="auto"/>
              </w:rPr>
            </w:pPr>
            <w:r>
              <w:rPr>
                <w:rFonts w:ascii="Arial" w:cs="Arial" w:eastAsia="Arial" w:hAnsi="Arial"/>
                <w:sz w:val="18"/>
                <w:szCs w:val="18"/>
                <w:color w:val="auto"/>
              </w:rPr>
              <w:t>outstanding at March 31, 2020 and December 31, 2019, respectively)</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0"/>
                <w:szCs w:val="20"/>
                <w:color w:val="auto"/>
              </w:rPr>
            </w:pP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751,103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739,956</w:t>
            </w:r>
          </w:p>
        </w:tc>
        <w:tc>
          <w:tcPr>
            <w:tcW w:w="200" w:type="dxa"/>
            <w:vAlign w:val="bottom"/>
            <w:shd w:val="clear" w:color="auto" w:fill="CCEEFF"/>
          </w:tcPr>
          <w:p>
            <w:pPr>
              <w:spacing w:after="0"/>
              <w:rPr>
                <w:sz w:val="18"/>
                <w:szCs w:val="18"/>
                <w:color w:val="auto"/>
              </w:rPr>
            </w:pPr>
          </w:p>
        </w:tc>
      </w:tr>
      <w:tr>
        <w:trPr>
          <w:trHeight w:val="216"/>
        </w:trPr>
        <w:tc>
          <w:tcPr>
            <w:tcW w:w="6680" w:type="dxa"/>
            <w:vAlign w:val="bottom"/>
          </w:tcPr>
          <w:p>
            <w:pPr>
              <w:ind w:left="440"/>
              <w:spacing w:after="0"/>
              <w:rPr>
                <w:sz w:val="20"/>
                <w:szCs w:val="20"/>
                <w:color w:val="auto"/>
              </w:rPr>
            </w:pPr>
            <w:r>
              <w:rPr>
                <w:rFonts w:ascii="Arial" w:cs="Arial" w:eastAsia="Arial" w:hAnsi="Arial"/>
                <w:sz w:val="18"/>
                <w:szCs w:val="18"/>
                <w:color w:val="auto"/>
                <w:w w:val="95"/>
              </w:rPr>
              <w:t>Treasury stock, at cost, 41,309 shares at March 31, 2020 and December 31, 2019</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r>
      <w:tr>
        <w:trPr>
          <w:trHeight w:val="216"/>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(752,332)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(701,216)</w:t>
            </w:r>
          </w:p>
        </w:tc>
      </w:tr>
      <w:tr>
        <w:trPr>
          <w:trHeight w:val="209"/>
        </w:trPr>
        <w:tc>
          <w:tcPr>
            <w:tcW w:w="66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38,615</w:t>
            </w:r>
          </w:p>
        </w:tc>
        <w:tc>
          <w:tcPr>
            <w:tcW w:w="200" w:type="dxa"/>
            <w:vAlign w:val="bottom"/>
            <w:tcBorders>
              <w:bottom w:val="single" w:sz="8" w:color="CCEEFF"/>
            </w:tcBorders>
          </w:tcPr>
          <w:p>
            <w:pPr>
              <w:spacing w:after="0"/>
              <w:rPr>
                <w:sz w:val="18"/>
                <w:szCs w:val="18"/>
                <w:color w:val="auto"/>
              </w:rPr>
            </w:pPr>
          </w:p>
        </w:tc>
      </w:tr>
      <w:tr>
        <w:trPr>
          <w:trHeight w:val="210"/>
        </w:trPr>
        <w:tc>
          <w:tcPr>
            <w:tcW w:w="66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 and stockholders’ (deficit)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101,849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163,014</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89"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Three months ended</w:t>
      </w:r>
    </w:p>
    <w:p>
      <w:pPr>
        <w:ind w:left="74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research and development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research and development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Noncash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general and administrative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50,283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(50,245)</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Weighted average shares used in computing basic and diluted net loss per common</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105,461,892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81,174,301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Stockholders’ (Deficit)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89"/>
              </w:rPr>
              <w:t>Common Stock</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9"/>
              </w:rPr>
              <w:t>Additional</w:t>
            </w:r>
          </w:p>
        </w:tc>
        <w:tc>
          <w:tcPr>
            <w:tcW w:w="130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paid-in</w:t>
            </w:r>
          </w:p>
        </w:tc>
        <w:tc>
          <w:tcPr>
            <w:tcW w:w="1300" w:type="dxa"/>
            <w:vAlign w:val="bottom"/>
            <w:gridSpan w:val="5"/>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capital</w:t>
            </w:r>
          </w:p>
        </w:tc>
        <w:tc>
          <w:tcPr>
            <w:tcW w:w="6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52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at January 1, 2019</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83,911,855</w:t>
            </w: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w:t>
            </w:r>
          </w:p>
        </w:tc>
        <w:tc>
          <w:tcPr>
            <w:tcW w:w="4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552,531</w:t>
            </w: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93"/>
              </w:rPr>
              <w:t>41,309</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(528,345)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24,036</w:t>
            </w:r>
          </w:p>
        </w:tc>
        <w:tc>
          <w:tcPr>
            <w:tcW w:w="0" w:type="dxa"/>
            <w:vAlign w:val="bottom"/>
          </w:tcPr>
          <w:p>
            <w:pPr>
              <w:spacing w:after="0"/>
              <w:rPr>
                <w:sz w:val="1"/>
                <w:szCs w:val="1"/>
                <w:color w:val="auto"/>
              </w:rPr>
            </w:pPr>
          </w:p>
        </w:tc>
      </w:tr>
      <w:tr>
        <w:trPr>
          <w:trHeight w:val="148"/>
        </w:trPr>
        <w:tc>
          <w:tcPr>
            <w:tcW w:w="3420" w:type="dxa"/>
            <w:vAlign w:val="bottom"/>
          </w:tcPr>
          <w:p>
            <w:pPr>
              <w:ind w:left="20"/>
              <w:spacing w:after="0" w:line="149" w:lineRule="exact"/>
              <w:rPr>
                <w:sz w:val="20"/>
                <w:szCs w:val="20"/>
                <w:color w:val="auto"/>
              </w:rPr>
            </w:pPr>
            <w:r>
              <w:rPr>
                <w:rFonts w:ascii="Arial" w:cs="Arial" w:eastAsia="Arial" w:hAnsi="Arial"/>
                <w:sz w:val="14"/>
                <w:szCs w:val="14"/>
                <w:color w:val="auto"/>
              </w:rPr>
              <w:t>Issuance of restricted stock</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23,000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Warrants issued with debt financing</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48"/>
        </w:trPr>
        <w:tc>
          <w:tcPr>
            <w:tcW w:w="3420" w:type="dxa"/>
            <w:vAlign w:val="bottom"/>
          </w:tcPr>
          <w:p>
            <w:pPr>
              <w:ind w:left="20"/>
              <w:spacing w:after="0" w:line="149" w:lineRule="exact"/>
              <w:rPr>
                <w:sz w:val="20"/>
                <w:szCs w:val="20"/>
                <w:color w:val="auto"/>
              </w:rPr>
            </w:pPr>
            <w:r>
              <w:rPr>
                <w:rFonts w:ascii="Arial" w:cs="Arial" w:eastAsia="Arial" w:hAnsi="Arial"/>
                <w:sz w:val="14"/>
                <w:szCs w:val="14"/>
                <w:color w:val="auto"/>
              </w:rPr>
              <w:t>Forfeiture of restricted stock</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(67,628)</w:t>
            </w:r>
          </w:p>
        </w:tc>
        <w:tc>
          <w:tcPr>
            <w:tcW w:w="2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common stock in At-the-Market offerings</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of offering costs of $0.2 million)</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4,715,000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27,494</w:t>
            </w: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27,499</w:t>
            </w:r>
          </w:p>
        </w:tc>
        <w:tc>
          <w:tcPr>
            <w:tcW w:w="0" w:type="dxa"/>
            <w:vAlign w:val="bottom"/>
          </w:tcPr>
          <w:p>
            <w:pPr>
              <w:spacing w:after="0"/>
              <w:rPr>
                <w:sz w:val="1"/>
                <w:szCs w:val="1"/>
                <w:color w:val="auto"/>
              </w:rPr>
            </w:pPr>
          </w:p>
        </w:tc>
      </w:tr>
      <w:tr>
        <w:trPr>
          <w:trHeight w:val="130"/>
        </w:trPr>
        <w:tc>
          <w:tcPr>
            <w:tcW w:w="3420" w:type="dxa"/>
            <w:vAlign w:val="bottom"/>
          </w:tcPr>
          <w:p>
            <w:pPr>
              <w:ind w:left="20"/>
              <w:spacing w:after="0" w:line="130" w:lineRule="exact"/>
              <w:rPr>
                <w:sz w:val="20"/>
                <w:szCs w:val="20"/>
                <w:color w:val="auto"/>
              </w:rPr>
            </w:pPr>
            <w:r>
              <w:rPr>
                <w:rFonts w:ascii="Arial" w:cs="Arial" w:eastAsia="Arial" w:hAnsi="Arial"/>
                <w:sz w:val="14"/>
                <w:szCs w:val="14"/>
                <w:color w:val="auto"/>
              </w:rPr>
              <w:t>Compensation in respect of restricted stock granted to</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20" w:type="dxa"/>
            <w:vAlign w:val="bottom"/>
          </w:tcPr>
          <w:p>
            <w:pPr>
              <w:ind w:left="20"/>
              <w:spacing w:after="0"/>
              <w:rPr>
                <w:sz w:val="20"/>
                <w:szCs w:val="20"/>
                <w:color w:val="auto"/>
              </w:rPr>
            </w:pPr>
            <w:r>
              <w:rPr>
                <w:rFonts w:ascii="Arial" w:cs="Arial" w:eastAsia="Arial" w:hAnsi="Arial"/>
                <w:sz w:val="14"/>
                <w:szCs w:val="14"/>
                <w:color w:val="auto"/>
              </w:rPr>
              <w:t>employees, directors and consultants</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1,882</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1,882</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(35,156)</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(35,156)</w:t>
            </w:r>
          </w:p>
        </w:tc>
        <w:tc>
          <w:tcPr>
            <w:tcW w:w="0" w:type="dxa"/>
            <w:vAlign w:val="bottom"/>
          </w:tcPr>
          <w:p>
            <w:pPr>
              <w:spacing w:after="0"/>
              <w:rPr>
                <w:sz w:val="1"/>
                <w:szCs w:val="1"/>
                <w:color w:val="auto"/>
              </w:rPr>
            </w:pPr>
          </w:p>
        </w:tc>
      </w:tr>
      <w:tr>
        <w:trPr>
          <w:trHeight w:val="182"/>
        </w:trPr>
        <w:tc>
          <w:tcPr>
            <w:tcW w:w="34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Balance at March 31, 2019</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88,582,227</w:t>
            </w:r>
          </w:p>
        </w:tc>
        <w:tc>
          <w:tcPr>
            <w:tcW w:w="14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89</w:t>
            </w:r>
          </w:p>
        </w:tc>
        <w:tc>
          <w:tcPr>
            <w:tcW w:w="4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582,900</w:t>
            </w:r>
          </w:p>
        </w:tc>
        <w:tc>
          <w:tcPr>
            <w:tcW w:w="4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93"/>
              </w:rPr>
              <w:t>41,309</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(234)</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(563,501)</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19,254</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420" w:type="dxa"/>
            <w:vAlign w:val="bottom"/>
          </w:tcPr>
          <w:p>
            <w:pPr>
              <w:ind w:left="20"/>
              <w:spacing w:after="0" w:line="149" w:lineRule="exact"/>
              <w:rPr>
                <w:sz w:val="20"/>
                <w:szCs w:val="20"/>
                <w:color w:val="auto"/>
              </w:rPr>
            </w:pPr>
            <w:r>
              <w:rPr>
                <w:rFonts w:ascii="Arial" w:cs="Arial" w:eastAsia="Arial" w:hAnsi="Arial"/>
                <w:sz w:val="14"/>
                <w:szCs w:val="14"/>
                <w:color w:val="auto"/>
              </w:rPr>
              <w:t>Balance at January 1, 2020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5"/>
              </w:rPr>
              <w:t>109,425,243</w:t>
            </w:r>
          </w:p>
        </w:tc>
        <w:tc>
          <w:tcPr>
            <w:tcW w:w="140" w:type="dxa"/>
            <w:vAlign w:val="bottom"/>
          </w:tcPr>
          <w:p>
            <w:pPr>
              <w:spacing w:after="0"/>
              <w:rPr>
                <w:sz w:val="12"/>
                <w:szCs w:val="12"/>
                <w:color w:val="auto"/>
              </w:rPr>
            </w:pPr>
          </w:p>
        </w:tc>
        <w:tc>
          <w:tcPr>
            <w:tcW w:w="26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w w:val="85"/>
              </w:rPr>
              <w:t>109</w:t>
            </w:r>
          </w:p>
        </w:tc>
        <w:tc>
          <w:tcPr>
            <w:tcW w:w="4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739,956</w:t>
            </w:r>
          </w:p>
        </w:tc>
        <w:tc>
          <w:tcPr>
            <w:tcW w:w="40" w:type="dxa"/>
            <w:vAlign w:val="bottom"/>
          </w:tcPr>
          <w:p>
            <w:pPr>
              <w:spacing w:after="0"/>
              <w:rPr>
                <w:sz w:val="12"/>
                <w:szCs w:val="12"/>
                <w:color w:val="auto"/>
              </w:rPr>
            </w:pPr>
          </w:p>
        </w:tc>
        <w:tc>
          <w:tcPr>
            <w:tcW w:w="460" w:type="dxa"/>
            <w:vAlign w:val="bottom"/>
          </w:tcPr>
          <w:p>
            <w:pPr>
              <w:ind w:left="40"/>
              <w:spacing w:after="0" w:line="149" w:lineRule="exact"/>
              <w:rPr>
                <w:sz w:val="20"/>
                <w:szCs w:val="20"/>
                <w:color w:val="auto"/>
              </w:rPr>
            </w:pPr>
            <w:r>
              <w:rPr>
                <w:rFonts w:ascii="Arial" w:cs="Arial" w:eastAsia="Arial" w:hAnsi="Arial"/>
                <w:sz w:val="14"/>
                <w:szCs w:val="14"/>
                <w:color w:val="auto"/>
                <w:w w:val="93"/>
              </w:rPr>
              <w:t>41,309</w:t>
            </w:r>
          </w:p>
        </w:tc>
        <w:tc>
          <w:tcPr>
            <w:tcW w:w="16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(234)</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(701,216)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38,615</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common stock in connection with exercise</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8"/>
        </w:trPr>
        <w:tc>
          <w:tcPr>
            <w:tcW w:w="3420" w:type="dxa"/>
            <w:vAlign w:val="bottom"/>
          </w:tcPr>
          <w:p>
            <w:pPr>
              <w:ind w:left="20"/>
              <w:spacing w:after="0" w:line="149" w:lineRule="exact"/>
              <w:rPr>
                <w:sz w:val="20"/>
                <w:szCs w:val="20"/>
                <w:color w:val="auto"/>
              </w:rPr>
            </w:pPr>
            <w:r>
              <w:rPr>
                <w:rFonts w:ascii="Arial" w:cs="Arial" w:eastAsia="Arial" w:hAnsi="Arial"/>
                <w:sz w:val="14"/>
                <w:szCs w:val="14"/>
                <w:color w:val="auto"/>
              </w:rPr>
              <w:t>Issuance of restricted stock</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774,300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Forfeiture of restricted stock</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(10,000)</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tcPr>
          <w:p>
            <w:pPr>
              <w:ind w:left="20"/>
              <w:spacing w:after="0" w:line="130" w:lineRule="exact"/>
              <w:rPr>
                <w:sz w:val="20"/>
                <w:szCs w:val="20"/>
                <w:color w:val="auto"/>
              </w:rPr>
            </w:pPr>
            <w:r>
              <w:rPr>
                <w:rFonts w:ascii="Arial" w:cs="Arial" w:eastAsia="Arial" w:hAnsi="Arial"/>
                <w:sz w:val="14"/>
                <w:szCs w:val="14"/>
                <w:color w:val="auto"/>
              </w:rPr>
              <w:t>Compensation in respect of restricted stock granted to</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20" w:type="dxa"/>
            <w:vAlign w:val="bottom"/>
          </w:tcPr>
          <w:p>
            <w:pPr>
              <w:ind w:left="20"/>
              <w:spacing w:after="0"/>
              <w:rPr>
                <w:sz w:val="20"/>
                <w:szCs w:val="20"/>
                <w:color w:val="auto"/>
              </w:rPr>
            </w:pPr>
            <w:r>
              <w:rPr>
                <w:rFonts w:ascii="Arial" w:cs="Arial" w:eastAsia="Arial" w:hAnsi="Arial"/>
                <w:sz w:val="14"/>
                <w:szCs w:val="14"/>
                <w:color w:val="auto"/>
              </w:rPr>
              <w:t>employees, directors and consultants</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11,068</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11,068</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(51,116)</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(51,116)</w:t>
            </w:r>
          </w:p>
        </w:tc>
        <w:tc>
          <w:tcPr>
            <w:tcW w:w="0" w:type="dxa"/>
            <w:vAlign w:val="bottom"/>
          </w:tcPr>
          <w:p>
            <w:pPr>
              <w:spacing w:after="0"/>
              <w:rPr>
                <w:sz w:val="1"/>
                <w:szCs w:val="1"/>
                <w:color w:val="auto"/>
              </w:rPr>
            </w:pPr>
          </w:p>
        </w:tc>
      </w:tr>
      <w:tr>
        <w:trPr>
          <w:trHeight w:val="142"/>
        </w:trPr>
        <w:tc>
          <w:tcPr>
            <w:tcW w:w="3420" w:type="dxa"/>
            <w:vAlign w:val="bottom"/>
          </w:tcPr>
          <w:p>
            <w:pPr>
              <w:ind w:left="20"/>
              <w:spacing w:after="0" w:line="142" w:lineRule="exact"/>
              <w:rPr>
                <w:sz w:val="20"/>
                <w:szCs w:val="20"/>
                <w:color w:val="auto"/>
              </w:rPr>
            </w:pPr>
            <w:r>
              <w:rPr>
                <w:rFonts w:ascii="Arial" w:cs="Arial" w:eastAsia="Arial" w:hAnsi="Arial"/>
                <w:sz w:val="14"/>
                <w:szCs w:val="14"/>
                <w:color w:val="auto"/>
              </w:rPr>
              <w:t>Balance at March 31, 2020</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110,209,293</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110</w:t>
            </w:r>
          </w:p>
        </w:tc>
        <w:tc>
          <w:tcPr>
            <w:tcW w:w="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751,103</w:t>
            </w:r>
          </w:p>
        </w:tc>
        <w:tc>
          <w:tcPr>
            <w:tcW w:w="4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93"/>
              </w:rPr>
              <w:t>41,309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(234)</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(752,332)</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(1,353)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Amount less than one thousand dollars.</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89"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Three months ended</w:t>
      </w:r>
    </w:p>
    <w:p>
      <w:pPr>
        <w:ind w:left="74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7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142"/>
        </w:trPr>
        <w:tc>
          <w:tcPr>
            <w:tcW w:w="67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Consolidated net loss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(51,116)</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(35,156)</w:t>
            </w:r>
          </w:p>
        </w:tc>
      </w:tr>
      <w:tr>
        <w:trPr>
          <w:trHeight w:val="149"/>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stock compensation expense</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1,882</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premium on investment securities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w:t>
            </w: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Amortization of debt issuance costs</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leasehold interest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Non-cash change in lease liability and right-of-use asset</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 in fair value of notes payable</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Changes in assets and liabilities: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 in other current assets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(1,057)</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(2,454)</w:t>
            </w:r>
          </w:p>
        </w:tc>
      </w:tr>
      <w:tr>
        <w:trPr>
          <w:trHeight w:val="148"/>
        </w:trPr>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rPr>
              <w:t>Decrease in accrued interest receivable</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r>
      <w:tr>
        <w:trPr>
          <w:trHeight w:val="149"/>
        </w:trPr>
        <w:tc>
          <w:tcPr>
            <w:tcW w:w="6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increase in accounts payable and accrued expenses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(1,567)</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2,240</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rPr>
              <w:t>Decrease in lease liabilities</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(1,967)</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(339)</w:t>
            </w:r>
          </w:p>
        </w:tc>
      </w:tr>
      <w:tr>
        <w:trPr>
          <w:trHeight w:val="148"/>
        </w:trPr>
        <w:tc>
          <w:tcPr>
            <w:tcW w:w="6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increase in interest payable</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(832)</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20"/>
              <w:spacing w:after="0" w:line="149" w:lineRule="exact"/>
              <w:rPr>
                <w:sz w:val="20"/>
                <w:szCs w:val="20"/>
                <w:color w:val="auto"/>
              </w:rPr>
            </w:pPr>
            <w:r>
              <w:rPr>
                <w:rFonts w:ascii="Arial" w:cs="Arial" w:eastAsia="Arial" w:hAnsi="Arial"/>
                <w:sz w:val="14"/>
                <w:szCs w:val="14"/>
                <w:color w:val="auto"/>
              </w:rPr>
              <w:t>Decrease in other liabilities</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(18,898)</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(559)</w:t>
            </w:r>
          </w:p>
        </w:tc>
      </w:tr>
      <w:tr>
        <w:trPr>
          <w:trHeight w:val="148"/>
        </w:trPr>
        <w:tc>
          <w:tcPr>
            <w:tcW w:w="67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 deferred revenue</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w:t>
            </w:r>
          </w:p>
        </w:tc>
      </w:tr>
      <w:tr>
        <w:trPr>
          <w:trHeight w:val="142"/>
        </w:trPr>
        <w:tc>
          <w:tcPr>
            <w:tcW w:w="678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used in operating activities</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(62,115)</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(33,351)</w:t>
            </w:r>
          </w:p>
        </w:tc>
        <w:tc>
          <w:tcPr>
            <w:tcW w:w="220" w:type="dxa"/>
            <w:vAlign w:val="bottom"/>
            <w:tcBorders>
              <w:bottom w:val="single" w:sz="8" w:color="CCEEFF"/>
            </w:tcBorders>
          </w:tcPr>
          <w:p>
            <w:pPr>
              <w:spacing w:after="0"/>
              <w:rPr>
                <w:sz w:val="12"/>
                <w:szCs w:val="12"/>
                <w:color w:val="auto"/>
              </w:rPr>
            </w:pPr>
          </w:p>
        </w:tc>
      </w:tr>
      <w:tr>
        <w:trPr>
          <w:trHeight w:val="142"/>
        </w:trPr>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CASH FLOWS FROM INVESTING ACTIVITIES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maturity of short-term securities</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7,050</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Investment in held-to-maturity securities</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(7,482)</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(8,171)</w:t>
            </w: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Purchases of equipment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w:t>
            </w:r>
          </w:p>
        </w:tc>
      </w:tr>
      <w:tr>
        <w:trPr>
          <w:trHeight w:val="142"/>
        </w:trPr>
        <w:tc>
          <w:tcPr>
            <w:tcW w:w="678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1,450</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(1,135)</w:t>
            </w:r>
          </w:p>
        </w:tc>
        <w:tc>
          <w:tcPr>
            <w:tcW w:w="220" w:type="dxa"/>
            <w:vAlign w:val="bottom"/>
            <w:tcBorders>
              <w:bottom w:val="single" w:sz="8" w:color="CCEEFF"/>
            </w:tcBorders>
          </w:tcPr>
          <w:p>
            <w:pPr>
              <w:spacing w:after="0"/>
              <w:rPr>
                <w:sz w:val="12"/>
                <w:szCs w:val="12"/>
                <w:color w:val="auto"/>
              </w:rPr>
            </w:pPr>
          </w:p>
        </w:tc>
      </w:tr>
      <w:tr>
        <w:trPr>
          <w:trHeight w:val="142"/>
        </w:trPr>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CASH FLOWS FROM FINANCING ACTIVITIES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sale of common stock, net</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27,678</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Proceeds from exercise of options</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debt financings</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29,740</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Financing costs paid</w:t>
            </w: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(538)</w:t>
            </w:r>
          </w:p>
        </w:tc>
      </w:tr>
      <w:tr>
        <w:trPr>
          <w:trHeight w:val="142"/>
        </w:trPr>
        <w:tc>
          <w:tcPr>
            <w:tcW w:w="67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56,880</w:t>
            </w:r>
          </w:p>
        </w:tc>
        <w:tc>
          <w:tcPr>
            <w:tcW w:w="220" w:type="dxa"/>
            <w:vAlign w:val="bottom"/>
            <w:tcBorders>
              <w:top w:val="single" w:sz="8" w:color="CCEEFF"/>
            </w:tcBorders>
            <w:shd w:val="clear" w:color="auto" w:fill="CCEEFF"/>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(DECREASE) INCREASE IN CASH, CASH EQUIVALENTS AND RESTRICTED CASH</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(60,584)</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22,394</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113,887</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43,199</w:t>
            </w:r>
          </w:p>
        </w:tc>
        <w:tc>
          <w:tcPr>
            <w:tcW w:w="220" w:type="dxa"/>
            <w:vAlign w:val="bottom"/>
            <w:shd w:val="clear" w:color="auto" w:fill="CCEEFF"/>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678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53,303</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65,593</w:t>
            </w:r>
          </w:p>
        </w:tc>
        <w:tc>
          <w:tcPr>
            <w:tcW w:w="220" w:type="dxa"/>
            <w:vAlign w:val="bottom"/>
            <w:tcBorders>
              <w:bottom w:val="single" w:sz="8" w:color="CCEEFF"/>
            </w:tcBorders>
            <w:shd w:val="clear" w:color="auto" w:fill="CCEEFF"/>
          </w:tcPr>
          <w:p>
            <w:pPr>
              <w:spacing w:after="0"/>
              <w:rPr>
                <w:sz w:val="12"/>
                <w:szCs w:val="12"/>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9"/>
        </w:trPr>
        <w:tc>
          <w:tcPr>
            <w:tcW w:w="6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8"/>
        </w:trPr>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Reconciliation to amounts on consolidated balance sheets: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6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52,051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64,349</w:t>
            </w: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1,252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1,244</w:t>
            </w:r>
          </w:p>
        </w:tc>
        <w:tc>
          <w:tcPr>
            <w:tcW w:w="220" w:type="dxa"/>
            <w:vAlign w:val="bottom"/>
            <w:tcBorders>
              <w:bottom w:val="single" w:sz="8" w:color="CCEEFF"/>
            </w:tcBorders>
          </w:tcPr>
          <w:p>
            <w:pPr>
              <w:spacing w:after="0"/>
              <w:rPr>
                <w:sz w:val="12"/>
                <w:szCs w:val="12"/>
                <w:color w:val="auto"/>
              </w:rPr>
            </w:pPr>
          </w:p>
        </w:tc>
      </w:tr>
      <w:tr>
        <w:trPr>
          <w:trHeight w:val="142"/>
        </w:trPr>
        <w:tc>
          <w:tcPr>
            <w:tcW w:w="678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53,303</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65,593</w:t>
            </w:r>
          </w:p>
        </w:tc>
        <w:tc>
          <w:tcPr>
            <w:tcW w:w="220" w:type="dxa"/>
            <w:vAlign w:val="bottom"/>
            <w:tcBorders>
              <w:bottom w:val="single" w:sz="8" w:color="CCEEFF"/>
            </w:tcBorders>
            <w:shd w:val="clear" w:color="auto" w:fill="CCEEFF"/>
          </w:tcPr>
          <w:p>
            <w:pPr>
              <w:spacing w:after="0"/>
              <w:rPr>
                <w:sz w:val="12"/>
                <w:szCs w:val="12"/>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9"/>
        </w:trPr>
        <w:tc>
          <w:tcPr>
            <w:tcW w:w="6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9"/>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paid for:</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6780" w:type="dxa"/>
            <w:vAlign w:val="bottom"/>
          </w:tcPr>
          <w:p>
            <w:pPr>
              <w:ind w:left="12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777</w:t>
            </w:r>
          </w:p>
        </w:tc>
        <w:tc>
          <w:tcPr>
            <w:tcW w:w="20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r>
      <w:tr>
        <w:trPr>
          <w:trHeight w:val="148"/>
        </w:trPr>
        <w:tc>
          <w:tcPr>
            <w:tcW w:w="6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NONCASH TRANSACTIONS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Accrued offering costs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220" w:type="dxa"/>
            <w:vAlign w:val="bottom"/>
            <w:shd w:val="clear" w:color="auto" w:fill="CCEEFF"/>
          </w:tcPr>
          <w:p>
            <w:pPr>
              <w:spacing w:after="0"/>
              <w:rPr>
                <w:sz w:val="12"/>
                <w:szCs w:val="12"/>
                <w:color w:val="auto"/>
              </w:rPr>
            </w:pPr>
          </w:p>
        </w:tc>
      </w:tr>
      <w:tr>
        <w:trPr>
          <w:trHeight w:val="149"/>
        </w:trPr>
        <w:tc>
          <w:tcPr>
            <w:tcW w:w="6780" w:type="dxa"/>
            <w:vAlign w:val="bottom"/>
          </w:tcPr>
          <w:p>
            <w:pPr>
              <w:ind w:left="20"/>
              <w:spacing w:after="0" w:line="149" w:lineRule="exact"/>
              <w:rPr>
                <w:sz w:val="20"/>
                <w:szCs w:val="20"/>
                <w:color w:val="auto"/>
              </w:rPr>
            </w:pPr>
            <w:r>
              <w:rPr>
                <w:rFonts w:ascii="Arial" w:cs="Arial" w:eastAsia="Arial" w:hAnsi="Arial"/>
                <w:sz w:val="14"/>
                <w:szCs w:val="14"/>
                <w:color w:val="auto"/>
              </w:rPr>
              <w:t>Deferred financing costs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1,157</w:t>
            </w:r>
          </w:p>
        </w:tc>
        <w:tc>
          <w:tcPr>
            <w:tcW w:w="220" w:type="dxa"/>
            <w:vAlign w:val="bottom"/>
          </w:tcPr>
          <w:p>
            <w:pPr>
              <w:spacing w:after="0"/>
              <w:rPr>
                <w:sz w:val="12"/>
                <w:szCs w:val="12"/>
                <w:color w:val="auto"/>
              </w:rPr>
            </w:pPr>
          </w:p>
        </w:tc>
      </w:tr>
      <w:tr>
        <w:trPr>
          <w:trHeight w:val="148"/>
        </w:trPr>
        <w:tc>
          <w:tcPr>
            <w:tcW w:w="6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Warrants issued with debt financing</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220" w:type="dxa"/>
            <w:vAlign w:val="bottom"/>
            <w:shd w:val="clear" w:color="auto" w:fill="CCEEFF"/>
          </w:tcPr>
          <w:p>
            <w:pPr>
              <w:spacing w:after="0"/>
              <w:rPr>
                <w:sz w:val="12"/>
                <w:szCs w:val="1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and our subsidiaries.</w:t>
      </w:r>
    </w:p>
    <w:p>
      <w:pPr>
        <w:spacing w:after="0" w:line="126" w:lineRule="exact"/>
        <w:rPr>
          <w:sz w:val="20"/>
          <w:szCs w:val="20"/>
          <w:color w:val="auto"/>
        </w:rPr>
      </w:pPr>
    </w:p>
    <w:p>
      <w:pPr>
        <w:ind w:left="60" w:right="1679"/>
        <w:spacing w:after="0" w:line="464"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i w:val="1"/>
          <w:iCs w:val="1"/>
          <w:color w:val="auto"/>
        </w:rPr>
        <w:t>Description of Business</w:t>
      </w:r>
    </w:p>
    <w:p>
      <w:pPr>
        <w:jc w:val="both"/>
        <w:ind w:left="60" w:right="59" w:firstLine="486"/>
        <w:spacing w:after="0" w:line="287" w:lineRule="auto"/>
        <w:rPr>
          <w:sz w:val="20"/>
          <w:szCs w:val="20"/>
          <w:color w:val="auto"/>
        </w:rPr>
      </w:pPr>
      <w:r>
        <w:rPr>
          <w:rFonts w:ascii="Arial" w:cs="Arial" w:eastAsia="Arial" w:hAnsi="Arial"/>
          <w:sz w:val="16"/>
          <w:szCs w:val="16"/>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two lead therapies, ublituximab (TG-1101) and umbralisib (TGR-1202), in pivotal trials for CLL and NHL, with ublituximab also in pivotal trials for MS. Ublituximab is a novel anti-CD20 monoclonal antibody (mAb) that has been glycoengineered for enhanced potency over first-generation antibodies. Umbralisib is an oral, once daily, dual inhibitor of PI3K-delta and CK1-epsilon, which may lead to a differentiated safety profile. When used together in combination therapy, ublituximab and umbralisib are referred to as “U2”. Additionally, in early clinical development we have an anti-PD-L1 monoclonal antibody referred to as cosibelimab (TG-1501), an oral Bruton’s Tyrosine Kinase (BTK) inhibitor referred to as TG-1701, and an anti-CD47/CD19 bispecific antibody referred to as TG-1801.</w:t>
      </w:r>
    </w:p>
    <w:p>
      <w:pPr>
        <w:spacing w:after="0" w:line="64" w:lineRule="exact"/>
        <w:rPr>
          <w:sz w:val="20"/>
          <w:szCs w:val="20"/>
          <w:color w:val="auto"/>
        </w:rPr>
      </w:pPr>
    </w:p>
    <w:p>
      <w:pPr>
        <w:jc w:val="both"/>
        <w:ind w:left="60" w:right="59" w:firstLine="486"/>
        <w:spacing w:after="0" w:line="286" w:lineRule="auto"/>
        <w:rPr>
          <w:sz w:val="20"/>
          <w:szCs w:val="20"/>
          <w:color w:val="auto"/>
        </w:rPr>
      </w:pPr>
      <w:r>
        <w:rPr>
          <w:rFonts w:ascii="Arial" w:cs="Arial" w:eastAsia="Arial" w:hAnsi="Arial"/>
          <w:sz w:val="17"/>
          <w:szCs w:val="17"/>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57" w:lineRule="exact"/>
        <w:rPr>
          <w:sz w:val="20"/>
          <w:szCs w:val="20"/>
          <w:color w:val="auto"/>
        </w:rPr>
      </w:pPr>
    </w:p>
    <w:p>
      <w:pPr>
        <w:jc w:val="both"/>
        <w:ind w:left="60" w:right="59" w:firstLine="492"/>
        <w:spacing w:after="0" w:line="288"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2019. The accompanying condensed December 31, 2019 balance sheet has been derived from these statements. The results of operations for the three months ended March 31, 2020 are not necessarily indicative of the results that may be expected for the entire fiscal year or any other interim period.</w:t>
      </w:r>
    </w:p>
    <w:p>
      <w:pPr>
        <w:spacing w:after="0" w:line="60"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In December 2018, the Company created an Australian corporation, TG Therapeutics AUS Pty Ltd. (“TG AUS”), as a wholly-owned subsidiary. This corporation’s functional currency, the Australian dollar, is also its reporting currency, and its financial statements are translated to U.S. dollars, the Company’s reporting currency, prior to consolidation. The activities of TG AUS result in immaterial currency translation adjustments and, thus, are included in Other Income/Expense on the Company’s condensed consolidated statement of operations. The accompanying consolidated financial statements include the accounts of the Company and its subsidiaries, and all intercompany accounts and transactions have been eliminated in consolidation.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We have incurred operating losses since our inception, expect to continue to incur operating losses for the foreseeable future, and may never become profitable. As of March 31, 2020, we have an accumulated deficit of approximately $752.3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Our major sources of cash have been proceeds from the private placement and public offering of equity securities, as well as debt financings.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87"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As of March 31, 2020, we had $78.3 million in cash and cash equivalents, and investment securities. The Company believes its cash, cash equivalents, and investment securities on hand as of March 31, 2020, along with the additional capital raised in the second quarter of 2020 (see Note 5) will provide sufficient liquidity for more than a twelve-month period from the date of filing this Quarterly Report on Form 10-Q.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50" w:lineRule="exact"/>
        <w:rPr>
          <w:sz w:val="20"/>
          <w:szCs w:val="20"/>
          <w:color w:val="auto"/>
        </w:rPr>
      </w:pPr>
    </w:p>
    <w:p>
      <w:pPr>
        <w:ind w:left="60" w:right="1659" w:firstLine="492"/>
        <w:spacing w:after="0" w:line="453" w:lineRule="auto"/>
        <w:rPr>
          <w:sz w:val="20"/>
          <w:szCs w:val="20"/>
          <w:color w:val="auto"/>
        </w:rPr>
      </w:pPr>
      <w:r>
        <w:rPr>
          <w:rFonts w:ascii="Arial" w:cs="Arial" w:eastAsia="Arial" w:hAnsi="Arial"/>
          <w:sz w:val="18"/>
          <w:szCs w:val="18"/>
          <w:color w:val="auto"/>
        </w:rPr>
        <w:t xml:space="preserve">Our common stock is listed on the Nasdaq Capital Market and trades under the symbol TGTX. </w:t>
      </w:r>
      <w:r>
        <w:rPr>
          <w:rFonts w:ascii="Arial" w:cs="Arial" w:eastAsia="Arial" w:hAnsi="Arial"/>
          <w:sz w:val="18"/>
          <w:szCs w:val="18"/>
          <w:b w:val="1"/>
          <w:bCs w:val="1"/>
          <w:i w:val="1"/>
          <w:iCs w:val="1"/>
          <w:color w:val="auto"/>
        </w:rPr>
        <w:t>Recently Issued Accounting Standards</w:t>
      </w:r>
    </w:p>
    <w:p>
      <w:pPr>
        <w:spacing w:after="0" w:line="2"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51"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Accounting Standard Codification (“ASC”) 840, Leases (“ASC 840”).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151"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ASU 2018-11 is effective for public business entities for fiscal years beginning after December 15, 2018, and interim periods within those fiscal years, with earlier adoption permitted. The Company adopted ASU 2018-11 on January 1, 2019 using a modified retrospective method and will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liabilities to our consolidated balance sheets at January 1, 2019, primarily relating to our lease of office space (see Note 8). The impact to our consolidated statements of operations was not material as a result of this standard.</w:t>
      </w:r>
    </w:p>
    <w:p>
      <w:pPr>
        <w:spacing w:after="0" w:line="138"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 xml:space="preserve">ASU 2018-07 is effective for public business entities for fiscal years beginning after December 15, 2018, including interim periods within that fiscal year. Early adoption is permitted, but no earlier than an entity’s adoption date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65"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condensed consolidated financial statements.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accrued expenses and stock-based compensation. Actual results could differ from those estimates. Such differences could be material to the financial statements.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58"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We record cash pledged or held in trust as restricted cash. As of March 31, 2020 and December 31, 2019, we have approximately $1.3 million of restricted cash pledged to secure a line of credit as a security deposit for an Office Agreement (see Note 8).</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58"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Investment securities at March 31, 2020 and December 31, 2019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36"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Unrealized gains, if determined to be temporary, are included in accumulated other comprehensive income in equity. Dividend and interest income are recognized when earned.</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Risk</w:t>
      </w:r>
    </w:p>
    <w:p>
      <w:pPr>
        <w:spacing w:after="0" w:line="158"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Company recognizes revenue under ASC 606. The core principle of this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79" w:lineRule="exact"/>
        <w:rPr>
          <w:sz w:val="20"/>
          <w:szCs w:val="20"/>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225"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46" w:lineRule="exact"/>
        <w:rPr>
          <w:sz w:val="20"/>
          <w:szCs w:val="20"/>
          <w:color w:val="auto"/>
        </w:rPr>
      </w:pPr>
    </w:p>
    <w:p>
      <w:pPr>
        <w:ind w:left="1040" w:right="79" w:hanging="315"/>
        <w:spacing w:after="0" w:line="308"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customer can benefit from the good or service either on its own or together with other resources that are readily available to the customer (i.e., the good or service is capable of being distinct); and</w:t>
      </w:r>
    </w:p>
    <w:p>
      <w:pPr>
        <w:spacing w:after="0" w:line="146"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84"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43"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52"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98" w:lineRule="exact"/>
        <w:rPr>
          <w:sz w:val="20"/>
          <w:szCs w:val="20"/>
          <w:color w:val="auto"/>
        </w:rPr>
      </w:pPr>
    </w:p>
    <w:p>
      <w:pPr>
        <w:jc w:val="both"/>
        <w:ind w:left="60" w:right="59" w:firstLine="492"/>
        <w:spacing w:after="0" w:line="285"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3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Prepaid research and development in our condensed consolidated balance sheets includes, among other things, certain costs to third party service providers related to development and manufacturing services as well as clinical development. These agreements often require payments in advance of services performed or goods received. Accordingly, as of March 31, 2020 and December 31, 2019, we recorded approximately $7.7 million and $8.1 million, respectively, in prepaid research and development related to such advance agreements.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2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Aid, Relief and Economic Security Act (“CARES Act”)</w:t>
      </w:r>
    </w:p>
    <w:p>
      <w:pPr>
        <w:spacing w:after="0" w:line="198"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In response to the COVID-19 pandemic, the Coronavirus Aid, Relief and Economic Security Act (“CARES Act”) was signed into law on March 27, 2020. The CARES Act, among other things, includes tax provisions relating to refundable payroll tax credits, deferment of employer’s social security payments, net operating loss utilization and carryback periods, modifications to the net interest deduction limitations and technical corrections to tax depreciation methods for qualified improvement property. At this time, the Company does not believe that the CARES Act will have a material impact on the Company’s income tax provision for 2020. The Company will continue to evaluate the impact of the CARES Act on its financial position, results of operations and cash flows.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We recognize all stock-based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stock-based payment awards that is ultimately expected to vest during the period. Forfeitures are recognized as they occur.</w:t>
      </w:r>
    </w:p>
    <w:p>
      <w:pPr>
        <w:spacing w:after="0" w:line="117"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 parties vest upon achievement of certain milestones, the total expense is uncertain. Compensation expense for such awards that vest upon the achievement of milestones is recognized when the achievement of such milestones becomes probable.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198"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the Company realized net income during the period presented. The amounts of potentially dilutive securities excluded from the calculation were 8,579,266 and 6,768,530 for the three months ended March 31, 2020 and 2019, respectively.</w:t>
      </w:r>
    </w:p>
    <w:p>
      <w:pPr>
        <w:spacing w:after="0" w:line="12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net loss per share attributable to common stockholders for the periods presented because including them would have been antidilutive:</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2220" w:type="dxa"/>
            <w:vAlign w:val="bottom"/>
            <w:gridSpan w:val="4"/>
          </w:tcPr>
          <w:p>
            <w:pPr>
              <w:ind w:left="6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668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r>
      <w:tr>
        <w:trPr>
          <w:trHeight w:val="210"/>
        </w:trPr>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5,828,852</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4,039,620</w:t>
            </w:r>
          </w:p>
        </w:tc>
        <w:tc>
          <w:tcPr>
            <w:tcW w:w="180" w:type="dxa"/>
            <w:vAlign w:val="bottom"/>
            <w:shd w:val="clear" w:color="auto" w:fill="CCEEFF"/>
          </w:tcPr>
          <w:p>
            <w:pPr>
              <w:spacing w:after="0"/>
              <w:rPr>
                <w:sz w:val="18"/>
                <w:szCs w:val="18"/>
                <w:color w:val="auto"/>
              </w:rPr>
            </w:pPr>
          </w:p>
        </w:tc>
      </w:tr>
      <w:tr>
        <w:trPr>
          <w:trHeight w:val="216"/>
        </w:trPr>
        <w:tc>
          <w:tcPr>
            <w:tcW w:w="6680" w:type="dxa"/>
            <w:vAlign w:val="bottom"/>
          </w:tcPr>
          <w:p>
            <w:pPr>
              <w:ind w:left="40"/>
              <w:spacing w:after="0"/>
              <w:rPr>
                <w:sz w:val="20"/>
                <w:szCs w:val="20"/>
                <w:color w:val="auto"/>
              </w:rPr>
            </w:pPr>
            <w:r>
              <w:rPr>
                <w:rFonts w:ascii="Arial" w:cs="Arial" w:eastAsia="Arial" w:hAnsi="Arial"/>
                <w:sz w:val="18"/>
                <w:szCs w:val="18"/>
                <w:color w:val="auto"/>
              </w:rPr>
              <w:t>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2,585,980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2,565,310</w:t>
            </w:r>
          </w:p>
        </w:tc>
        <w:tc>
          <w:tcPr>
            <w:tcW w:w="1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180" w:type="dxa"/>
            <w:vAlign w:val="bottom"/>
            <w:shd w:val="clear" w:color="auto" w:fill="CCEEFF"/>
          </w:tcPr>
          <w:p>
            <w:pPr>
              <w:spacing w:after="0"/>
              <w:rPr>
                <w:sz w:val="18"/>
                <w:szCs w:val="18"/>
                <w:color w:val="auto"/>
              </w:rPr>
            </w:pPr>
          </w:p>
        </w:tc>
      </w:tr>
      <w:tr>
        <w:trPr>
          <w:trHeight w:val="216"/>
        </w:trPr>
        <w:tc>
          <w:tcPr>
            <w:tcW w:w="6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Shares issuable upon note conversion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17,376</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16,542</w:t>
            </w:r>
          </w:p>
        </w:tc>
        <w:tc>
          <w:tcPr>
            <w:tcW w:w="180" w:type="dxa"/>
            <w:vAlign w:val="bottom"/>
            <w:tcBorders>
              <w:bottom w:val="single" w:sz="8" w:color="CCEEFF"/>
            </w:tcBorders>
          </w:tcPr>
          <w:p>
            <w:pPr>
              <w:spacing w:after="0"/>
              <w:rPr>
                <w:sz w:val="18"/>
                <w:szCs w:val="18"/>
                <w:color w:val="auto"/>
              </w:rPr>
            </w:pPr>
          </w:p>
        </w:tc>
      </w:tr>
      <w:tr>
        <w:trPr>
          <w:trHeight w:val="209"/>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8,579,266</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6,768,530</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198"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52" w:lineRule="exact"/>
        <w:rPr>
          <w:sz w:val="20"/>
          <w:szCs w:val="20"/>
          <w:color w:val="auto"/>
        </w:rPr>
      </w:pPr>
    </w:p>
    <w:p>
      <w:pPr>
        <w:jc w:val="both"/>
        <w:ind w:left="60" w:right="59" w:firstLine="492"/>
        <w:spacing w:after="0" w:line="253" w:lineRule="auto"/>
        <w:rPr>
          <w:sz w:val="20"/>
          <w:szCs w:val="20"/>
          <w:color w:val="auto"/>
        </w:rPr>
      </w:pPr>
      <w:r>
        <w:rPr>
          <w:rFonts w:ascii="Arial" w:cs="Arial" w:eastAsia="Arial" w:hAnsi="Arial"/>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CASH AND CASH EQUIVALENTS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tables summarize our cash and cash equivalents at March 31, 2020 and December 31, 2019:</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r>
      <w:tr>
        <w:trPr>
          <w:trHeight w:val="210"/>
        </w:trPr>
        <w:tc>
          <w:tcPr>
            <w:tcW w:w="6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Checking and bank deposits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47,905</w:t>
            </w:r>
          </w:p>
        </w:tc>
        <w:tc>
          <w:tcPr>
            <w:tcW w:w="20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110,135</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r>
      <w:tr>
        <w:trPr>
          <w:trHeight w:val="210"/>
        </w:trPr>
        <w:tc>
          <w:tcPr>
            <w:tcW w:w="682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52,051</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112,637</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INVESTMENT SECURITIES</w:t>
      </w:r>
    </w:p>
    <w:p>
      <w:pPr>
        <w:spacing w:after="0" w:line="18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Our investments as of March 31, 2020 and December 31, 2019 are classified as held-to-maturity. Held-to-maturity investments are recorded at amortized cost.</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summarize our investment securities at March 31, 2020 and December 31, 2019:</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right"/>
              <w:ind w:right="104"/>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5"/>
          </w:tcPr>
          <w:p>
            <w:pPr>
              <w:ind w:left="260"/>
              <w:spacing w:after="0" w:line="119" w:lineRule="exact"/>
              <w:rPr>
                <w:sz w:val="20"/>
                <w:szCs w:val="20"/>
                <w:color w:val="auto"/>
              </w:rPr>
            </w:pPr>
            <w:r>
              <w:rPr>
                <w:rFonts w:ascii="Arial" w:cs="Arial" w:eastAsia="Arial" w:hAnsi="Arial"/>
                <w:sz w:val="13"/>
                <w:szCs w:val="13"/>
                <w:b w:val="1"/>
                <w:bCs w:val="1"/>
                <w:color w:val="auto"/>
              </w:rPr>
              <w:t>Gross</w:t>
            </w:r>
          </w:p>
        </w:tc>
        <w:tc>
          <w:tcPr>
            <w:tcW w:w="60" w:type="dxa"/>
            <w:vAlign w:val="bottom"/>
          </w:tcPr>
          <w:p>
            <w:pPr>
              <w:spacing w:after="0"/>
              <w:rPr>
                <w:sz w:val="10"/>
                <w:szCs w:val="10"/>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cost, as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adjusted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6"/>
          </w:tcPr>
          <w:p>
            <w:pPr>
              <w:ind w:left="100"/>
              <w:spacing w:after="0"/>
              <w:rPr>
                <w:sz w:val="20"/>
                <w:szCs w:val="20"/>
                <w:color w:val="auto"/>
              </w:rPr>
            </w:pPr>
            <w:r>
              <w:rPr>
                <w:rFonts w:ascii="Arial" w:cs="Arial" w:eastAsia="Arial" w:hAnsi="Arial"/>
                <w:sz w:val="14"/>
                <w:szCs w:val="14"/>
                <w:b w:val="1"/>
                <w:bCs w:val="1"/>
                <w:color w:val="auto"/>
                <w:w w:val="94"/>
              </w:rPr>
              <w:t>holding gains</w:t>
            </w:r>
          </w:p>
        </w:tc>
        <w:tc>
          <w:tcPr>
            <w:tcW w:w="10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5"/>
              </w:rPr>
              <w:t>holding losses</w:t>
            </w:r>
          </w:p>
        </w:tc>
        <w:tc>
          <w:tcPr>
            <w:tcW w:w="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April 2020 and September 2020) (held-to-maturity)</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$ 26,284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340" w:type="dxa"/>
            <w:vAlign w:val="bottom"/>
            <w:gridSpan w:val="4"/>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6"/>
              </w:rPr>
              <w:t>$ 26,390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 securities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$ 26,284</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4"/>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$ 26,390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right"/>
              <w:ind w:right="84"/>
              <w:spacing w:after="0"/>
              <w:rPr>
                <w:sz w:val="20"/>
                <w:szCs w:val="20"/>
                <w:color w:val="auto"/>
              </w:rPr>
            </w:pPr>
            <w:r>
              <w:rPr>
                <w:rFonts w:ascii="Arial" w:cs="Arial" w:eastAsia="Arial" w:hAnsi="Arial"/>
                <w:sz w:val="14"/>
                <w:szCs w:val="14"/>
                <w:b w:val="1"/>
                <w:bCs w:val="1"/>
                <w:color w:val="auto"/>
              </w:rPr>
              <w:t>December 31, 2019</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8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Gross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Gross</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4"/>
              </w:rPr>
              <w:t>Estimated 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rPr>
              <w:t>cost, as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unrealized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adjusted</w:t>
            </w:r>
          </w:p>
        </w:tc>
        <w:tc>
          <w:tcPr>
            <w:tcW w:w="980" w:type="dxa"/>
            <w:vAlign w:val="bottom"/>
            <w:gridSpan w:val="6"/>
          </w:tcPr>
          <w:p>
            <w:pPr>
              <w:spacing w:after="0"/>
              <w:rPr>
                <w:sz w:val="20"/>
                <w:szCs w:val="20"/>
                <w:color w:val="auto"/>
              </w:rPr>
            </w:pPr>
            <w:r>
              <w:rPr>
                <w:rFonts w:ascii="Arial" w:cs="Arial" w:eastAsia="Arial" w:hAnsi="Arial"/>
                <w:sz w:val="14"/>
                <w:szCs w:val="14"/>
                <w:b w:val="1"/>
                <w:bCs w:val="1"/>
                <w:color w:val="auto"/>
              </w:rPr>
              <w:t>holding gains</w:t>
            </w:r>
          </w:p>
        </w:tc>
        <w:tc>
          <w:tcPr>
            <w:tcW w:w="1120" w:type="dxa"/>
            <w:vAlign w:val="bottom"/>
            <w:gridSpan w:val="8"/>
          </w:tcPr>
          <w:p>
            <w:pPr>
              <w:spacing w:after="0"/>
              <w:rPr>
                <w:sz w:val="20"/>
                <w:szCs w:val="20"/>
                <w:color w:val="auto"/>
              </w:rPr>
            </w:pPr>
            <w:r>
              <w:rPr>
                <w:rFonts w:ascii="Arial" w:cs="Arial" w:eastAsia="Arial" w:hAnsi="Arial"/>
                <w:sz w:val="14"/>
                <w:szCs w:val="14"/>
                <w:b w:val="1"/>
                <w:bCs w:val="1"/>
                <w:color w:val="auto"/>
              </w:rPr>
              <w:t>holding losses</w:t>
            </w:r>
          </w:p>
        </w:tc>
        <w:tc>
          <w:tcPr>
            <w:tcW w:w="6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January 2020 and September 2020) (held-to-maturity)</w:t>
            </w:r>
          </w:p>
        </w:tc>
        <w:tc>
          <w:tcPr>
            <w:tcW w:w="700" w:type="dxa"/>
            <w:vAlign w:val="bottom"/>
            <w:gridSpan w:val="2"/>
          </w:tcPr>
          <w:p>
            <w:pPr>
              <w:spacing w:after="0"/>
              <w:rPr>
                <w:sz w:val="20"/>
                <w:szCs w:val="20"/>
                <w:color w:val="auto"/>
              </w:rPr>
            </w:pPr>
            <w:r>
              <w:rPr>
                <w:rFonts w:ascii="Arial" w:cs="Arial" w:eastAsia="Arial" w:hAnsi="Arial"/>
                <w:sz w:val="18"/>
                <w:szCs w:val="18"/>
                <w:color w:val="auto"/>
                <w:w w:val="96"/>
              </w:rPr>
              <w:t>$ 27,798</w:t>
            </w:r>
          </w:p>
        </w:tc>
        <w:tc>
          <w:tcPr>
            <w:tcW w:w="140" w:type="dxa"/>
            <w:vAlign w:val="bottom"/>
          </w:tcPr>
          <w:p>
            <w:pPr>
              <w:spacing w:after="0"/>
              <w:rPr>
                <w:sz w:val="20"/>
                <w:szCs w:val="20"/>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27,826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1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short-term investment securities</w:t>
            </w:r>
          </w:p>
        </w:tc>
        <w:tc>
          <w:tcPr>
            <w:tcW w:w="7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6"/>
              </w:rPr>
              <w:t>$ 27,798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FAIR VALUE MEASUREMENTS</w:t>
      </w:r>
    </w:p>
    <w:p>
      <w:pPr>
        <w:spacing w:after="0" w:line="18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60" w:lineRule="exact"/>
        <w:rPr>
          <w:sz w:val="20"/>
          <w:szCs w:val="20"/>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and liabilities;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other than Level 1 quoted prices that are directly or indirectly observable;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170" w:lineRule="exact"/>
        <w:rPr>
          <w:sz w:val="20"/>
          <w:szCs w:val="20"/>
          <w:color w:val="auto"/>
        </w:rPr>
      </w:pPr>
    </w:p>
    <w:p>
      <w:pPr>
        <w:ind w:left="60" w:right="79" w:firstLine="492"/>
        <w:spacing w:after="0" w:line="277" w:lineRule="auto"/>
        <w:rPr>
          <w:sz w:val="20"/>
          <w:szCs w:val="20"/>
          <w:color w:val="auto"/>
        </w:rPr>
      </w:pPr>
      <w:r>
        <w:rPr>
          <w:rFonts w:ascii="Arial" w:cs="Arial" w:eastAsia="Arial" w:hAnsi="Arial"/>
          <w:sz w:val="18"/>
          <w:szCs w:val="18"/>
          <w:color w:val="auto"/>
        </w:rPr>
        <w:t>As of March 31, 2020 and December 31, 2019, the fair values of cash and cash equivalents, restricted cash, and notes and interest payable, approximate their carrying value.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At the time of our merger (we were then-known as Manhattan Pharmaceuticals, Inc.)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65"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The cumulative liability to the Ariston subsidiary including accrued and unpaid interest of the 5% Notes was approximately $19.5 million at March 31, 2020 and $19.3 million at December 31, 2019. No payments have been made on the 5% Notes since the merger and through March 31, 2020.</w:t>
      </w:r>
    </w:p>
    <w:p>
      <w:pPr>
        <w:spacing w:after="0" w:line="143"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43"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March 31, 2020 and December 31, 2019.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tables provide the fair value measurements of applicable financial liabilities as of March 31, 2020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48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w w:val="96"/>
              </w:rPr>
              <w:t>Financial liabilities at fair value as of March 31, 2020</w:t>
            </w:r>
          </w:p>
        </w:tc>
        <w:tc>
          <w:tcPr>
            <w:tcW w:w="0" w:type="dxa"/>
            <w:vAlign w:val="bottom"/>
          </w:tcPr>
          <w:p>
            <w:pPr>
              <w:spacing w:after="0"/>
              <w:rPr>
                <w:sz w:val="1"/>
                <w:szCs w:val="1"/>
                <w:color w:val="auto"/>
              </w:rPr>
            </w:pPr>
          </w:p>
        </w:tc>
      </w:tr>
      <w:tr>
        <w:trPr>
          <w:trHeight w:val="142"/>
        </w:trPr>
        <w:tc>
          <w:tcPr>
            <w:tcW w:w="5400" w:type="dxa"/>
            <w:vAlign w:val="bottom"/>
            <w:vMerge w:val="continue"/>
          </w:tcPr>
          <w:p>
            <w:pPr>
              <w:spacing w:after="0"/>
              <w:rPr>
                <w:sz w:val="12"/>
                <w:szCs w:val="12"/>
                <w:color w:val="auto"/>
              </w:rPr>
            </w:pPr>
          </w:p>
        </w:tc>
        <w:tc>
          <w:tcPr>
            <w:tcW w:w="7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7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2"/>
                <w:szCs w:val="12"/>
                <w:color w:val="auto"/>
              </w:rPr>
            </w:pPr>
          </w:p>
        </w:tc>
        <w:tc>
          <w:tcPr>
            <w:tcW w:w="7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Notes</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r>
      <w:tr>
        <w:trPr>
          <w:trHeight w:val="358"/>
        </w:trPr>
        <w:tc>
          <w:tcPr>
            <w:tcW w:w="5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6"/>
          </w:tcPr>
          <w:p>
            <w:pPr>
              <w:spacing w:after="0"/>
              <w:rPr>
                <w:sz w:val="20"/>
                <w:szCs w:val="20"/>
                <w:color w:val="auto"/>
              </w:rPr>
            </w:pPr>
            <w:r>
              <w:rPr>
                <w:rFonts w:ascii="Arial" w:cs="Arial" w:eastAsia="Arial" w:hAnsi="Arial"/>
                <w:sz w:val="14"/>
                <w:szCs w:val="14"/>
                <w:b w:val="1"/>
                <w:bCs w:val="1"/>
                <w:color w:val="auto"/>
                <w:w w:val="92"/>
              </w:rPr>
              <w:t>Financial liabilities at fair value as of December 31, 2019</w:t>
            </w:r>
          </w:p>
        </w:tc>
      </w:tr>
      <w:tr>
        <w:trPr>
          <w:trHeight w:val="142"/>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Notes</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0"/>
        </w:trPr>
        <w:tc>
          <w:tcPr>
            <w:tcW w:w="5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185"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Company’s financial instruments include cash, cash equivalents consisting of money market funds, accounts payable and debt. Cash, cash equivalents, accounts payable and debt are stated at their respective historical carrying amounts, which approximate fair value due to their short-term nature.</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summarizes the changes in Level 3 instruments during the three months ended March 31, 2020:</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7820" w:type="dxa"/>
            <w:vAlign w:val="bottom"/>
          </w:tcPr>
          <w:p>
            <w:pPr>
              <w:ind w:left="120"/>
              <w:spacing w:after="0"/>
              <w:rPr>
                <w:sz w:val="20"/>
                <w:szCs w:val="20"/>
                <w:color w:val="auto"/>
              </w:rPr>
            </w:pPr>
            <w:r>
              <w:rPr>
                <w:rFonts w:ascii="Arial" w:cs="Arial" w:eastAsia="Arial" w:hAnsi="Arial"/>
                <w:sz w:val="18"/>
                <w:szCs w:val="18"/>
                <w:color w:val="auto"/>
              </w:rPr>
              <w:t>Interest accrued on face value of 5% Notes</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Level 3 liabilities</w:t>
            </w: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10"/>
        </w:trPr>
        <w:tc>
          <w:tcPr>
            <w:tcW w:w="782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492"/>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STOCKHOLDERS’ (DEFICIT) EQUITY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Our amended and restated certificate of incorporation authorizes the issuance of up to 150,000,000 shares of $0.001 par value common stock.</w:t>
      </w:r>
    </w:p>
    <w:p>
      <w:pPr>
        <w:spacing w:after="0" w:line="130"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FBR, Inc. (each a “2020 Agent” and collectively, the “2020 Agents”), relating to the sale of shares of our common stock. Under the 2020 ATM, we pay the 2020 Agents a commission rate of up to 3.0% of the gross proceeds from the sale of any shares of common stock.</w:t>
      </w:r>
    </w:p>
    <w:p>
      <w:pPr>
        <w:spacing w:after="0" w:line="139"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7"/>
          <w:szCs w:val="17"/>
          <w:color w:val="auto"/>
        </w:rPr>
        <w:t>Subsequent to the first quarter, we sold an aggregate of 4,535,608 shares of common stock pursuant to the 2020 ATM for total gross proceeds of approximately $77.4 million at an average selling price of $17.07 per share, resulting in net proceeds of approximately $76.0 million after deducting commissions and other transactions costs.</w:t>
      </w:r>
    </w:p>
    <w:p>
      <w:pPr>
        <w:spacing w:after="0" w:line="125"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The 2019 WKSI Shelf is currently our only active shelf registration statement. We may offer any combination of the securities registered under the 2019 WKSI Shelf from time to time in response to market conditions or other circumstances if we believe such a plan of financing is in the best interests of our stockholders. We believe that the 2019 WKSI provides us with the flexibility to raise additional capital to finance our operations as needed.</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7"/>
          <w:szCs w:val="17"/>
          <w:color w:val="auto"/>
        </w:rPr>
        <w:t>The TG Therapeutics, Inc. Amended and Restated 2012 Incentive Plan (the “2012 Incentive Plan”) was approved by stockholders in June 2018. As of March 31, 2020, 7,328,852 shares of restricted stock and 2,585,980 options were outstanding and up to an additional 28,026 shares may be issued under the 2012 Incentive Plan.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Stock Options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stock option activity for the three months ended March 31, 2020:</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9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exercise price</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years)</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intrinsic value</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2,605,730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11,706,110</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Outstanding at March 31, 2020</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2,585,980</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9,153,390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Total expense associated with the stock options was approximately $3.9 million and $0.7 million during the three months ended March 31, 2020 and 2019, respectively. As of March 31, 2020, there was approximately $2.1 million of total unrecognized compensation cost related to unvested time-based stock options, which is expected to be recognized over a weighted-average period of 1.7 years. As of March 31, 2020, the stock options outstanding include options granted to both employees and non-employees which are both time-based and milestone-based. Stock-based compensation for milestone-based options will be recorded if and when a milestone occurs.</w:t>
      </w:r>
    </w:p>
    <w:p>
      <w:pPr>
        <w:spacing w:after="0" w:line="137"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fair value of the Company’s option awards granted during the three months ended March 31, 2019 were estimated on the grant date using the Black-Scholes option-pricing model using the assumptions below. There were no options granted during the three months ended March 31, 2020.</w:t>
      </w:r>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84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March 31, 2019</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204.59-291.61</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720" w:type="dxa"/>
            <w:vAlign w:val="bottom"/>
          </w:tcPr>
          <w:p>
            <w:pPr>
              <w:jc w:val="right"/>
              <w:spacing w:after="0"/>
              <w:rPr>
                <w:sz w:val="20"/>
                <w:szCs w:val="20"/>
                <w:color w:val="auto"/>
              </w:rPr>
            </w:pPr>
            <w:r>
              <w:rPr>
                <w:rFonts w:ascii="Arial" w:cs="Arial" w:eastAsia="Arial" w:hAnsi="Arial"/>
                <w:sz w:val="18"/>
                <w:szCs w:val="18"/>
                <w:color w:val="auto"/>
              </w:rPr>
              <w:t>5.0-6.25</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2.40-2.49</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Restricted Stock</w:t>
      </w:r>
    </w:p>
    <w:p>
      <w:pPr>
        <w:spacing w:after="0" w:line="185"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restricted share activity for the three months ended March 31, 2020:</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1"/>
              </w:rPr>
              <w:t>Number of Shares</w:t>
            </w:r>
          </w:p>
        </w:tc>
        <w:tc>
          <w:tcPr>
            <w:tcW w:w="12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3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7,091,789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Granted</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774,300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(527,237)</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4280" w:type="dxa"/>
            <w:vAlign w:val="bottom"/>
            <w:gridSpan w:val="3"/>
          </w:tcPr>
          <w:p>
            <w:pPr>
              <w:jc w:val="right"/>
              <w:ind w:right="140"/>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2020</w:t>
            </w:r>
          </w:p>
        </w:tc>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7,328,852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000" w:type="dxa"/>
            <w:vAlign w:val="bottom"/>
            <w:vMerge w:val="restart"/>
          </w:tcPr>
          <w:p>
            <w:pPr>
              <w:jc w:val="right"/>
              <w:ind w:right="1790"/>
              <w:spacing w:after="0"/>
              <w:rPr>
                <w:sz w:val="20"/>
                <w:szCs w:val="20"/>
                <w:color w:val="auto"/>
              </w:rPr>
            </w:pPr>
            <w:r>
              <w:rPr>
                <w:rFonts w:ascii="Arial" w:cs="Arial" w:eastAsia="Arial" w:hAnsi="Arial"/>
                <w:sz w:val="18"/>
                <w:szCs w:val="18"/>
                <w:color w:val="auto"/>
              </w:rPr>
              <w:t>18</w:t>
            </w: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4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Total expense associated with restricted stock grants was approximately $7.1 million and $1.2 million during the three months ended March 31, 2020 and 2019, respectively. As of March 31, 2020, there was approximately $26.0 million of total unrecognized compensation cost related to unvested time-based restricted stock, which is expected to be recognized over a weighted-average period of 1.0 year. This amount does not include, as of March 31, 2020, 3,003,011 shares of restricted stock outstanding which are milestone-based and vest upon certain corporate milestones. Until the measurement date is reached for milestone awards, the total amount of compensation expense remains uncertain. We record compensation expense based on the fair value of the award at the grant date.</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following table summarizes stock-based compensation expense information about restricted stock and stock options for the three months ended March 31, 2020 and 2019:</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rPr>
              <w:t>March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8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(in thousands)</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associated with restricted stock</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Stock-based compensation expense associated with option grants</w:t>
            </w:r>
          </w:p>
        </w:tc>
        <w:tc>
          <w:tcPr>
            <w:tcW w:w="7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ind w:left="20"/>
              <w:spacing w:after="0"/>
              <w:rPr>
                <w:sz w:val="20"/>
                <w:szCs w:val="20"/>
                <w:color w:val="auto"/>
              </w:rPr>
            </w:pPr>
            <w:r>
              <w:rPr>
                <w:rFonts w:ascii="Arial" w:cs="Arial" w:eastAsia="Arial" w:hAnsi="Arial"/>
                <w:sz w:val="18"/>
                <w:szCs w:val="18"/>
                <w:color w:val="auto"/>
              </w:rPr>
              <w:t>Warrants</w:t>
            </w: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8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1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800" w:type="dxa"/>
            <w:vAlign w:val="bottom"/>
            <w:gridSpan w:val="8"/>
          </w:tcPr>
          <w:p>
            <w:pPr>
              <w:ind w:left="480"/>
              <w:spacing w:after="0"/>
              <w:rPr>
                <w:sz w:val="20"/>
                <w:szCs w:val="20"/>
                <w:color w:val="auto"/>
              </w:rPr>
            </w:pPr>
            <w:r>
              <w:rPr>
                <w:rFonts w:ascii="Arial" w:cs="Arial" w:eastAsia="Arial" w:hAnsi="Arial"/>
                <w:sz w:val="18"/>
                <w:szCs w:val="18"/>
                <w:color w:val="auto"/>
                <w:w w:val="99"/>
              </w:rPr>
              <w:t>The following table summarizes warrant activity for the three months ended March 31, 2020: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average exercise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Aggregate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Warrants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price</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intrinsic value</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147,058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$ 1,032,347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Issued</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Expired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March 31, 2020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147,058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847,054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There was no stock compensation expense related to warrants during the three months ended March 31, 2020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OTHER LIABILITIES</w:t>
      </w:r>
    </w:p>
    <w:p>
      <w:pPr>
        <w:spacing w:after="0" w:line="20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following is a summary of Notes Payable included in other current liabilities on the Company’s condensed consolidated balance sheet:</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March 31, 2020</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 2019</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8"/>
              </w:rPr>
              <w:t>Current</w:t>
            </w:r>
          </w:p>
        </w:tc>
        <w:tc>
          <w:tcPr>
            <w:tcW w:w="120" w:type="dxa"/>
            <w:vAlign w:val="bottom"/>
          </w:tcPr>
          <w:p>
            <w:pPr>
              <w:spacing w:after="0"/>
              <w:rPr>
                <w:sz w:val="10"/>
                <w:szCs w:val="10"/>
                <w:color w:val="auto"/>
              </w:rPr>
            </w:pPr>
          </w:p>
        </w:tc>
        <w:tc>
          <w:tcPr>
            <w:tcW w:w="6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current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current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portion,</w:t>
            </w:r>
          </w:p>
        </w:tc>
        <w:tc>
          <w:tcPr>
            <w:tcW w:w="16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portion,</w:t>
            </w:r>
          </w:p>
        </w:tc>
        <w:tc>
          <w:tcPr>
            <w:tcW w:w="12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portion,</w:t>
            </w: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portion,</w:t>
            </w:r>
          </w:p>
        </w:tc>
        <w:tc>
          <w:tcPr>
            <w:tcW w:w="140" w:type="dxa"/>
            <w:vAlign w:val="bottom"/>
          </w:tcPr>
          <w:p>
            <w:pPr>
              <w:spacing w:after="0"/>
              <w:rPr>
                <w:sz w:val="12"/>
                <w:szCs w:val="12"/>
                <w:color w:val="auto"/>
              </w:rPr>
            </w:pP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ind w:right="35"/>
              <w:spacing w:after="0"/>
              <w:rPr>
                <w:sz w:val="20"/>
                <w:szCs w:val="20"/>
                <w:color w:val="auto"/>
              </w:rPr>
            </w:pPr>
            <w:r>
              <w:rPr>
                <w:rFonts w:ascii="Arial" w:cs="Arial" w:eastAsia="Arial" w:hAnsi="Arial"/>
                <w:sz w:val="14"/>
                <w:szCs w:val="14"/>
                <w:b w:val="1"/>
                <w:bCs w:val="1"/>
                <w:color w:val="auto"/>
                <w:w w:val="85"/>
              </w:rPr>
              <w:t>net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net</w:t>
            </w: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5% Notes Payable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100"/>
              <w:spacing w:after="0"/>
              <w:rPr>
                <w:sz w:val="20"/>
                <w:szCs w:val="20"/>
                <w:color w:val="auto"/>
              </w:rPr>
            </w:pPr>
            <w:r>
              <w:rPr>
                <w:rFonts w:ascii="Arial" w:cs="Arial" w:eastAsia="Arial" w:hAnsi="Arial"/>
                <w:sz w:val="18"/>
                <w:szCs w:val="18"/>
                <w:color w:val="auto"/>
              </w:rPr>
              <w:t>Totals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195"/>
              <w:spacing w:after="0"/>
              <w:rPr>
                <w:sz w:val="20"/>
                <w:szCs w:val="20"/>
                <w:color w:val="auto"/>
              </w:rPr>
            </w:pPr>
            <w:r>
              <w:rPr>
                <w:rFonts w:ascii="Arial" w:cs="Arial" w:eastAsia="Arial" w:hAnsi="Arial"/>
                <w:sz w:val="18"/>
                <w:szCs w:val="18"/>
                <w:color w:val="auto"/>
                <w:w w:val="99"/>
              </w:rPr>
              <w:t>19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198" w:lineRule="exact"/>
        <w:rPr>
          <w:sz w:val="20"/>
          <w:szCs w:val="20"/>
          <w:color w:val="auto"/>
        </w:rPr>
      </w:pPr>
    </w:p>
    <w:p>
      <w:pPr>
        <w:jc w:val="both"/>
        <w:ind w:left="60" w:right="79" w:firstLine="492"/>
        <w:spacing w:after="0" w:line="257" w:lineRule="auto"/>
        <w:rPr>
          <w:sz w:val="20"/>
          <w:szCs w:val="20"/>
          <w:color w:val="auto"/>
        </w:rPr>
      </w:pPr>
      <w:r>
        <w:rPr>
          <w:rFonts w:ascii="Arial" w:cs="Arial" w:eastAsia="Arial" w:hAnsi="Arial"/>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47"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The cumulative liability including accrued and unpaid interest of these notes was approximately $19.5 million at March 31, 2020 and $19.3 million at December 31, 2019. No payments have been made on the 5% Notes as of March 31, 2020.</w:t>
      </w:r>
    </w:p>
    <w:p>
      <w:pPr>
        <w:spacing w:after="0" w:line="143"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85"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color w:val="auto"/>
        </w:rPr>
        <w:t>In 2018, we entered into an agreement with a contract manufacturer for the clinical and potential commercial supply of one of our product candidates. As part of this agreement, the contract manufacturer agreed to defer payment of certain costs and expenses under the agreement in exchange for the payment of an administrative fee. To date we have incurred expenses related to this agreement of approximately $49.0 million as of March 31, 2020, which include service fees, raw material costs and administrative fees. Payments of $20.3 million have been made to the contract manufacturer as of March 31, 2020. Accordingly, as of March 31, 2020, $28.3 million is included in other current liabilities in the Company’s unaudited condensed consolidated balance sheet. As of March 31, 2020, there are no long-term liabilities in the Company’s unaudited condensed consolidated balance sheet related to this agreement. We will incur an administrative fee of six percent (6%) per year starting from the date of invoice issuance. For the three months ended March 31, 2020, we have accrued $0.4 million in administrative fees in connection with these costs, which has been included in interest expense in the Company’s unaudited condensed consolidated statements of operations.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LONG-TERM DEBT</w:t>
      </w:r>
    </w:p>
    <w:p>
      <w:pPr>
        <w:spacing w:after="0" w:line="202"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On February 28, 2019 (the “Closing Date”), we entered into a term loan facility of up to $60.0 million (“Term Loan”) with Hercules Capital, Inc. (“Hercules”),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Two additional advances of $10.0 million may be drawn at the Borrowers option but subject to the clinical trial milestones, and the fourth advance of $10.0 million, available in minimum increments of $5.0 million, is available through December 15, 2020 subject to the approval of Hercules’ investment committee.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85" w:lineRule="auto"/>
        <w:rPr>
          <w:sz w:val="20"/>
          <w:szCs w:val="20"/>
          <w:color w:val="auto"/>
        </w:rPr>
      </w:pPr>
      <w:r>
        <w:rPr>
          <w:rFonts w:ascii="Arial" w:cs="Arial" w:eastAsia="Arial" w:hAnsi="Arial"/>
          <w:sz w:val="16"/>
          <w:szCs w:val="16"/>
          <w:color w:val="auto"/>
        </w:rPr>
        <w:t>The Term Loan will mature on March 1, 2022 (the “Loan Maturity Date”). Each advance accrues interest at a per annum rate of interest equal to the greater of either (i) the “prime rate” as reported in The Wall Street Journal plus 4.75%, and (ii) 10.25%. The Term Loan provides for interest-only payments until October 1, 2020. The interest-only period may be extended to April 1, 2021 if, on or before September 30, 2020, we achieve either the third milestone or we have raised at least $150.0 million in unrestricted net cash proceeds from one or more equity financings, subordinated indebtedness and/or upfront proceeds from business development transactions permitted under the Loan Agreement, in each case after February 7, 2019, and prior to September 30, 2020 (“Milestone IV”). Thereafter, amortization payments will be payable monthly in eighteen installments (or, if the period requiring interest-only payments has been extended to April 1, 2021, in twelve installments) of principal and interest (subject to recalculation upon a change in prime rates). As a result of the Company having raised in excess of $150 million before the required timeline in the Loan Agreement, the interest-only period has been extended to April 1, 2021. At our option upon seven business days’ prior written notice to Hercules, we may prepay all or any portion greater than or equal to $5.0 million of the outstanding advances by paying the entire principal balance (or portion thereof), all accrued and unpaid interest, subject to a prepayment charge of 3.0%, if such advance is prepaid in any of the first twelve months following the Closing Date; 1.5%, if such advance is prepaid after twelve months following the Closing Date but on or prior to twenty-four months following the Closing Date; and 0% thereafter. In addition, a final payment equal to 3.5% of the aggregate principal amount of the loan extended by Hercules is due on the maturity date. Amounts outstanding during an event of default shall be payable on demand and accrue interest at an additional rate of 4.0% per annum of the past due amount outstanding.</w:t>
      </w:r>
    </w:p>
    <w:p>
      <w:pPr>
        <w:spacing w:after="0" w:line="144"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The Term Loan is secured by a lien on substantially all of our assets,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 As of March 31, 2020 and through the filing date of this report, the Company has been in compliance with all covenants.</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events of default under the Loan Agreement include, without limitation, and subject to customary grace periods,</w:t>
      </w:r>
    </w:p>
    <w:p>
      <w:pPr>
        <w:spacing w:after="0" w:line="46" w:lineRule="exact"/>
        <w:rPr>
          <w:sz w:val="20"/>
          <w:szCs w:val="20"/>
          <w:color w:val="auto"/>
        </w:rPr>
      </w:pPr>
    </w:p>
    <w:p>
      <w:pPr>
        <w:jc w:val="both"/>
        <w:ind w:left="60" w:right="59" w:hanging="10"/>
        <w:spacing w:after="0" w:line="290" w:lineRule="auto"/>
        <w:tabs>
          <w:tab w:leader="none" w:pos="331"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failure to make any payments of principal or interest under the Loan Agreement, promissory notes or other loan documents, (2) our breach or default in the performance of any covenant under the Loan Agreement, (3) the occurrence of a material adverse effect, (4) a false or misleading representation or warranty in any material respect, (5) our insolvency or bankruptcy, (6) certain attachments or judgments on our assets, or (7) the occurrence of any material default under certain agreements or obligations involving indebtedness in excess of $750,000. If an event of default occurs, Hercules is entitled to take enforcement action, including acceleration of amounts due under the Loan Agreement.</w:t>
      </w:r>
    </w:p>
    <w:p>
      <w:pPr>
        <w:spacing w:after="0" w:line="123"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The Loan Agreement also contains warrant coverage of 2% of the total amount funded. A warrant (the “Hercules Warrant”) was issued to Hercules to purchase 147,058 shares of common stock with an exercise price of $4.08. The Hercules Warrant is exercisable for seven years from the date of issuance. Hercules may exercise the Hercules Warrant either by (a) cash or check or (b) through a net issuance conversion. The shares will be registered and freely tradeable within six months of issuance. We accounted for the Hercules Warrant as an equity instrument since it was indexed to our common shares and met the criteria for classification in shareholders’ (deficit) equity. The relative fair value of the Hercules Warrant on the date of issuance was approximately $1.0 million and was treated as debt issuance costs and as an offset to the Term Loan. This amount will be amortized to interest expense using the straight-line method, which approximates the effective interest method, over the life of the Term Loan.</w:t>
      </w:r>
    </w:p>
    <w:p>
      <w:pPr>
        <w:spacing w:after="0" w:line="154"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Company estimated the fair value of the Warrant using the Black-Scholes model based on the following key assumptions: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Common share price on date of issuance</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5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Contractual term (in years)</w:t>
            </w:r>
          </w:p>
        </w:tc>
        <w:tc>
          <w:tcPr>
            <w:tcW w:w="2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0"/>
              </w:rPr>
              <w:t>7.00 years</w:t>
            </w:r>
          </w:p>
        </w:tc>
        <w:tc>
          <w:tcPr>
            <w:tcW w:w="1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The Company incurred financing expenses of $2.8 million (including the fair value of the Hercules Warrant) related to the Hercules Loan Agreement which are recorded as debt issuance costs and as an offset to long-term debt on the Company’s unaudited condensed consolidated balance sheet. The debt issuance costs are being amortized over the term of the debt using the straight-line method, which approximates the effective interest method, and are included in interest expense in the Company’s unaudited condensed consolidated statements of operations. Amortization of debt issuance costs was $0.2 million and $0.1 million for the three months ended March 31, 2020 and 2019, respectively. At March 31, 2020, the remaining unamortized balance of debt issuance costs were $1.8 million.</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Long-term debt as of March 31, 2020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34"/>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term fee</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r>
      <w:tr>
        <w:trPr>
          <w:trHeight w:val="210"/>
        </w:trPr>
        <w:tc>
          <w:tcPr>
            <w:tcW w:w="7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30,975</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r>
      <w:tr>
        <w:trPr>
          <w:trHeight w:val="209"/>
        </w:trPr>
        <w:tc>
          <w:tcPr>
            <w:tcW w:w="7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29,201</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non-current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29,201</w:t>
            </w:r>
          </w:p>
        </w:tc>
      </w:tr>
      <w:tr>
        <w:trPr>
          <w:trHeight w:val="20"/>
        </w:trPr>
        <w:tc>
          <w:tcPr>
            <w:tcW w:w="7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LEASES</w:t>
      </w:r>
    </w:p>
    <w:p>
      <w:pPr>
        <w:spacing w:after="0" w:line="189"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$1.4 million under the Office Agreement. We began to occupy this new space in April 2016, with rental payments beginning in the third quarter of 2016. At January 1, 2019, we recognized a lease liability and corresponding Right of Use (“ROU”) asset of $9.5 million and $8.1 million, respectively, based on the present value of the remaining lease payments for all of our leased office spaces, the majority of which is comprised of our New York City office space.</w:t>
      </w:r>
    </w:p>
    <w:p>
      <w:pPr>
        <w:spacing w:after="0" w:line="165"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March 31, 2020, the allocation rate is 61% and will be evaluated again in August 2020 for the following rent year.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37" w:lineRule="exact"/>
        <w:rPr>
          <w:sz w:val="20"/>
          <w:szCs w:val="20"/>
          <w:color w:val="auto"/>
        </w:rPr>
      </w:pPr>
    </w:p>
    <w:p>
      <w:pPr>
        <w:jc w:val="both"/>
        <w:ind w:left="60" w:right="79" w:firstLine="492"/>
        <w:spacing w:after="0" w:line="259"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 expense of $0.1 million for the three months ended March 31, 2020.</w:t>
      </w:r>
    </w:p>
    <w:p>
      <w:pPr>
        <w:spacing w:after="0" w:line="14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The present values of our lease liability and corresponding ROU asset are $11.8 million and $9.3 million, respectively, as of March 31, 2020. Our leases have remaining lease terms of 1 year to 12 years. One lease has a renewal option to extend the lease for an additional term of 1 year. The following components of lease expense are included in the Company’s condensed consolidated statements of operations for the three months ended March 31, 2020 and 2019, respectively:</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10"/>
        </w:trPr>
        <w:tc>
          <w:tcPr>
            <w:tcW w:w="682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As of March 31, 2020, the weighted-average remaining operating lease term was 8.0 years and the weighted-average discount rate for operating leases was 10.25%. Cash paid for amounts included in the measurement of operating lease liabilities during the three months ended March 31, 2020 was $1.9 million.</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balance sheet classification of lease liabilities was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1"/>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09"/>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2"/>
          </w:tcPr>
          <w:p>
            <w:pPr>
              <w:ind w:left="20"/>
              <w:spacing w:after="0"/>
              <w:rPr>
                <w:sz w:val="20"/>
                <w:szCs w:val="20"/>
                <w:color w:val="auto"/>
              </w:rPr>
            </w:pPr>
            <w:r>
              <w:rPr>
                <w:rFonts w:ascii="Arial" w:cs="Arial" w:eastAsia="Arial" w:hAnsi="Arial"/>
                <w:sz w:val="18"/>
                <w:szCs w:val="18"/>
                <w:color w:val="auto"/>
              </w:rPr>
              <w:t>Lease liability 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0" w:type="dxa"/>
            <w:vAlign w:val="bottom"/>
          </w:tcPr>
          <w:p>
            <w:pPr>
              <w:spacing w:after="0"/>
              <w:rPr>
                <w:sz w:val="1"/>
                <w:szCs w:val="1"/>
                <w:color w:val="auto"/>
              </w:rPr>
            </w:pPr>
          </w:p>
        </w:tc>
      </w:tr>
      <w:tr>
        <w:trPr>
          <w:trHeight w:val="209"/>
        </w:trPr>
        <w:tc>
          <w:tcPr>
            <w:tcW w:w="7820" w:type="dxa"/>
            <w:vAlign w:val="bottom"/>
            <w:gridSpan w:val="2"/>
          </w:tcPr>
          <w:p>
            <w:pPr>
              <w:ind w:left="560"/>
              <w:spacing w:after="0"/>
              <w:rPr>
                <w:sz w:val="20"/>
                <w:szCs w:val="20"/>
                <w:color w:val="auto"/>
              </w:rPr>
            </w:pPr>
            <w:r>
              <w:rPr>
                <w:rFonts w:ascii="Arial" w:cs="Arial" w:eastAsia="Arial" w:hAnsi="Arial"/>
                <w:sz w:val="18"/>
                <w:szCs w:val="18"/>
                <w:color w:val="auto"/>
              </w:rPr>
              <w:t>Total lease liability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11,761</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ind w:left="500"/>
              <w:spacing w:after="0"/>
              <w:rPr>
                <w:sz w:val="20"/>
                <w:szCs w:val="20"/>
                <w:color w:val="auto"/>
              </w:rPr>
            </w:pPr>
            <w:r>
              <w:rPr>
                <w:rFonts w:ascii="Arial" w:cs="Arial" w:eastAsia="Arial" w:hAnsi="Arial"/>
                <w:sz w:val="18"/>
                <w:szCs w:val="18"/>
                <w:color w:val="auto"/>
              </w:rPr>
              <w:t>As of March 31, 2020, the maturities of lease liabilities were as follows: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1"/>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2021</w:t>
            </w: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2023</w:t>
            </w: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After 2024</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09"/>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19,540</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r>
        <w:trPr>
          <w:trHeight w:val="210"/>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39" w:hanging="330"/>
        <w:spacing w:after="0" w:line="259"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LICENSE AGREEMENTS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185"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 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March 31, 2020 and 2019, and, at March 31, 2020 and December 31, 2019, have deferred revenue of approximately $0.7 million and $0.7 million, respectively, associated with this $2 million payment (approximately $152,000 of which has been classified in current liabilities at March 31, 2020 and December 31, 2019).</w:t>
      </w:r>
    </w:p>
    <w:p>
      <w:pPr>
        <w:spacing w:after="0" w:line="14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TG-1501: PDL1 (Cosibelimab)</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March 2015, we entered into a Global Collaboration Agreement (“Collaboration Agreement”) with Checkpoint Therapeutics, Inc. (“Checkpoint”) for the development and commercialization of anti-PD-L1 and anti-GITR antibody research programs in the field of hematological malignancies. The Collaboration Agreement was amended in June 2019 and in March of 2020 achieved the first Milestone event for which we incurred expenses of approximately $0.9 million for the three months ended March 31,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TG-1601: BET</w:t>
      </w:r>
    </w:p>
    <w:p>
      <w:pPr>
        <w:spacing w:after="0" w:line="198"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In May 2016, as part of a broader agreement with Jubilant Biosys (“Jubilant”), we entered into a sub-license agreement (“JBET Agreement”) with Checkpoint (see Note 10), for the development and commercialization of Jubilant’s novel BET inhibitor program in the field of hematological malignancies.</w:t>
      </w:r>
    </w:p>
    <w:p>
      <w:pPr>
        <w:spacing w:after="0" w:line="143" w:lineRule="exact"/>
        <w:rPr>
          <w:sz w:val="20"/>
          <w:szCs w:val="20"/>
          <w:color w:val="auto"/>
        </w:rPr>
      </w:pPr>
    </w:p>
    <w:p>
      <w:pPr>
        <w:jc w:val="both"/>
        <w:ind w:left="60" w:right="79" w:firstLine="492"/>
        <w:spacing w:after="0" w:line="259" w:lineRule="auto"/>
        <w:rPr>
          <w:sz w:val="20"/>
          <w:szCs w:val="20"/>
          <w:color w:val="auto"/>
        </w:rPr>
      </w:pPr>
      <w:r>
        <w:rPr>
          <w:rFonts w:ascii="Arial" w:cs="Arial" w:eastAsia="Arial" w:hAnsi="Arial"/>
          <w:sz w:val="18"/>
          <w:szCs w:val="18"/>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4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TG-1701: BTK</w:t>
      </w:r>
    </w:p>
    <w:p>
      <w:pPr>
        <w:spacing w:after="0" w:line="198"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Pursuant to the agreement, in April 2018, we paid Hengrui an upfront fee of $1.0 million in our common stock recorded to noncash stock expense associated with in-licensing agreements in our condensed consolidated statement of operations. In addition, in July 2019, we paid Hengrui the first milestone of $0.1 million in our common stock recorded to noncash stock expense associated with in-licensing agreements in our consolidated statement of operations.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 We incurred expenses of approximately $0.8 million and zero for the three months ended March 31, 2020 and 2019, respectively, the majority of which relates to manufacturing expenses of BTK. The relevant expenses are recorded in other research and development in the accompanying unaudited condensed consolidated statement of operations.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TG-1801: anti-CD47/anti-CD19</w:t>
      </w:r>
    </w:p>
    <w:p>
      <w:pPr>
        <w:spacing w:after="0" w:line="185"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recorded to noncash stock expense associated with in-licensing agreements in our consolidated statement of operations.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RELATED PARTY TRANSACTIONS</w:t>
      </w:r>
    </w:p>
    <w:p>
      <w:pPr>
        <w:spacing w:after="0" w:line="202"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In October 2014, we entered into the Office Agreement with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At January 1, 2019, we recognized a lease liability of $9.3 million, with a corresponding ROU asset of $7.7 million based on the present value of the remaining lease payments for all of our leased office spaces, the majority of which is comprised of our New York City office space. Mr. Weiss, our Executive Chairman and CEO, is also Executive Vice Chairman of FBIO.</w:t>
      </w:r>
    </w:p>
    <w:p>
      <w:pPr>
        <w:spacing w:after="0" w:line="151"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Under the Office Agreement, we agreed to pay FBIO our portion of the build out costs, which have been allocated to us at the 45% rate mentioned above. The allocated build-out costs have been recorded in Leasehold Interest, net on the Company's condensed consolidated balance sheets and will be amortized over the 15-year term of the Office Agreement. 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March 31, 2020, the allocation rate is 61% and will be evaluated again in August 2020 for the following rent year.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45" w:lineRule="exact"/>
        <w:rPr>
          <w:sz w:val="20"/>
          <w:szCs w:val="20"/>
          <w:color w:val="auto"/>
        </w:rPr>
      </w:pPr>
    </w:p>
    <w:p>
      <w:pPr>
        <w:jc w:val="both"/>
        <w:ind w:left="60" w:right="59" w:firstLine="537"/>
        <w:spacing w:after="0" w:line="275" w:lineRule="auto"/>
        <w:rPr>
          <w:sz w:val="20"/>
          <w:szCs w:val="20"/>
          <w:color w:val="auto"/>
        </w:rPr>
      </w:pPr>
      <w:r>
        <w:rPr>
          <w:rFonts w:ascii="Arial" w:cs="Arial" w:eastAsia="Arial" w:hAnsi="Arial"/>
          <w:sz w:val="17"/>
          <w:szCs w:val="17"/>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$0.2 million for shared services for each of the three months ended March 31, 2020 and 2019, primarily related to shared personnel.</w:t>
      </w:r>
    </w:p>
    <w:p>
      <w:pPr>
        <w:spacing w:after="0" w:line="149"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March 2015, we entered into a Global Collaboration Agreement (“Collaboration Agreement”) with Checkpoint for the development and commercialization of anti-PD-L1 and anti-GITR antibody research programs in the field of hematological malignancies. The Collaboration Agreement was amended in June 2019 and upon execution of the amendment we incurred an upfront fee of $1.0 million. We incurred expenses of approximately $1.0 million and $0.7 million for the three months ended March 31, 2020 and 2019, respectively.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SUBSEQUENT EVENTS</w:t>
      </w:r>
    </w:p>
    <w:p>
      <w:pPr>
        <w:spacing w:after="0" w:line="189"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On January 3, 2020, we paid $2.9 million to the FDA as an NDA User Fee for umbralisib. Subsequently, on January 10, 2020, we submitted a letter to the FDA requesting a refund of the NDA User Fee under the small business waiver provision, section 736(d)(1)(C)2 of the Federal Food, Drug, and Cosmetic Act. On April 24, 2020, we received a reply from the FDA notifying us that they granted our request for the refund. The $2.9 million should be received within 45 days of the letter.</w:t>
      </w:r>
    </w:p>
    <w:p>
      <w:pPr>
        <w:spacing w:after="0" w:line="161"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On March 11, 2020, the World Health Organization declared that the rapidly spreading strain of coronavirus, which causes a disease referred to as COVID-19, had evolved into a pandemic. In response to the pandemic, many governments around the world are implementing a variety of measures to reduce the spread of COVID-19, including travel restrictions and bans, instructions to residents to practice social distancing, quarantine advisories, shelter-in-place orders and required closures of non-essential businesses. The pandemic and associated measures to contain it have impacted the global economy, disrupted global supply chains, affected healthcare systems, and created significant volatility in the financial markets.</w:t>
      </w:r>
    </w:p>
    <w:p>
      <w:pPr>
        <w:spacing w:after="0" w:line="154"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COVID-19 has not had a material adverse effect on our business to date. However, there remain many uncertainties regarding the pandemic. As a result, the extent to which COVID-19 may impact our business in the future cannot be accurately predicted and depends on factors including the duration and severity of the pandemic and the actions taken to contain it (See Item 1A: “Risk Factors” for additional details).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60" w:right="59" w:firstLine="486"/>
        <w:spacing w:after="0" w:line="272" w:lineRule="auto"/>
        <w:rPr>
          <w:sz w:val="20"/>
          <w:szCs w:val="20"/>
          <w:color w:val="auto"/>
        </w:rPr>
      </w:pPr>
      <w:r>
        <w:rPr>
          <w:rFonts w:ascii="Arial" w:cs="Arial" w:eastAsia="Arial" w:hAnsi="Arial"/>
          <w:sz w:val="17"/>
          <w:szCs w:val="17"/>
          <w:color w:val="auto"/>
        </w:rPr>
        <w:t>The following discussion and analysis contain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Additionally, many of these risks and uncertainties are currently elevated by and may or will continue to be elevated by the COVID-19 pandemic. See also the Special Cautionary Notice Regarding Forward-Looking Statements set forth at the beginning of this report.</w:t>
      </w:r>
    </w:p>
    <w:p>
      <w:pPr>
        <w:spacing w:after="0" w:line="177"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2019.</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486"/>
        <w:spacing w:after="0" w:line="287" w:lineRule="auto"/>
        <w:rPr>
          <w:sz w:val="20"/>
          <w:szCs w:val="20"/>
          <w:color w:val="auto"/>
        </w:rPr>
      </w:pPr>
      <w:r>
        <w:rPr>
          <w:rFonts w:ascii="Arial" w:cs="Arial" w:eastAsia="Arial" w:hAnsi="Arial"/>
          <w:sz w:val="16"/>
          <w:szCs w:val="16"/>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two lead therapies, ublituximab (TG-1101) and umbralisib (TGR-1202), in pivotal trials for CLL and NHL, with ublituximab also in pivotal trials for MS. Ublituximab is a novel anti-CD20 monoclonal antibody (mAb) that has been glycoengineered for enhanced potency over first-generation antibodies. Umbralisib is an oral, once daily, dual inhibitor of PI3K-delta and CK1-epsilon, which may lead to a differentiated safety profile. When used together in combination therapy, ublituximab and umbralisib are referred to as “U2”. Additionally, in early clinical development we have an anti-PD-L1 monoclonal antibody referred to as cosibelimab (TG-1501), an oral Bruton’s Tyrosine Kinase (BTK) inhibitor referred to as TG-1701, and an anti-CD47/CD19 bispecific antibody referred to as TG-1801.</w:t>
      </w:r>
    </w:p>
    <w:p>
      <w:pPr>
        <w:spacing w:after="0" w:line="172" w:lineRule="exact"/>
        <w:rPr>
          <w:sz w:val="20"/>
          <w:szCs w:val="20"/>
          <w:color w:val="auto"/>
        </w:rPr>
      </w:pPr>
    </w:p>
    <w:p>
      <w:pPr>
        <w:jc w:val="both"/>
        <w:ind w:left="60" w:right="59" w:firstLine="486"/>
        <w:spacing w:after="0" w:line="286" w:lineRule="auto"/>
        <w:rPr>
          <w:sz w:val="20"/>
          <w:szCs w:val="20"/>
          <w:color w:val="auto"/>
        </w:rPr>
      </w:pPr>
      <w:r>
        <w:rPr>
          <w:rFonts w:ascii="Arial" w:cs="Arial" w:eastAsia="Arial" w:hAnsi="Arial"/>
          <w:sz w:val="17"/>
          <w:szCs w:val="17"/>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PRODUCTS UNDER DEVELOPMENT</w:t>
      </w:r>
    </w:p>
    <w:p>
      <w:pPr>
        <w:spacing w:after="0" w:line="229"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color w:val="auto"/>
        </w:rPr>
        <w:t>We have leveraged our B-cell platform to develop a robust drug pipeline of targeted orally available, potent and selective small molecule kinase inhibitors and intravenously delivered off-the-shelf immunotherapies that leverage the patients’ own immune system to fight cancer. We currently own worldwide development and commercial rights, subject to certain limited geographical restrictions, to all of our preclinical and clinical programs. The following table summarizes our most advanced drug candidates:</w:t>
      </w:r>
    </w:p>
    <w:p>
      <w:pPr>
        <w:spacing w:after="0" w:line="182" w:lineRule="exact"/>
        <w:rPr>
          <w:sz w:val="20"/>
          <w:szCs w:val="20"/>
          <w:color w:val="auto"/>
        </w:rPr>
      </w:pPr>
    </w:p>
    <w:tbl>
      <w:tblPr>
        <w:tblLayout w:type="fixed"/>
        <w:tblInd w:w="50" w:type="dxa"/>
        <w:tblCellMar>
          <w:top w:w="0" w:type="dxa"/>
          <w:left w:w="0" w:type="dxa"/>
          <w:bottom w:w="0" w:type="dxa"/>
          <w:right w:w="0" w:type="dxa"/>
        </w:tblCellMar>
      </w:tblPr>
      <w:tr>
        <w:trPr>
          <w:trHeight w:val="211"/>
        </w:trPr>
        <w:tc>
          <w:tcPr>
            <w:tcW w:w="216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900" w:type="dxa"/>
            <w:vAlign w:val="bottom"/>
            <w:tcBorders>
              <w:top w:val="single" w:sz="8" w:color="auto"/>
              <w:right w:val="single" w:sz="8" w:color="auto"/>
            </w:tcBorders>
          </w:tcPr>
          <w:p>
            <w:pPr>
              <w:spacing w:after="0"/>
              <w:rPr>
                <w:sz w:val="18"/>
                <w:szCs w:val="18"/>
                <w:color w:val="auto"/>
              </w:rPr>
            </w:pPr>
          </w:p>
        </w:tc>
        <w:tc>
          <w:tcPr>
            <w:tcW w:w="31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27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r>
      <w:tr>
        <w:trPr>
          <w:trHeight w:val="234"/>
        </w:trPr>
        <w:tc>
          <w:tcPr>
            <w:tcW w:w="2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(molecular target)</w:t>
            </w:r>
          </w:p>
        </w:tc>
        <w:tc>
          <w:tcPr>
            <w:tcW w:w="90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(trial name)</w:t>
            </w:r>
          </w:p>
        </w:tc>
      </w:tr>
      <w:tr>
        <w:trPr>
          <w:trHeight w:val="195"/>
        </w:trPr>
        <w:tc>
          <w:tcPr>
            <w:tcW w:w="3060" w:type="dxa"/>
            <w:vAlign w:val="bottom"/>
            <w:tcBorders>
              <w:left w:val="single" w:sz="8" w:color="auto"/>
              <w:right w:val="single" w:sz="8" w:color="auto"/>
            </w:tcBorders>
            <w:gridSpan w:val="2"/>
          </w:tcPr>
          <w:p>
            <w:pPr>
              <w:ind w:left="20"/>
              <w:spacing w:after="0" w:line="195" w:lineRule="exact"/>
              <w:rPr>
                <w:sz w:val="20"/>
                <w:szCs w:val="20"/>
                <w:color w:val="auto"/>
              </w:rPr>
            </w:pPr>
            <w:r>
              <w:rPr>
                <w:rFonts w:ascii="Arial" w:cs="Arial" w:eastAsia="Arial" w:hAnsi="Arial"/>
                <w:sz w:val="18"/>
                <w:szCs w:val="18"/>
                <w:color w:val="auto"/>
                <w:w w:val="96"/>
              </w:rPr>
              <w:t>Ublituximab/TG-1101 (anti-CD20 mAb)</w:t>
            </w:r>
          </w:p>
        </w:tc>
        <w:tc>
          <w:tcPr>
            <w:tcW w:w="3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Chronic Lymphocytic Leukemia</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3 trial (UNITY-CLL)</w:t>
            </w:r>
          </w:p>
        </w:tc>
      </w:tr>
      <w:tr>
        <w:trPr>
          <w:trHeight w:val="230"/>
        </w:trPr>
        <w:tc>
          <w:tcPr>
            <w:tcW w:w="2160" w:type="dxa"/>
            <w:vAlign w:val="bottom"/>
            <w:tcBorders>
              <w:lef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 trial (ULTRA-V)</w:t>
            </w:r>
          </w:p>
        </w:tc>
      </w:tr>
      <w:tr>
        <w:trPr>
          <w:trHeight w:val="209"/>
        </w:trPr>
        <w:tc>
          <w:tcPr>
            <w:tcW w:w="2160" w:type="dxa"/>
            <w:vAlign w:val="bottom"/>
            <w:tcBorders>
              <w:left w:val="single" w:sz="8" w:color="auto"/>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Relapsing Multiple Sclerosis</w:t>
            </w: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w w:val="98"/>
              </w:rPr>
              <w:t>Phase 3 trials (ULTIMATE I and II)</w:t>
            </w:r>
          </w:p>
        </w:tc>
      </w:tr>
      <w:tr>
        <w:trPr>
          <w:trHeight w:val="195"/>
        </w:trPr>
        <w:tc>
          <w:tcPr>
            <w:tcW w:w="216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rPr>
              <w:t>Umbralisib/TGR-1202</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(PI3K-delta</w:t>
            </w:r>
          </w:p>
        </w:tc>
        <w:tc>
          <w:tcPr>
            <w:tcW w:w="3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Chronic Lymphocytic Leukemia</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3 trial (UNITY-CLL)</w:t>
            </w:r>
          </w:p>
        </w:tc>
      </w:tr>
      <w:tr>
        <w:trPr>
          <w:trHeight w:val="230"/>
        </w:trPr>
        <w:tc>
          <w:tcPr>
            <w:tcW w:w="21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inhibitor)</w:t>
            </w:r>
          </w:p>
        </w:tc>
        <w:tc>
          <w:tcPr>
            <w:tcW w:w="900" w:type="dxa"/>
            <w:vAlign w:val="bottom"/>
            <w:tcBorders>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 trial (ULTRA-V)</w:t>
            </w:r>
          </w:p>
        </w:tc>
      </w:tr>
      <w:tr>
        <w:trPr>
          <w:trHeight w:val="209"/>
        </w:trPr>
        <w:tc>
          <w:tcPr>
            <w:tcW w:w="2160" w:type="dxa"/>
            <w:vAlign w:val="bottom"/>
            <w:tcBorders>
              <w:lef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Marginal Zone Lymphoma</w:t>
            </w: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209"/>
        </w:trPr>
        <w:tc>
          <w:tcPr>
            <w:tcW w:w="2160" w:type="dxa"/>
            <w:vAlign w:val="bottom"/>
            <w:tcBorders>
              <w:left w:val="single" w:sz="8" w:color="auto"/>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Follicular Lymphoma</w:t>
            </w: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210"/>
        </w:trPr>
        <w:tc>
          <w:tcPr>
            <w:tcW w:w="30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95"/>
              </w:rPr>
              <w:t>Cosibelimab/TG-1501 (anti-PDL1 mAb)</w:t>
            </w: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210"/>
        </w:trPr>
        <w:tc>
          <w:tcPr>
            <w:tcW w:w="2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TG-1701 (BTK inhibitor)</w:t>
            </w:r>
          </w:p>
        </w:tc>
        <w:tc>
          <w:tcPr>
            <w:tcW w:w="900" w:type="dxa"/>
            <w:vAlign w:val="bottom"/>
            <w:tcBorders>
              <w:bottom w:val="single" w:sz="8" w:color="auto"/>
              <w:right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195"/>
        </w:trPr>
        <w:tc>
          <w:tcPr>
            <w:tcW w:w="216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color w:val="auto"/>
                <w:w w:val="96"/>
              </w:rPr>
              <w:t>TG-1801  (anti-CD47/CD19</w:t>
            </w:r>
          </w:p>
        </w:tc>
        <w:tc>
          <w:tcPr>
            <w:tcW w:w="90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bispecific</w:t>
            </w:r>
          </w:p>
        </w:tc>
        <w:tc>
          <w:tcPr>
            <w:tcW w:w="31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1 trial</w:t>
            </w:r>
          </w:p>
        </w:tc>
      </w:tr>
      <w:tr>
        <w:trPr>
          <w:trHeight w:val="230"/>
        </w:trPr>
        <w:tc>
          <w:tcPr>
            <w:tcW w:w="21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Ab)</w:t>
            </w:r>
          </w:p>
        </w:tc>
        <w:tc>
          <w:tcPr>
            <w:tcW w:w="90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Phase 3 and Registration-Directed Clinical Trial Highlights</w:t>
      </w:r>
    </w:p>
    <w:p>
      <w:pPr>
        <w:spacing w:after="0" w:line="229" w:lineRule="exact"/>
        <w:rPr>
          <w:sz w:val="20"/>
          <w:szCs w:val="20"/>
          <w:color w:val="auto"/>
        </w:rPr>
      </w:pPr>
    </w:p>
    <w:p>
      <w:pPr>
        <w:jc w:val="both"/>
        <w:ind w:left="60" w:right="59" w:firstLine="486"/>
        <w:spacing w:after="0" w:line="293" w:lineRule="auto"/>
        <w:rPr>
          <w:sz w:val="20"/>
          <w:szCs w:val="20"/>
          <w:color w:val="auto"/>
        </w:rPr>
      </w:pPr>
      <w:r>
        <w:rPr>
          <w:rFonts w:ascii="Arial" w:cs="Arial" w:eastAsia="Arial" w:hAnsi="Arial"/>
          <w:sz w:val="16"/>
          <w:szCs w:val="16"/>
          <w:color w:val="auto"/>
        </w:rPr>
        <w:t>We have several Phase 3 and registration-directed Phase 2b clinical trials ongoing that may support a marketing application for approval. Our most advanced trials, UNITY-NHL MZL &amp; FL single agent cohorts, UNITY-CLL, and the ULTIMATE I &amp; II trials, have all completed enrollment and have either reached database lock or are nearing completion. Accordingly, we would expect to see minimal impact on the conduct and our proposed timelines for these three trials related to the COVID-19 pandemic. However, as the pandemic evolves, we will continue to evaluate each trial, monitor potential implications, and work closely with our investigational sites, CROs, and vendors to develop continuity plans.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are highlights from our current Phase 3 trials and registration-directed Phase 2b clinical trials:</w:t>
      </w:r>
    </w:p>
    <w:p>
      <w:pPr>
        <w:spacing w:after="0" w:line="233" w:lineRule="exact"/>
        <w:rPr>
          <w:sz w:val="20"/>
          <w:szCs w:val="20"/>
          <w:color w:val="auto"/>
        </w:rPr>
      </w:pPr>
    </w:p>
    <w:p>
      <w:pPr>
        <w:jc w:val="both"/>
        <w:ind w:left="880" w:right="79" w:hanging="330"/>
        <w:spacing w:after="0" w:line="298"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UNITY-NHL Phase 2b Trial: </w:t>
      </w:r>
      <w:r>
        <w:rPr>
          <w:rFonts w:ascii="Arial" w:cs="Arial" w:eastAsia="Arial" w:hAnsi="Arial"/>
          <w:sz w:val="16"/>
          <w:szCs w:val="16"/>
          <w:color w:val="auto"/>
        </w:rPr>
        <w:t>UNITY-NHL is a broad Phase 2b registration-directed clinical trial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evaluate the efficacy and safety of umbralisib monotherapy and U2 combinations in patients with previously treated NHL. The marginal zone lymphoma (MZL) and the follicular lymphoma (FL)/small lymphocytic lymphoma (SLL) single agent umbralisib cohorts of this trial are fully enrolled. The primary objective of these cohorts is to assess the efficacy of single agent umbralisib as measured by Overall Response Rate (ORR).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1360" w:right="79" w:hanging="324"/>
        <w:spacing w:after="0" w:line="284" w:lineRule="auto"/>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UNITY-NHL MZL and FL Single Agent Umbralisib Cohorts: </w:t>
      </w:r>
      <w:r>
        <w:rPr>
          <w:rFonts w:ascii="Arial" w:cs="Arial" w:eastAsia="Arial" w:hAnsi="Arial"/>
          <w:sz w:val="16"/>
          <w:szCs w:val="16"/>
          <w:color w:val="auto"/>
        </w:rPr>
        <w:t>The MZL cohort enrolled adult</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who had at least one prior line of therapy that included an anti-CD20 monoclonal antibody. In February 2019, we announced that the MZL cohort met the primary endpoint of ORR as determined by an Independent Review Committee (IRC) for all treated patients (n=69). The results met our target guidance of 40-50% ORR. Interim safety and efficacy data from the MZL cohort were presented in an oral presentation at the American Association for Cancer Research (AACR) annual meeting on April 1, 2019. The data presented included safety and tolerability data on all 69 treated patients (safety population) and efficacy data on 42 patients who were enrolled at least 9 cycles (28-day cycles) prior to the data cut-off date (interim efficacy population). The safety population had a median duration of exposure of 6.9 months and no unexpected toxicities were observed. Analysis of the interim efficacy population showed an ORR by IRC of 52%, including 19% CR rate, an 88% clinical benefit rate (defined as patients obtaining Complete Response + Partial Response + Stable Disease) and a median duration of exposure of 10.1 months. These results were also presented in oral presentations during the 2019 American Society of Clinical Oncology (ASCO) annual meeting and the 2019 International Conference on Malignant Lymphoma (ICML) both held in June of 2019. Previously, in January 2019, the U.S. Food and Drug Administration (FDA) granted Breakthrough Therapy Designation (BTD) to umbralisib for the treatment of adult patients with MZL who have received at least one prior anti-CD20 regimen. In April 2019, the FDA granted orphan drug designation to umbralisib for the treatment of patients with any of the three types of marginal zone lymphoma (MZL): nodal, extranodal, and splenic MZL. In June of 2019, we had a BTD meeting with the FDA to discuss the MZL submission strategy. The FL/SLL cohort enrolled adult patients who had two or more prior lines of therapy that included an anti-CD20 monoclonal antibody and an alkylating agent. In October 2019, we announced that the FL patients within this cohort met the primary endpoint of ORR as determined by IRC for all treated follicular lymphoma patients (n=118). The results met our target guidance of 40-50% ORR. Importantly, umbralisib monotherapy appeared to be well tolerated with a safety profile consistent with previous reports. Most recently, in January of 2020, we received guidance from the FDA allowing submission of a single New Drug Application (NDA) for MZL and FL indications and initiated a rolling submission of an NDA to the FDA for umbralisib in MZL/FL. We anticipate completion of the rolling NDA submission in the first half of 2020.</w:t>
      </w:r>
    </w:p>
    <w:p>
      <w:pPr>
        <w:spacing w:after="0" w:line="200" w:lineRule="exact"/>
        <w:rPr>
          <w:rFonts w:ascii="Arial" w:cs="Arial" w:eastAsia="Arial" w:hAnsi="Arial"/>
          <w:sz w:val="16"/>
          <w:szCs w:val="16"/>
          <w:color w:val="auto"/>
        </w:rPr>
      </w:pPr>
    </w:p>
    <w:p>
      <w:pPr>
        <w:spacing w:after="0" w:line="399" w:lineRule="exact"/>
        <w:rPr>
          <w:rFonts w:ascii="Arial" w:cs="Arial" w:eastAsia="Arial" w:hAnsi="Arial"/>
          <w:sz w:val="16"/>
          <w:szCs w:val="16"/>
          <w:color w:val="auto"/>
        </w:rPr>
      </w:pPr>
    </w:p>
    <w:p>
      <w:pPr>
        <w:jc w:val="both"/>
        <w:ind w:left="1360" w:right="79" w:hanging="324"/>
        <w:spacing w:after="0" w:line="258" w:lineRule="auto"/>
        <w:tabs>
          <w:tab w:leader="none" w:pos="1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UNITY-NHL Additional Cohorts</w:t>
      </w:r>
      <w:r>
        <w:rPr>
          <w:rFonts w:ascii="Arial" w:cs="Arial" w:eastAsia="Arial" w:hAnsi="Arial"/>
          <w:sz w:val="18"/>
          <w:szCs w:val="18"/>
          <w:color w:val="auto"/>
        </w:rPr>
        <w:t>: There are additional exploratory disease cohorts of the UNITY-NHL</w:t>
      </w:r>
      <w:r>
        <w:rPr>
          <w:rFonts w:ascii="Arial" w:cs="Arial" w:eastAsia="Arial" w:hAnsi="Arial"/>
          <w:sz w:val="18"/>
          <w:szCs w:val="18"/>
          <w:b w:val="1"/>
          <w:bCs w:val="1"/>
          <w:color w:val="auto"/>
        </w:rPr>
        <w:t xml:space="preserve"> </w:t>
      </w:r>
      <w:r>
        <w:rPr>
          <w:rFonts w:ascii="Arial" w:cs="Arial" w:eastAsia="Arial" w:hAnsi="Arial"/>
          <w:sz w:val="18"/>
          <w:szCs w:val="18"/>
          <w:color w:val="auto"/>
        </w:rPr>
        <w:t>trial focused on Diffuse Large B-Cell Lymphoma (DLBCL) and Mantle Cell Lymphoma (MCL). In total, there are currently four cohorts in the UNITY-NHL trial including, MZL, FL/SLL, DLBCL, and MCL. Each cohort is evaluated separately from the others. The MZL and FL cohorts are currently enrolling additional patients exploring the combination of U2.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880" w:right="79" w:hanging="330"/>
        <w:spacing w:after="0" w:line="285"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UNITY-CLL Phase 3 Trial Evaluating Umbralisib plus Ublituximab (U2): </w:t>
      </w:r>
      <w:r>
        <w:rPr>
          <w:rFonts w:ascii="Arial" w:cs="Arial" w:eastAsia="Arial" w:hAnsi="Arial"/>
          <w:sz w:val="16"/>
          <w:szCs w:val="16"/>
          <w:color w:val="auto"/>
        </w:rPr>
        <w:t>UNITY-CLL is a global Phase 3</w:t>
      </w:r>
      <w:r>
        <w:rPr>
          <w:rFonts w:ascii="Arial" w:cs="Arial" w:eastAsia="Arial" w:hAnsi="Arial"/>
          <w:sz w:val="16"/>
          <w:szCs w:val="16"/>
          <w:b w:val="1"/>
          <w:bCs w:val="1"/>
          <w:color w:val="auto"/>
        </w:rPr>
        <w:t xml:space="preserve"> </w:t>
      </w:r>
      <w:r>
        <w:rPr>
          <w:rFonts w:ascii="Arial" w:cs="Arial" w:eastAsia="Arial" w:hAnsi="Arial"/>
          <w:sz w:val="16"/>
          <w:szCs w:val="16"/>
          <w:color w:val="auto"/>
        </w:rPr>
        <w:t>randomized controlled clinical trial comparing the U2 combination to an active control arm of obinutuzumab plus chlorambucil in patients with both treatment-naïve and relapsed or refractory CLL. Two additional arms evaluating single agent ublituximab and single agent umbralisib were also enrolled for purposes of evaluating contribution in the U2 combination regimen. The primary endpoint for this study is progression free survival (PFS) which we intend to use to support a submission for approval of the U2 combination in CLL. The study completed enrollment in October 2017 with over 600 patients across the four treatment arms, with approximately 420 patients in the U2 and the active control arm combined. This trial is conducted under Special Protocol Assessment (SPA) with the FDA. In March of 2020 the DSMB reviewed safety information from all 600+ CLL patients on trial, including over 300 treatment-naïve and previously treated patients on umbralisib alone or in combination with ublituximab. Based on its review, no safety concerns were identified and the DSMB recommended the UNITY-CLL trial continue without modification. In March 2020, we announced during our quarterly earnings call, that we reached an agreement with the FDA to conduct an interim efficacy analysis, which would allow us to stop the study early for greater-than-expected PFS benefit. On May 5, 2020 we announced the UNITY-CLL trial met its primary endpoint at a prespecified interim analysis demonstrating a statistically significant improvement in PFS (p&lt;.0001) and will be stopped early for superior efficacy. PFS was assessed by an IRC, and benefit was also seen across both previously untreated and relapsed/refractory patient populations. Safety and other secondary endpoints are still being assessed and have not yet been reported. We are targeting a regulatory submission based on this trial to the FDA and submission of the full data set to a future medical conference by the end of 2020.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jc w:val="both"/>
        <w:ind w:left="880" w:right="79" w:hanging="330"/>
        <w:spacing w:after="0" w:line="273"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ULTIMATE I &amp; II Trials Evaluating Single Agent Ublituximab in RMS: </w:t>
      </w:r>
      <w:r>
        <w:rPr>
          <w:rFonts w:ascii="Arial" w:cs="Arial" w:eastAsia="Arial" w:hAnsi="Arial"/>
          <w:sz w:val="17"/>
          <w:szCs w:val="17"/>
          <w:color w:val="auto"/>
        </w:rPr>
        <w:t>ULTIMATE I and ULTIMATE II</w:t>
      </w:r>
      <w:r>
        <w:rPr>
          <w:rFonts w:ascii="Arial" w:cs="Arial" w:eastAsia="Arial" w:hAnsi="Arial"/>
          <w:sz w:val="17"/>
          <w:szCs w:val="17"/>
          <w:b w:val="1"/>
          <w:bCs w:val="1"/>
          <w:color w:val="auto"/>
        </w:rPr>
        <w:t xml:space="preserve"> </w:t>
      </w:r>
      <w:r>
        <w:rPr>
          <w:rFonts w:ascii="Arial" w:cs="Arial" w:eastAsia="Arial" w:hAnsi="Arial"/>
          <w:sz w:val="17"/>
          <w:szCs w:val="17"/>
          <w:color w:val="auto"/>
        </w:rPr>
        <w:t>are two independent Phase 3 trials. Each trial is a global, randomized, multi-center, double-blinded, double-dummy, active-controlled study comparing ublituximab to teriflunomide in subjects with relapsing forms of Multiple Sclerosis (RMS). The primary endpoint for each study is Annualized Relapse Rate (ARR) following 96 weeks of treatment, which we intend to use to support a submission for approval of ublituximab in RMS. These trials are conducted under an SPA with the FDA. Full enrollment was completed in October of 2018, with approximately 1,100 subjects enrolled in both studies combined.</w:t>
      </w:r>
    </w:p>
    <w:p>
      <w:pPr>
        <w:spacing w:after="0" w:line="171" w:lineRule="exact"/>
        <w:rPr>
          <w:rFonts w:ascii="Arial" w:cs="Arial" w:eastAsia="Arial" w:hAnsi="Arial"/>
          <w:sz w:val="17"/>
          <w:szCs w:val="17"/>
          <w:color w:val="auto"/>
        </w:rPr>
      </w:pPr>
    </w:p>
    <w:p>
      <w:pPr>
        <w:jc w:val="both"/>
        <w:ind w:left="880" w:right="79" w:hanging="330"/>
        <w:spacing w:after="0" w:line="303"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ULTRA-V Phase 2b Trial Evaluating U2 Plus Venetoclax in CLL: </w:t>
      </w:r>
      <w:r>
        <w:rPr>
          <w:rFonts w:ascii="Arial" w:cs="Arial" w:eastAsia="Arial" w:hAnsi="Arial"/>
          <w:sz w:val="16"/>
          <w:szCs w:val="16"/>
          <w:color w:val="auto"/>
        </w:rPr>
        <w:t>ULTRA-V is a Phase 2b open-label,</w:t>
      </w:r>
      <w:r>
        <w:rPr>
          <w:rFonts w:ascii="Arial" w:cs="Arial" w:eastAsia="Arial" w:hAnsi="Arial"/>
          <w:sz w:val="16"/>
          <w:szCs w:val="16"/>
          <w:b w:val="1"/>
          <w:bCs w:val="1"/>
          <w:color w:val="auto"/>
        </w:rPr>
        <w:t xml:space="preserve"> </w:t>
      </w:r>
      <w:r>
        <w:rPr>
          <w:rFonts w:ascii="Arial" w:cs="Arial" w:eastAsia="Arial" w:hAnsi="Arial"/>
          <w:sz w:val="16"/>
          <w:szCs w:val="16"/>
          <w:color w:val="auto"/>
        </w:rPr>
        <w:t>multicenter, registration-directed clinical trial designed to investigate the efficacy and safety of ublituximab and umbralisib (U2) combined with venetoclax in subjects with treatment-naïve and relapsed or refractory CLL. The primary endpoint for this study is ORR and Complete Response (CR) rate. This trial is currently enrolling.</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CORPORATE</w:t>
      </w:r>
    </w:p>
    <w:p>
      <w:pPr>
        <w:spacing w:after="0" w:line="202" w:lineRule="exact"/>
        <w:rPr>
          <w:sz w:val="20"/>
          <w:szCs w:val="20"/>
          <w:color w:val="auto"/>
        </w:rPr>
      </w:pPr>
    </w:p>
    <w:p>
      <w:pPr>
        <w:jc w:val="both"/>
        <w:ind w:left="60" w:right="59" w:firstLine="486"/>
        <w:spacing w:after="0" w:line="286" w:lineRule="auto"/>
        <w:rPr>
          <w:sz w:val="20"/>
          <w:szCs w:val="20"/>
          <w:color w:val="auto"/>
        </w:rPr>
      </w:pPr>
      <w:r>
        <w:rPr>
          <w:rFonts w:ascii="Arial" w:cs="Arial" w:eastAsia="Arial" w:hAnsi="Arial"/>
          <w:sz w:val="17"/>
          <w:szCs w:val="17"/>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jc w:val="both"/>
        <w:ind w:left="60" w:right="59" w:firstLine="486"/>
        <w:spacing w:after="0" w:line="301"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including clinical trial related expenses. We expense our research and development costs as they are incurred.</w:t>
      </w:r>
    </w:p>
    <w:p>
      <w:pPr>
        <w:spacing w:after="0" w:line="157" w:lineRule="exact"/>
        <w:rPr>
          <w:sz w:val="20"/>
          <w:szCs w:val="20"/>
          <w:color w:val="auto"/>
        </w:rPr>
      </w:pPr>
    </w:p>
    <w:p>
      <w:pPr>
        <w:jc w:val="both"/>
        <w:ind w:left="60" w:right="59" w:firstLine="486"/>
        <w:spacing w:after="0" w:line="263" w:lineRule="auto"/>
        <w:rPr>
          <w:sz w:val="20"/>
          <w:szCs w:val="20"/>
          <w:color w:val="auto"/>
        </w:rPr>
      </w:pPr>
      <w:r>
        <w:rPr>
          <w:rFonts w:ascii="Arial" w:cs="Arial" w:eastAsia="Arial" w:hAnsi="Arial"/>
          <w:sz w:val="18"/>
          <w:szCs w:val="18"/>
          <w:color w:val="auto"/>
        </w:rPr>
        <w:t>Our general and administrative expenses consist primarily of salaries and related expenses for executive, finance, commercial and other administrative personnel, recruitment expenses, professional fees and other corporate expenses, including investor relations, legal activities and facilities-related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Our results of operations include noncash compensation expenses as a result of the grants of restricted stock. Compensation expense for awards of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88" w:lineRule="exact"/>
        <w:rPr>
          <w:sz w:val="20"/>
          <w:szCs w:val="20"/>
          <w:color w:val="auto"/>
        </w:rPr>
      </w:pPr>
    </w:p>
    <w:p>
      <w:pPr>
        <w:jc w:val="both"/>
        <w:ind w:left="60" w:right="79" w:firstLine="486"/>
        <w:spacing w:after="0" w:line="279" w:lineRule="auto"/>
        <w:rPr>
          <w:sz w:val="20"/>
          <w:szCs w:val="20"/>
          <w:color w:val="auto"/>
        </w:rPr>
      </w:pPr>
      <w:r>
        <w:rPr>
          <w:rFonts w:ascii="Arial" w:cs="Arial" w:eastAsia="Arial" w:hAnsi="Arial"/>
          <w:sz w:val="17"/>
          <w:szCs w:val="17"/>
          <w:color w:val="auto"/>
        </w:rPr>
        <w:t>We recognize all stock-based payments to employees and non-employee directors (as compensation for service) as noncash compensation expense in the consolidated financial statements based on the fair values of such payments. Stock-based compensation expense recognized each period is based on the value of the portion of stock-based payment awards that is ultimately expected to vest during the period. Forfeitures are recognized as they occur.</w:t>
      </w:r>
    </w:p>
    <w:p>
      <w:pPr>
        <w:spacing w:after="0" w:line="171"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 parties vest upon achievement of certain milestones, the total expense is uncertain. Compensation expense for such awards that vest upon the achievement of milestones is recognized when the achievement of such milestones becomes probable.</w:t>
      </w:r>
    </w:p>
    <w:p>
      <w:pPr>
        <w:spacing w:after="0" w:line="187" w:lineRule="exact"/>
        <w:rPr>
          <w:sz w:val="20"/>
          <w:szCs w:val="20"/>
          <w:color w:val="auto"/>
        </w:rPr>
      </w:pPr>
    </w:p>
    <w:p>
      <w:pPr>
        <w:jc w:val="both"/>
        <w:ind w:left="60" w:right="59" w:firstLine="486"/>
        <w:spacing w:after="0" w:line="253"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diseases, there is no guarantee that we will be able to record commercial sales of any of our drug candidates in the near future, or at all. In addition, we expect losses to continue as we fund in-licensing and development of new drug candidates. As we further our development efforts, we may enter into additional third-party collaborative agreements and incur additional expenses, such as licensing fees and milestone payments. In addition, we may need to establish a commercial infrastructure required to manufacture, market and sell our medicines following approval, if any, by the FDA or a foreign health authority, which would result in incurring additional expenses. As a result, our quarterly results may fluctuate and a quarter-by-quarter comparison of our operating results may not be a meaningful indication of our future performance.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189"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$38,000 for each of the three months ended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2019. License revenue is 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47"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related to equity incentive grants totaled $2.0 million for the three months ended March 31, 2020, as compared to $1.5 million during the comparable period in 2019. The increase in noncash compensation expense was primarily due to greater compensation expense related to more research and development personnel during the period ended March 31, 2020.</w:t>
      </w:r>
    </w:p>
    <w:p>
      <w:pPr>
        <w:spacing w:after="0" w:line="161"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i w:val="1"/>
          <w:iCs w:val="1"/>
          <w:color w:val="auto"/>
        </w:rPr>
        <w:t xml:space="preserve">Other Research and Development Expenses. </w:t>
      </w:r>
      <w:r>
        <w:rPr>
          <w:rFonts w:ascii="Arial" w:cs="Arial" w:eastAsia="Arial" w:hAnsi="Arial"/>
          <w:sz w:val="16"/>
          <w:szCs w:val="16"/>
          <w:color w:val="auto"/>
        </w:rPr>
        <w:t>Other research and development expenses increased by $3.1 million to</w:t>
      </w:r>
      <w:r>
        <w:rPr>
          <w:rFonts w:ascii="Arial" w:cs="Arial" w:eastAsia="Arial" w:hAnsi="Arial"/>
          <w:sz w:val="16"/>
          <w:szCs w:val="16"/>
          <w:i w:val="1"/>
          <w:iCs w:val="1"/>
          <w:color w:val="auto"/>
        </w:rPr>
        <w:t xml:space="preserve"> </w:t>
      </w:r>
      <w:r>
        <w:rPr>
          <w:rFonts w:ascii="Arial" w:cs="Arial" w:eastAsia="Arial" w:hAnsi="Arial"/>
          <w:sz w:val="16"/>
          <w:szCs w:val="16"/>
          <w:color w:val="auto"/>
        </w:rPr>
        <w:t>$34.0 million for the three months ended March 31, 2020, as compared to $30.9 million for the three months ended March 31, 2019. The increase in R&amp;D expense is primarily attributable to ongoing late-stage clinical development programs and related manufacturing costs for ublituximab during the three months ended March 31, 2020.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i w:val="1"/>
          <w:iCs w:val="1"/>
          <w:color w:val="auto"/>
        </w:rPr>
        <w:t xml:space="preserve">Noncash Compensation Expense (General and Administrative). </w:t>
      </w:r>
      <w:r>
        <w:rPr>
          <w:rFonts w:ascii="Arial" w:cs="Arial" w:eastAsia="Arial" w:hAnsi="Arial"/>
          <w:sz w:val="17"/>
          <w:szCs w:val="17"/>
          <w:color w:val="auto"/>
        </w:rPr>
        <w:t>Noncash compensation expense (general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related to equity incentive grants increased by $8.7 million to $9.1 million for the three months ended March 31, 2020, as compared to $0.4 million for the three months ended March 31, 2019. The increase in noncash compensation expense was primarily related to greater compensation expense during the three months ended March 31, 2020 related to restricted stock and stock options granted to executive personnel.</w:t>
      </w:r>
    </w:p>
    <w:p>
      <w:pPr>
        <w:spacing w:after="0" w:line="149" w:lineRule="exact"/>
        <w:rPr>
          <w:sz w:val="20"/>
          <w:szCs w:val="20"/>
          <w:color w:val="auto"/>
        </w:rPr>
      </w:pPr>
    </w:p>
    <w:p>
      <w:pPr>
        <w:jc w:val="both"/>
        <w:ind w:left="60" w:right="79" w:firstLine="492"/>
        <w:spacing w:after="0" w:line="279" w:lineRule="auto"/>
        <w:rPr>
          <w:sz w:val="20"/>
          <w:szCs w:val="20"/>
          <w:color w:val="auto"/>
        </w:rPr>
      </w:pPr>
      <w:r>
        <w:rPr>
          <w:rFonts w:ascii="Arial" w:cs="Arial" w:eastAsia="Arial" w:hAnsi="Arial"/>
          <w:sz w:val="17"/>
          <w:szCs w:val="17"/>
          <w:i w:val="1"/>
          <w:iCs w:val="1"/>
          <w:color w:val="auto"/>
        </w:rPr>
        <w:t>Other General and Administrative Expenses</w:t>
      </w:r>
      <w:r>
        <w:rPr>
          <w:rFonts w:ascii="Arial" w:cs="Arial" w:eastAsia="Arial" w:hAnsi="Arial"/>
          <w:sz w:val="17"/>
          <w:szCs w:val="17"/>
          <w:color w:val="auto"/>
        </w:rPr>
        <w:t>. Other general and administrative expenses was $5.2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March 31, 2020, as compared to $1.9 million for the three months ended March 31, 2019. The increase was due primarily to increased personnel and other general and administrative costs. We expect our other general and administrative expenses to increase modestly during 2020 in preparation for potential launch.</w:t>
      </w:r>
    </w:p>
    <w:p>
      <w:pPr>
        <w:spacing w:after="0" w:line="131"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increased by $0.4 million to $1.2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as compared to $0.8 million for the three months ended March 31, 2019. The increase is mainly due to interest expense related to the Hercules financing agreement and the associated amortization of debt issuance costs for the three months ended March 31, 2020 compared to one month during the three months ended March 31, 2019.</w:t>
      </w:r>
    </w:p>
    <w:p>
      <w:pPr>
        <w:spacing w:after="0" w:line="131"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was $0.3 million for both periods ended March 31, 2020 and 2019.We expect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 remain at a comparable level for the remainder of 2020.</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Our primary sources of cash have been from the sale of equity securities, debt financings, the upfront payment from our Sublicense Agreement with Ildong, and warrant and option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37"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As of March 31, 2020, we had approximately $78.3 million in cash and cash equivalents, and investment securities. We anticipate that our cash, cash equivalents, and investment securities on hand as of March 31, 2020 combined with the additional capital raised in the second quarter of 2020, will provide sufficient liquidity for more than a twelve-month period from the date of filing this Quarterly Report on Form 10-Q.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50"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Cash used in operating activities for the three months ended March 31, 2020 was $62.1 million as compared to $33.4 million for the three months ended March 31, 2019. The increase in cash used in operating activities was due primarily to increased expenditures associated with our scale-up for manufacturing as well as ongoing clinical development programs and paydown of accounts payable and accrued expenses.</w:t>
      </w:r>
    </w:p>
    <w:p>
      <w:pPr>
        <w:spacing w:after="0" w:line="146"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For the three months ended March 31, 2020, net cash provided by investing activities was $1.5 million as compared to cash used in investing activities of $1.1 million for the three months ended March 31, 2019. The increase in net cash provided by investing activities was primarily due to greater proceeds from the maturity of short-term investment in treasury securities during the three months ended March 31, 2020.</w:t>
      </w:r>
    </w:p>
    <w:p>
      <w:pPr>
        <w:spacing w:after="0" w:line="146"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For the three months ended March 31, 2020, net cash provided by financing activities of $0.1 million related to the net proceeds from the exercise of stock options in the first quarter of 2020.</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02"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As of March 31, 2020, we have known contractual obligations, commitments and contingencies of $78.2 million related to our long-term debt, contract manufacturer and operating lease obligations.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Payment due by period (in thousands)</w:t>
            </w:r>
          </w:p>
        </w:tc>
        <w:tc>
          <w:tcPr>
            <w:tcW w:w="140" w:type="dxa"/>
            <w:vAlign w:val="bottom"/>
          </w:tcPr>
          <w:p>
            <w:pPr>
              <w:spacing w:after="0"/>
              <w:rPr>
                <w:sz w:val="16"/>
                <w:szCs w:val="1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Less than 1 year</w:t>
            </w:r>
          </w:p>
        </w:tc>
        <w:tc>
          <w:tcPr>
            <w:tcW w:w="860" w:type="dxa"/>
            <w:vAlign w:val="bottom"/>
            <w:gridSpan w:val="3"/>
            <w:vMerge w:val="restart"/>
          </w:tcPr>
          <w:p>
            <w:pPr>
              <w:ind w:left="80"/>
              <w:spacing w:after="0" w:line="161" w:lineRule="exact"/>
              <w:rPr>
                <w:sz w:val="20"/>
                <w:szCs w:val="20"/>
                <w:color w:val="auto"/>
              </w:rPr>
            </w:pPr>
            <w:r>
              <w:rPr>
                <w:rFonts w:ascii="Arial" w:cs="Arial" w:eastAsia="Arial" w:hAnsi="Arial"/>
                <w:sz w:val="14"/>
                <w:szCs w:val="14"/>
                <w:b w:val="1"/>
                <w:bCs w:val="1"/>
                <w:color w:val="auto"/>
              </w:rPr>
              <w:t>1</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3 years</w:t>
            </w:r>
          </w:p>
        </w:tc>
        <w:tc>
          <w:tcPr>
            <w:tcW w:w="100" w:type="dxa"/>
            <w:vAlign w:val="bottom"/>
          </w:tcPr>
          <w:p>
            <w:pPr>
              <w:spacing w:after="0"/>
              <w:rPr>
                <w:sz w:val="16"/>
                <w:szCs w:val="16"/>
                <w:color w:val="auto"/>
              </w:rPr>
            </w:pPr>
          </w:p>
        </w:tc>
        <w:tc>
          <w:tcPr>
            <w:tcW w:w="780" w:type="dxa"/>
            <w:vAlign w:val="bottom"/>
            <w:gridSpan w:val="2"/>
            <w:vMerge w:val="restart"/>
          </w:tcPr>
          <w:p>
            <w:pPr>
              <w:spacing w:after="0" w:line="161" w:lineRule="exact"/>
              <w:rPr>
                <w:sz w:val="20"/>
                <w:szCs w:val="20"/>
                <w:color w:val="auto"/>
              </w:rPr>
            </w:pPr>
            <w:r>
              <w:rPr>
                <w:rFonts w:ascii="Arial" w:cs="Arial" w:eastAsia="Arial" w:hAnsi="Arial"/>
                <w:sz w:val="14"/>
                <w:szCs w:val="14"/>
                <w:b w:val="1"/>
                <w:bCs w:val="1"/>
                <w:color w:val="auto"/>
              </w:rPr>
              <w:t>3</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More than 5 years</w:t>
            </w: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Contractual obligations</w:t>
            </w: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19,907</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2,259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3,807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3,625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10,216</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Contract manufacturer</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28,261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78,168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33,807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The terms of certain of our licenses, royalties, development and collaboration agreements, as well as other research and development activities, require us to pay potential future milestone payments based on product development success. The above table excludes such obligations as the amount and timing of such obligations are unknown or uncertain.</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37"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47"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The Company recognizes revenue under ASC Topic 606, Revenue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(“ASC 606”). The core principle of this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61"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170"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46" w:lineRule="exact"/>
        <w:rPr>
          <w:sz w:val="20"/>
          <w:szCs w:val="20"/>
          <w:color w:val="auto"/>
        </w:rPr>
      </w:pPr>
    </w:p>
    <w:p>
      <w:pPr>
        <w:ind w:left="1040" w:right="79" w:hanging="315"/>
        <w:spacing w:after="0" w:line="274"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customer can benefit from the good or service either on its own or together with other resources that are readily available to the customer (i.e., the good or service is capable of being distinct); and</w:t>
      </w:r>
    </w:p>
    <w:p>
      <w:pPr>
        <w:jc w:val="both"/>
        <w:ind w:left="1040" w:right="79" w:hanging="315"/>
        <w:spacing w:after="0" w:line="255"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43"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52"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184"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i w:val="1"/>
          <w:iCs w:val="1"/>
          <w:color w:val="auto"/>
        </w:rPr>
        <w:t xml:space="preserve">Stock Compensation. </w:t>
      </w:r>
      <w:r>
        <w:rPr>
          <w:rFonts w:ascii="Arial" w:cs="Arial" w:eastAsia="Arial" w:hAnsi="Arial"/>
          <w:sz w:val="17"/>
          <w:szCs w:val="17"/>
          <w:color w:val="auto"/>
        </w:rPr>
        <w:t>We have granted stock options and restricted stock to employees, directors and consultants,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warrants to other third parties. For employee, director and consultant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because some of the options, restricted stock and warrants issued to employees, consultants and other third parties vest upon the achievement of certain milestones, the total expense is uncertain. Compensation expense for such awards that vest upon the achievement of milestones is recognized when the achievement of such milestone becomes probable.</w:t>
      </w:r>
    </w:p>
    <w:p>
      <w:pPr>
        <w:spacing w:after="0" w:line="138"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6"/>
          <w:szCs w:val="16"/>
          <w:i w:val="1"/>
          <w:iCs w:val="1"/>
          <w:color w:val="auto"/>
        </w:rPr>
        <w:t>Accruals for Clinical Research Organization and Clinical Site Costs</w:t>
      </w:r>
      <w:r>
        <w:rPr>
          <w:rFonts w:ascii="Arial" w:cs="Arial" w:eastAsia="Arial" w:hAnsi="Arial"/>
          <w:sz w:val="16"/>
          <w:szCs w:val="16"/>
          <w:color w:val="auto"/>
        </w:rPr>
        <w:t>. We make estimates of costs incurred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44"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i w:val="1"/>
          <w:iCs w:val="1"/>
          <w:color w:val="auto"/>
        </w:rPr>
        <w:t>Accounting for Income Taxes</w:t>
      </w:r>
      <w:r>
        <w:rPr>
          <w:rFonts w:ascii="Arial" w:cs="Arial" w:eastAsia="Arial" w:hAnsi="Arial"/>
          <w:sz w:val="17"/>
          <w:szCs w:val="17"/>
          <w:color w:val="auto"/>
        </w:rPr>
        <w:t>. In preparing our consolidated financial statements, we are required to estimate our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in each of the 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24"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ASC 840, Leases (ASC 840).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96"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ASU 2018-11 is effective for public business entities for fiscal years beginning after December 15, 2018, and interim periods within those fiscal years, with earlier adoption permitted. The Company adopted ASU 2018-11 on January 1, 2019 using a modified retrospective method and will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liability to our consolidated balance sheets at January 1, 2019, primarily relating to our lease of office space (see Note 8). The impact to our consolidated statements of operations was not material as a result of this standard.</w:t>
      </w:r>
    </w:p>
    <w:p>
      <w:pPr>
        <w:spacing w:after="0" w:line="111"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In June 2018, the FASB issued ASU No. 2018-07, Improvements to Nonemployee Share-Based Payment Accounting (ASU 2018-07). ASU 2018-07 expands the scope of FASB Topic 718, Compensation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13"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ASU 2018-07 is effective for public business entities for fiscal years beginning after December 15, 2018, including interim periods within that fiscal year.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47"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March 31, 2020, our portfolio of financial instruments consists of cash equivalents, including bank deposits, and investments.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March 31, 2020,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2020, our disclosure controls and procedures were effective.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02" w:lineRule="exact"/>
        <w:rPr>
          <w:sz w:val="20"/>
          <w:szCs w:val="20"/>
          <w:color w:val="auto"/>
        </w:rPr>
      </w:pPr>
    </w:p>
    <w:p>
      <w:pPr>
        <w:jc w:val="both"/>
        <w:ind w:left="60" w:right="79" w:firstLine="492"/>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March 31,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You should carefully consider the following risk factors and the other information contained elsewhere in this Quarterly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Additionally, many of these risks and uncertainties are currently elevated by and may or will continue to be elevated by the COVID-19 pandemic.</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Major public health issues, and specifically the pandemic caused by COVID-19, could have an adverse impact on our financial condition and results of operations and other aspects of our business.</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December 2019, a novel strain of coronavirus which causes a disease referred to as COVID-19, was first detected in Wuhan, China, and has since spread to other regions, including the United States, Europe, India and other parts of Asia. On March 11, 2020, the World Health Organization declared that the rapidly spreading COVID-19 outbreak had evolved into a pandemic. In response to the pandemic, many governments around the world are implementing a variety of control measures to reduce the spread of COVID-19, including travel restrictions and bans, instructions to residents to practice social distancing, quarantine advisories, shelter-in-place orders and required closures of non-essential businesses.</w:t>
      </w:r>
    </w:p>
    <w:p>
      <w:pPr>
        <w:spacing w:after="0" w:line="16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COVID-19 pandemic has negatively impacted the global economy, disrupted global supply chains, and created significant volatility and disruption of financial markets. Although COVID-19 has not had a material adverse effect on our business to date, no assurance can be given that it will not in the future if the situation persists or worsens. The extent to which the COVID-19 pandemic impacts our business and operating results will depend on future developments that are highly uncertain and cannot be accurately predicted, including new information that may emerge concerning the virus and the actions to contain it or treat its impact, the duration, spread and severity of the COVID-19 pandemic, and how quickly and to what extent normal economic and operating conditions can resume if and when the pandemic subsides, among others.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Should the COVID-19 pandemic persist or worsen and government restrictions continue, our business operations could be materially delayed or interrupted. For instance, our ongoing clinical trials may be delayed or compromised; our ability to conduct new clinical trials may be adversely impacted; our supply chain may be disrupted; health authority review of our regulatory submissions may be delayed; and our ability to successfully commercialize any product candidates, if approved, may be adversely impacted. It is unknown how long these disruptions could continue, were they to occur. Any delay in our clinical trials or in regulatory review resulting from such disruptions could materially affect the development and commercialization of our product candidates.</w:t>
      </w:r>
    </w:p>
    <w:p>
      <w:pPr>
        <w:spacing w:after="0" w:line="19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currently rely on third parties for certain functions or services in support of our clinical trials and key areas of our operations. These third parties include contract research organizations (CROs), medical institutions and clinical investigators, contract manufacturing organizations, suppliers, and external business partners supporting our preparations for commercialization. If these third parties themselves are adversely impacted by restrictions resulting from the COVID-19 outbreak, we will likely experience delays and/or realize additional costs. As a result, our efforts to obtain regulatory approvals for, and to commercialize, our product candidates may be delayed or disrupted.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addition, as a result of government directives on social distancing and to protect the health of our workforce, we have asked our office-based employees to work remotely and have restricted domestic and international travel indefinitely. Third parties on which we rely may also increase their use of remote working arrangements in response to COVID-19. Our increased reliance on personnel working remotely may negatively impact productivity, including our ability to monitor clinical trials, prepare regulatory applications, and conduct data analysis, or disrupt, delay, or otherwise adversely impact our business. In addition, remote working could increase our cybersecurity risk and make us more susceptible to communication disruptions, any of which could adversely impact our business operations or delay necessary interactions with local and federal regulators, manufacturing sites, research or clinical trial sites and contractors.</w:t>
      </w:r>
    </w:p>
    <w:p>
      <w:pPr>
        <w:spacing w:after="0" w:line="16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potential economic impact brought by and the duration of the pandemic may be difficult to assess or predict. However, it has already caused, and is likely to result in further, significant disruption of global financial markets. It is likely that the pandemic will cause an economic slowdown of potentially extended duration, and it is possible that it could cause a global recession. This disruption may reduce our ability to access capital either at all or on favorable terms. In addition, a recession, depression or other sustained adverse market event resulting from the spread of COVID-19 could materially and adversely affect our business and the value of our common stock.</w:t>
      </w:r>
    </w:p>
    <w:p>
      <w:pPr>
        <w:spacing w:after="0" w:line="178"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The ultimate impact of the current pandemic, or any other health epidemic, is highly uncertain and subject to change. We do not yet know the full extent of potential delays or impacts on our business, our clinical trials, our research programs, healthcare systems or the global economy as a whole. However, these effects could have a material adverse effect on our business, financial condition and results of operations.</w:t>
      </w:r>
    </w:p>
    <w:p>
      <w:pPr>
        <w:spacing w:after="0" w:line="187"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To the extent the COVID-19 pandemic materially adversely affects our business and financial results, it may also have the effect of significantly heightening many of the other risks described in this “Risk Factors” section.</w:t>
      </w:r>
    </w:p>
    <w:p>
      <w:pPr>
        <w:spacing w:after="0" w:line="14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on our clinical development program if the pandemic and associated government control measures continue.</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ongoing COVID-19 pandemic has presented substantial public health challenges and is impacting the global healthcare system, including the conduct of clinical trials in the U.S. and other parts of the world. As a result of the COVID-19 pandemic, we may encounter delays in our clinical development program. The majority of our clinical trials involve patients with cancer or those receiving ongoing immunosuppressive therapy who may be at higher risk of infection. These patients are thus more likely to be subject to travel restrictions and self-quarantining and may be more likely to withdraw from our clinical trials or unable to complete study assessments. We have made efforts to allow patients currently enrolled in our ongoing clinical trials to continue unimpeded and have continued to allow new patients to enroll in our trials.</w:t>
      </w:r>
    </w:p>
    <w:p>
      <w:pPr>
        <w:spacing w:after="0" w:line="192"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UNITY-NHL FL and MZL umbralisib monotherapy cohorts, the UNITY-CLL and the ULTIMATE I and II trials are fully enrolled. However, follow-up is ongoing and data continue to be collected from these studies. These data collection efforts rely on study participants’ ability to contribute such data, often through study specific visits and procedures that can only be conducted in-person. While we anticipate minimal impact from COVID-19 on the previously estimated timelines for these trials, no guarantee can be made that our estimated timelines, or the ultimate outcome from these trials, will not be materially negatively impacted by the COVID-19 pandemic.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Further, we may not be able to complete our clinical trials that we initiated more recently and for which we have not yet completed enrollment in the time frame that we had previously planned. In addition, the pandemic may adversely affect our ability to conduct new trials. Some factors from the COVID-19 outbreak that may delay or otherwise adversely affect our clinical trial programs, as well as adversely impact our business generally, include:</w:t>
      </w:r>
    </w:p>
    <w:p>
      <w:pPr>
        <w:spacing w:after="0" w:line="171" w:lineRule="exact"/>
        <w:rPr>
          <w:sz w:val="20"/>
          <w:szCs w:val="20"/>
          <w:color w:val="auto"/>
        </w:rPr>
      </w:pPr>
    </w:p>
    <w:p>
      <w:pPr>
        <w:jc w:val="both"/>
        <w:ind w:left="720" w:right="79" w:hanging="319"/>
        <w:spacing w:after="0" w:line="284"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delays or difficulties in clinical site initiation, including difficulties in recruiting and retaining clinical sites, impacts on compliance with clinical study protocols, delays enrolling patients in our clinical trials, decreased enrollment in our clinical trials or increased rates of patients withdrawing from our clinical trials following enrollment, in each case, as a result of patients contracting COVID-19, being forced to quarantine, experiencing reluctance to seek medical attention in a healthcare facility setting, or otherwise not being able or willing to complete study assessments, particularly for older patients or others with a higher risk of contracting COVID-19;</w:t>
      </w:r>
    </w:p>
    <w:p>
      <w:pPr>
        <w:spacing w:after="0" w:line="4" w:lineRule="exact"/>
        <w:rPr>
          <w:rFonts w:ascii="Arial" w:cs="Arial" w:eastAsia="Arial" w:hAnsi="Arial"/>
          <w:sz w:val="16"/>
          <w:szCs w:val="16"/>
          <w:color w:val="auto"/>
        </w:rPr>
      </w:pPr>
    </w:p>
    <w:p>
      <w:pPr>
        <w:ind w:left="720" w:right="79" w:hanging="319"/>
        <w:spacing w:after="0" w:line="191" w:lineRule="auto"/>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impacts to clinical results, including an increased number of observed adverse events, as a result of participants enrolled in our clinical trials contracting COVID-19;</w:t>
      </w:r>
    </w:p>
    <w:p>
      <w:pPr>
        <w:spacing w:after="0" w:line="1" w:lineRule="exact"/>
        <w:rPr>
          <w:rFonts w:ascii="Arial" w:cs="Arial" w:eastAsia="Arial" w:hAnsi="Arial"/>
          <w:sz w:val="29"/>
          <w:szCs w:val="29"/>
          <w:color w:val="auto"/>
          <w:vertAlign w:val="superscript"/>
        </w:rPr>
      </w:pPr>
    </w:p>
    <w:p>
      <w:pPr>
        <w:jc w:val="both"/>
        <w:ind w:left="720" w:right="79" w:hanging="319"/>
        <w:spacing w:after="0" w:line="208" w:lineRule="auto"/>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diversion of healthcare resources, including clinical trial investigators and staff, away from the conduct of clinical trials to focus on pandemic concerns or, when the pandemic subsides, to address the backlog of patients who have deferred medical procedures during the pendency of the pandemic;</w:t>
      </w:r>
    </w:p>
    <w:p>
      <w:pPr>
        <w:jc w:val="both"/>
        <w:ind w:left="720" w:right="79" w:hanging="319"/>
        <w:spacing w:after="0" w:line="218" w:lineRule="auto"/>
        <w:tabs>
          <w:tab w:leader="none" w:pos="72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limitations on travel, including limitations on domestic and international travel, and government-imposed quarantines or restrictions imposed by key third parties that could interrupt key trial activities, such as clinical trial site initiations and monitoring, which may impact the integrity of subject data and clinical study endpoints;</w:t>
      </w:r>
    </w:p>
    <w:p>
      <w:pPr>
        <w:jc w:val="both"/>
        <w:ind w:left="720" w:right="79" w:hanging="319"/>
        <w:spacing w:after="0" w:line="208" w:lineRule="auto"/>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or interruption in global shipping that may affect the transport of clinical trial materials;</w:t>
      </w:r>
    </w:p>
    <w:p>
      <w:pPr>
        <w:ind w:left="720" w:right="79" w:hanging="319"/>
        <w:spacing w:after="0" w:line="191" w:lineRule="auto"/>
        <w:tabs>
          <w:tab w:leader="none" w:pos="720"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disruptions and delays caused by potential workplace, laboratory and office closures and an increased reliance on employees working from home across the healthcare system;</w:t>
      </w:r>
    </w:p>
    <w:p>
      <w:pPr>
        <w:spacing w:after="0" w:line="1" w:lineRule="exact"/>
        <w:rPr>
          <w:rFonts w:ascii="Arial" w:cs="Arial" w:eastAsia="Arial" w:hAnsi="Arial"/>
          <w:sz w:val="29"/>
          <w:szCs w:val="29"/>
          <w:color w:val="auto"/>
          <w:vertAlign w:val="superscript"/>
        </w:rPr>
      </w:pPr>
    </w:p>
    <w:p>
      <w:pPr>
        <w:jc w:val="both"/>
        <w:ind w:left="720" w:right="79" w:hanging="319"/>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in or delays to regulatory approvals, inspections, reviews or other regulatory activities, including review of NDAs and approvals of protocol changes or amendments to SPAs, as a result of the spread of COVID-19 affecting the operations of the FDA or other regulatory authorities</w:t>
      </w:r>
      <w:r>
        <w:rPr>
          <w:rFonts w:ascii="Arial" w:cs="Arial" w:eastAsia="Arial" w:hAnsi="Arial"/>
          <w:sz w:val="18"/>
          <w:szCs w:val="18"/>
          <w:b w:val="1"/>
          <w:bCs w:val="1"/>
          <w:color w:val="auto"/>
        </w:rPr>
        <w:t>;</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clinical trials are conducted, which may result in unexpected costs, or to discontinue the clinical trials altogether;</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launching or commercializing products, including due to reduced access to doctors as a result of social distancing protocols; and</w:t>
      </w:r>
    </w:p>
    <w:p>
      <w:pPr>
        <w:ind w:left="720" w:hanging="319"/>
        <w:spacing w:after="0"/>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negative effects on the quality, completeness, integrity, interpretability and cost of our clinical study data.</w:t>
      </w:r>
    </w:p>
    <w:p>
      <w:pPr>
        <w:spacing w:after="0" w:line="15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disruptions discussed above and other consequences of COVID-19 pandemic could result in missed study visits or study procedures in our clinical trials, which could lead to an abundance of protocol deviations that impact the interpretability of the trial results. A significant number of deviations may call into question whether the execution of a clinical trial was consistent with the protocol, which is of particular importance where study designs were agreed to as part of a Special Protocol Assessment (SPA) as in the case of our Phase 3 clinical trial for the combination of ublituximab plus umbralisib for patients with chronic lymphocytic leukemia (UNITY CLL) and our registration program for ublituximab in relapsing multiple sclerosis (ULTIMATE I and II). In extreme cases, significant deviations from the protocol may be considered a violation of the SPA and result in potential rescindment of the SPA agreement, which could adversely affect our ability to use the results of the impacted study to support a future regulatory application.</w:t>
      </w:r>
    </w:p>
    <w:p>
      <w:pPr>
        <w:spacing w:after="0" w:line="113"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will continue to monitor the potential impact of COVID-19 on our clinical trial program, however, the full extent to which the COVID-19 pandemic may directly or indirectly impact the progress of our current and planned trials will depend on future developments that are highly uncertain and cannot be accurately predicted.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(API), drug product, regulatory starting materials and intermediates for drug substance and other materials used in our drug candidates are our sole source of supply, and the loss or disruption of any of these suppliers, including as a result of the COVID-19 pandemic, could significantly harm our business.</w:t>
      </w:r>
    </w:p>
    <w:p>
      <w:pPr>
        <w:spacing w:after="0" w:line="11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API, drug product and drug substance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product and drug substance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public health emergencies such as the COVID-19 pandemic or natural disasters that may cause those suppliers to stop work for a period of time. If any of our suppliers ceases its operations for any reason or is unable or unwilling to supply API, drug product, drug substance and other materials in sufficient quantities or on the timelines necessary to meet our needs, it could significantly and adversely affect our business, the supply of our drug candidates and our financial condition. In addition, if our current or future supply of any of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Although COVID-19 has not had a material adverse effect on our supply chain to date, no assurance can be given that it will not in the future if the situation persists or worsens. Umbralisib is manufactured in India, ublituximab is manufactured in South Korea, and TG-1701 is manufactured in China. Each of these countries continues to be, or has been, subject to government-imposed quarantines and travel restrictions due to the COVID-19 pandemic, which, in some cases, have resulted in reduced operations at manufacturing and research locations and time-limited shutdowns. Our contract manufacturers for umbralisib and ublituximab are continuing operations at varying levels of capacity. We are working closely with our contract manufacturer for umbralisib to ensure availability of sufficient commercial supply by a projected Prescription Drug User Fee Act (PDUFA) date, which is based on our current New Drug Application (NDA) submission timeline. We also are working closely with our contract manufacturer for ublituximab to prepare for our anticipated commercial supply needs. We believe that we have sufficient inventory of clinical supplies of umbralisib, ublituximab and TG-1701 to support our current clinical program needs through 2020. We will continue to monitor the situation very closely with our suppliers in impacted regions.</w:t>
      </w:r>
    </w:p>
    <w:p>
      <w:pPr>
        <w:spacing w:after="0" w:line="179"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continually evaluate our supply chains to identify potential risks and will take steps, as necessary, to identify additional manufacturers and other suppliers to provide API, drug product and drug substance. However, establishing additional or replacement suppliers for the API, drug product and drug substance, if required, may not be accomplished quickly or at all and may involve significant expense. If we are able to find a replacement supplier, such replacement supplier would need to be qualified and require additional regulatory approval, which could result in further delay. 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Even if our product candidates receive regulatory approval, they may not gain market acceptance among physicians, patients, healthcare payors, and the medical community. Commercial success also will depend, in large part, on the coverage and reimbursement of our product candidates by third-party payors, including private insurance providers and government payors. The degree of market acceptance of any approved product would depend on a number of factors, including:</w:t>
      </w:r>
    </w:p>
    <w:p>
      <w:pPr>
        <w:spacing w:after="0" w:line="188" w:lineRule="exact"/>
        <w:rPr>
          <w:sz w:val="20"/>
          <w:szCs w:val="20"/>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safety and tolerability as demonstrated in clinical trials;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tolerable and effective treatment;</w:t>
      </w: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safety and tolerability of the product candidate in a broader patient group;</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the product candidate;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21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ability to successfully launch and secure market acceptance of our late-stage pipeline candidates, umbralisib and ublituximab (if approved), may be impacted by the evolving COVID-19 pandemic, although we are currently unable to predict or quantify any such potential impact with any degree of certainty. As a result of the measures state and local governments have taken to date to control the spread of COVID-19, our office-based employees are working remotely and our preparations for commercialization are happening virtually. The progress of these preparations may be impacted by the increased reliance on work-from-home arrangements for our employees, consultants, vendors, and potential customers. If the spread of COVID-19 and the social distancing measures taken by various governments continue, any commercial launch we may undertake may be hindered by various factors, including challenges in hiring the employees necessary to support commercialization; delays in demand due to impacts on the healthcare system and overall economy; delays in coverage decisions from Medicare and third-party payors; restrictions on our personal interactions with physicians, hospitals, payors, and other customers; interruptions or delays in our commercial supply chain; and increases in the number of uninsured or underinsured patients.</w:t>
      </w:r>
    </w:p>
    <w:p>
      <w:pPr>
        <w:spacing w:after="0" w:line="17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16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1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January 2012. Our operations to date have been limited primarily to organizing and staffing our company, business planning, raising capital, developing our technology, identifying potential drug candidates and undertaking pre-clinical studies and commencing clinical trials. We have never generated any revenue from drug sales. We have not obtained regulatory approvals for any of our drug candidates.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have not yet demonstrated our ability to successfully complete large-scale,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9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Since inception, we have focused substantially all of our efforts and financial resources on clinical trials and manufacturing of our drug candidates. To date, we have financed our operations primarily through public offerings of our common stock and a debt financing. Through May 8, 2020, we have received an aggregate of approximately $710 million from such transactions. Approximately $680 million of that amount constitutes the aggregate gross proceeds from the sale of common stock in one or more offerings and through the use of our at the market sales program, or ATM. The remaining $30.0 million is from our term loan facility with Hercules (as defined below) that we secured in February 2019.</w:t>
      </w:r>
    </w:p>
    <w:p>
      <w:pPr>
        <w:spacing w:after="0" w:line="16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Since inception, we have incurred significant operating losses. As of March 31, 2020, we had an accumulated deficit of $752.3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for the foreseeable future. Our prior losses, combined with expected future losses, have had and will continue to have an adverse effect on our stockholders’ deficit and working capital. We expect to continue to incur significant research and development expenses in connection with continuing our existing clinical trials and beginning additional clinical trials. In addition, if we obtain regulatory approval for our drug candidates, we will incur significant sales, marketing and outsourced-manufacturing expenses. We also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7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To date, we have not generated any significant revenue from our drug candidates and it is uncertain when and if we will generate any revenue from the sale of our drugs in the future. Our ability to become profitable depends upon our ability to generate significant and sustained revenues. To obtain significant and sustained revenues, we must succeed, either alone or with others, in developing, obtaining regulatory approval for and manufacturing and marketing our product candidates. Accordingly, we do not expect to generate significant and sustained revenue unless and until we obtain marketing approval of, and begin to sell umbralisib, ublituximab and/or one of our other product candidates. Our ability to generate revenue depends on a number of factors, including, but not limited to, our ability to:</w:t>
      </w:r>
    </w:p>
    <w:p>
      <w:pPr>
        <w:spacing w:after="0" w:line="177" w:lineRule="exact"/>
        <w:rPr>
          <w:sz w:val="20"/>
          <w:szCs w:val="20"/>
          <w:color w:val="auto"/>
        </w:rPr>
      </w:pP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and non-clinical studies required to obtain U.S. and foreign marketing approval for our drug candidates;</w:t>
      </w:r>
    </w:p>
    <w:p>
      <w:pPr>
        <w:ind w:left="1040" w:hanging="315"/>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from the FDA and foreign equivalents to market and sell our drug candidates;</w:t>
      </w:r>
    </w:p>
    <w:p>
      <w:pPr>
        <w:spacing w:after="0" w:line="9"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commercial manufacturing capabilities alone and/or with third parties that are satisfactory to the regulatory authorities, cost effective, and that are capable of providing commercial supply of our drug candidates;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 commercial infrastructure to commercialize our drug candidates, if approved, by developing a sales force and/or entering into collaborations with third parties; and</w:t>
      </w:r>
    </w:p>
    <w:p>
      <w:pPr>
        <w:ind w:left="1040" w:hanging="315"/>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Achieve market acceptance of our drug candidates in the medical community and with third-party payors.</w:t>
      </w:r>
    </w:p>
    <w:p>
      <w:pPr>
        <w:spacing w:after="0" w:line="222"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If we are unable to generate significant and sustained revenues, we will not become profitable and we will be unable to continue our operations without continued funding.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4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development of pharmaceuticals is capital-intensive. We are currently advancing our most advanced drug candidates, umbralisib, ublituximab, cosibelimab, TG-1701 and TG-1801 through clinical development. While we may experience short-term decreases in clinical trial expenses as our larger Phase 3 clinical trials complete and before our Phase 1 and 2 programs can advance into Phase 2 and 3, we do expect over time our overall expenses will increase in connection with our ongoing activities, particularly as we continue the research and development of, initiate or continue clinical trials of, seek marketing approval for, and develop an infrastructure to commercialize our drug candidates. In addition, depending on the status of regulatory approval or, if we obtain marketing approval for any of our drug candidates, we expect to incur significant commercialization expenses related to drug sales, marketing, manufacturing and distribution. Moreover, in anticipation of filing for regulatory approvals for umbralisib and ublituximab we will need to expend substantial resources on manufacturing and NDA/ biologics license application (BLA) preparation over the next 12 to 24 months, which could exceed any cost savings associated with lower clinical trial expenses during the same period.</w:t>
      </w:r>
    </w:p>
    <w:p>
      <w:pPr>
        <w:spacing w:after="0" w:line="17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While this timing is our current estimate, the amount and timing of our future funding requirements will depend on many factors, including, but not limited to, the following:</w:t>
      </w:r>
    </w:p>
    <w:p>
      <w:pPr>
        <w:spacing w:after="0" w:line="170" w:lineRule="exact"/>
        <w:rPr>
          <w:sz w:val="20"/>
          <w:szCs w:val="20"/>
          <w:color w:val="auto"/>
        </w:rPr>
      </w:pPr>
    </w:p>
    <w:p>
      <w:pPr>
        <w:ind w:left="1040" w:right="79" w:hanging="315"/>
        <w:spacing w:after="0" w:line="258"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relating to the COVID-19 pandemic in the U.S. and around the world;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including licensing and other arrangements;</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might be unable to complete planned preclinical studies and clinical trials or obtain approval of any of our product candidates from the FDA or any foreign regulatory authorities. In addition, we could be forced to discontinue product development, reduce or forego sales, marketing and medical educational efforts that are required for a successful launch of umbralisib and/or ublituximab or any of our product candidates and otherwise forego attractive business opportunities. Any additional sources of financing will likely involve the issuance of our equity securities, which would have a dilutive effect to stockholders. 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 Accordingly, our prospects must be considered in light of the uncertainties, risks, expenses and difficulties frequently encountered by companies in the early stages of operations and the competitive environment in which we operate.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2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(See Note 7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See our risk factors below under the heading “Risks Related to Our Indebtedness”.</w:t>
      </w:r>
    </w:p>
    <w:p>
      <w:pPr>
        <w:spacing w:after="0" w:line="17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issuance of additional securities, whether equity or debt, by us, or the possibility of such issuance, may cause the market price of our shares to decline.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9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February 2019, we entered into a Loan and Security Agreement (the Loan Agreement), with Hercules Capital, Inc., a Maryland corporation (Hercules) (See Note 7 to our consolidated financial statements for more information). Under the Loan Agreement, Hercules will provide access to term loans with an aggregate principal amount of up to $60.0 million (the Term Loan). Concurrently with the closing of the Loan Agreement, we borrowed an initial tranche of $30.0 million. In addition, we have incurred short-term liabilities of approximately $28.2 million with a contract manufacturing organization (CMO) for the scale-up, tech-transfer, and long-term supply of one of our drug candidates. This is an expensive and lengthy process and we expect to incur additional obligations associated with these ongoing manufacturing activities over the course of the next 24 months, and potentially longer. To date, this CMO has provided payment terms which we believe are reasonable; however, no assurance can be given that such terms will continue to be available to us in the future. No assurances can be made that the obligations associated with the Loan Agreement and the CMO will not have a material adverse impact on our financial condition.</w:t>
      </w:r>
    </w:p>
    <w:p>
      <w:pPr>
        <w:spacing w:after="0" w:line="18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All obligations under the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71" w:lineRule="exact"/>
        <w:rPr>
          <w:sz w:val="20"/>
          <w:szCs w:val="20"/>
          <w:color w:val="auto"/>
        </w:rPr>
      </w:pPr>
    </w:p>
    <w:p>
      <w:pPr>
        <w:jc w:val="both"/>
        <w:ind w:left="1040" w:right="79" w:hanging="315"/>
        <w:spacing w:after="0" w:line="25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spacing w:after="0" w:line="2" w:lineRule="exact"/>
        <w:rPr>
          <w:rFonts w:ascii="Arial" w:cs="Arial" w:eastAsia="Arial" w:hAnsi="Arial"/>
          <w:sz w:val="18"/>
          <w:szCs w:val="18"/>
          <w:color w:val="auto"/>
        </w:rPr>
      </w:pPr>
    </w:p>
    <w:p>
      <w:pPr>
        <w:jc w:val="both"/>
        <w:ind w:left="1040" w:right="79" w:hanging="315"/>
        <w:spacing w:after="0" w:line="25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comply with the restrictive covenants in the Loan Agreement could result in an event of default that, if not cured or waived, would accelerate our obligation to repay this indebtedness, and Hercules could seek to enforce its security interest in the assets securing such indebtedness.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have cash available in an amount sufficient to enable us to make interest or principal payments on our indebtedness when due.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Failure to satisfy our current and future debt obligations under the Loan Agreement, or the breach of any of its covenants, subject to specified cure periods with respect to certain breaches, could result in an event of default and, as a result, Hercules could accelerate all of the amounts due. In the event of an acceleration of amounts due under the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of our property other than intellectual property. Our business, financial condition and results of operations could be materially adversely affected as a result of any of these events.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308" w:lineRule="auto"/>
        <w:rPr>
          <w:sz w:val="20"/>
          <w:szCs w:val="20"/>
          <w:color w:val="auto"/>
        </w:rPr>
      </w:pPr>
      <w:r>
        <w:rPr>
          <w:rFonts w:ascii="Arial" w:cs="Arial" w:eastAsia="Arial" w:hAnsi="Arial"/>
          <w:sz w:val="17"/>
          <w:szCs w:val="17"/>
          <w:color w:val="auto"/>
        </w:rPr>
        <w:t>The Loan Agreement imposes operating and other restrictions on the Company. Such restrictions will affect, and in many respects limit or prohibit, our ability and the ability of any future subsidiary to, among other things:</w:t>
      </w:r>
    </w:p>
    <w:p>
      <w:pPr>
        <w:spacing w:after="0" w:line="146" w:lineRule="exact"/>
        <w:rPr>
          <w:sz w:val="20"/>
          <w:szCs w:val="20"/>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97"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The breach of any of these restrictive covenants could have a material adverse effect on our business and prospects.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Drug Development and Regulatory Approval</w:t>
      </w:r>
    </w:p>
    <w:p>
      <w:pPr>
        <w:spacing w:after="0" w:line="175" w:lineRule="exact"/>
        <w:rPr>
          <w:sz w:val="20"/>
          <w:szCs w:val="20"/>
          <w:color w:val="auto"/>
        </w:rPr>
      </w:pPr>
    </w:p>
    <w:p>
      <w:pPr>
        <w:jc w:val="both"/>
        <w:ind w:left="60" w:right="79"/>
        <w:spacing w:after="0" w:line="235" w:lineRule="auto"/>
        <w:rPr>
          <w:sz w:val="20"/>
          <w:szCs w:val="20"/>
          <w:color w:val="auto"/>
        </w:rPr>
      </w:pPr>
      <w:r>
        <w:rPr>
          <w:rFonts w:ascii="Arial" w:cs="Arial" w:eastAsia="Arial" w:hAnsi="Arial"/>
          <w:sz w:val="18"/>
          <w:szCs w:val="18"/>
          <w:b w:val="1"/>
          <w:bCs w:val="1"/>
          <w:i w:val="1"/>
          <w:iCs w:val="1"/>
          <w:color w:val="auto"/>
        </w:rPr>
        <w:t>If we are unable to obtain regulatory approval for our most advanced drug candidates or other drug candidates and ultimately cannot commercialize our most advanced drug candidates or other drug candidates, or experience significant delays in doing so, our business will be materially harmed.</w:t>
      </w:r>
    </w:p>
    <w:p>
      <w:pPr>
        <w:spacing w:after="0" w:line="148"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7"/>
          <w:szCs w:val="17"/>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 variety of reasons. We have substantially invested all of our efforts and financial resources in the identification and pre-clinical and clinical development of our drug candidates, including ublituximab, umbralisib, cosibelimab, TG-1701 and TG-1801. Our ability to generate drug revenues will depend completely on the successful completion of our current and future Phase 3 and registration-directed clinical trials and commercialization of our drug candidates, which may never occur. We currently generate no revenues from sales of any drugs, and we may never be able to develop or commercialize a marketable drug. Each of our drug candidates will require additional non-clinical or clinical development, management of clinical, non-clinical and manufacturing activities, regulatory approval in multiple jurisdictions, obtaining or manufacturing supply, building of a commercial organization, substantial investment and significant marketing efforts before we generate any revenues from drug sales. The success of our most advanced drug candidates and other drug candidates will depend on several factors, including the following:</w:t>
      </w:r>
    </w:p>
    <w:p>
      <w:pPr>
        <w:spacing w:after="0" w:line="198" w:lineRule="exact"/>
        <w:rPr>
          <w:sz w:val="20"/>
          <w:szCs w:val="20"/>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completion of our UNITY-NHL trial and our ULTIMATE I and II trials;</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preparation of the complete data set from the UNITY-CLL trial within the timeframe we have projected;</w:t>
      </w: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drug candidates;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commercially viable arrangements with third-party manufacturers for clinical supply and commercial manufacturing;</w:t>
      </w: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sales and marketing capabilities, whether alone or through a collaboration, to support commercialization of our drug candidates;</w:t>
      </w: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differentiating and competing with other therapies;</w:t>
      </w:r>
    </w:p>
    <w:p>
      <w:pPr>
        <w:spacing w:after="0" w:line="9"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competitive prices for any drug candidates that receive regulatory approval that reflect the value that the drug candidates offer in the indications for which they are approved; Obtaining and maintaining healthcare coverage and adequate reimbursement;</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an acceptable safety profile of the drug candidates following approval.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74"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w:t>
      </w:r>
    </w:p>
    <w:p>
      <w:pPr>
        <w:spacing w:after="0" w:line="12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7"/>
          <w:szCs w:val="17"/>
          <w:color w:val="auto"/>
        </w:rPr>
        <w:t>If we are unable to develop or receive regulatory approval for or successfully commercialize any of our product candidates, we will not be able to generate product revenues and we may not be able to continue our operations. Even if we are able to develop or receive regulatory approval for or successfully commercialize any of our product candidates, we may not be able to gain market acceptance for our product candidates if healthcare providers and patients do not view the overall safety, tolerability and efficacy profile of our drug candidates favorably.</w:t>
      </w:r>
    </w:p>
    <w:p>
      <w:pPr>
        <w:spacing w:after="0" w:line="12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1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Once a drug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105"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16"/>
          <w:szCs w:val="16"/>
          <w:color w:val="auto"/>
        </w:rPr>
        <w:t>For instance, early clinical results seen with ublituximab (TG-1101) and/or umbralisib (TGR-1202) in a small number of patients may not be reproduced in expanded or larger clinical trials such as in our UNITY-CLL, UNITY-NHL or the ULTIMATE I and II trials. Individually reported outcomes of patients treated in clinical trials may not be representative of the entire population of treated patients in such studies.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 In addition, early clinical trial results from interim analysis or from the review of a Data Safety Monitoring Board (DSMB) or similar safety committee may not be reflective of the safety or efficacy results of the entire study, when completed. Clinical trial results can change over time as additional patients are added to a study or as additional follow-up is conducted, which may result in a material negative impact on the preliminary results. For instance, we announced that the MZL and the FL cohorts of the UNITY-NHL study met the primary endpoint of overall response rate (ORR), falling within our target range which was between 40%-50%, and while we believe that the ORR results have the potential to increase over time within this range, or beyond, as patients continue to be followed, no assurance can be given that this will be the case, and the results may ultimately fall at the lower end of the range. Further, time to event based endpoints such as duration of response (DOR) and PFS have the potential to change, sometimes drastically, with longer follow-up. No assurance can be provided that the ORR, DOR and PFS data from the MZL and FL cohorts of the UNITY-NHL study will be supportive of an FDA approval or will support broad market uptake based on the profile of competitor drugs which may be available. While the MZL and FL cohorts of the UNITY-NHL study met their primary endpoint, each cohort of this study is operated and analyzed independently, and no assurance can be given that other cohorts from the UNITY-NHL study, including the Mantle Cell Lymphoma cohort, the diffuse large B-cell lymphoma (DLBCL) cohort, or the SLL patients enrolled within the FL/SLL cohort will meet their primary endpoint, have a positive outcome, or will be supportive of an FDA filing. In addition, on May 5, 2020, we announced that the UNITY-CLL study met the primary endpoint of PFS at a preplanned interim analysis and that the study would be stopped early based on the recommendation of the independent data safety monitoring board (DSMB) that conducted the interim analysis. The interim analysis was of the primary PFS endpoint only and did not include safety or other secondary endpoints. No assurance can be given that the safety data, when available, will be acceptable or consistent with previously reported results of from studies involving single agent umbralisib or ublituxumab or the two product candidates in combination regimens or that other secondary endpoints in the trial will be met.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Many of our Phase 3 and registration-directed clinical trials such as UNITY-CLL, UNITY-NHL and ULTIMATE I and II utilize international clinical research sites, including sites in eastern European countries. We work with what we believe are reputable CROs and clinical research sites in conducting our studies internationally. Nevertheless, the risk of fraud, misconduct, incompetence, unexpected patient variability and other issues affecting the quality and the outcome of our Phase 3 and registration-directed studies could arise from U.S. or international sites. If that were to occur, the study could be negatively impacted, potentially even preventing it from being useful for regulatory approval. If such event were to occur, it would have a substantial negative impact on our business.</w:t>
      </w:r>
    </w:p>
    <w:p>
      <w:pPr>
        <w:spacing w:after="0" w:line="177"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Many of the results reported in our early clinical trials rely on local investigator-assessed safety and efficacy outcomes which may differ from results assessed in a blinded, independent, centrally reviewed manner, often required of adequate and well-controlled registration-directed clinical trials which may be undertaken at a later date. All of our current Phase 3 and registration-directed studies such as UNITY-CLL, UNITY-NHL and the ULTIMATE I and II trials utilize blinded, independent, central review to assess the primary endpoint of such studies. If the results from interim analyses are not consistent with final results or results from our registration-directed trials are different from the results found in the earlier studies of ublituximab and umbralisib, we may need to terminate or revise our clinical development plan, which could extend the time for conducting our development program and could have a material adverse effect on our business. For example, in January 2019, we presented to the FDA, interim results from the MZL cohort of our UNITY-NHL trial that supported the granting of Breakthrough Therapy Designation (BTD). These interim results were also presented at the 2019 AACR annual meeting, 2019 ASCO annual meeting, and the 2019 ICML. In October 2019, we announced that the FL cohort of the UNITY-NHL trial met our target range for overall response rate based on interim preliminary data. No assurance can be given that the final results from the MZL cohort or FL cohort will reflect the activity seen in these interim results, or that the final results will be sufficient to file for accelerated approval for umbralisib for the treatment of MZL and FL, and if filed that umbralisib will receive accelerated approval. Similarly, while we have reported top-line efficacy results from a preplanned interim analysis of the UNITY-CLL trial announcing that the trial met its primary endpoint of PFS, there is no assurance that the safety profile will be acceptable or that other secondary endpoints will be met. Moreover, while we believe one of the key differentiators for umbralisib is its tolerability and side effect profile compared to other drugs in the same class, no assurance can be given that a differentiated safety and tolerability profile will be realized in our Phase 3 or registration-directed trials such as UNITY-CLL or UNITY-NHL. Specifically, we have not yet assessed the final safety data from the MZL or FL cohorts of the UNITY-NHL study as patients continue on therapy nor have we assessed the safety data from the UNITY-CLL study, therefore there can be no assurance given that the final safety data from these studies, once fully analyzed, will be consistent with prior safety data presented on umbralisib, will be differentiated from other similar agents in the same class, or that it will be favorable enough to support regulatory approvals for the indications studied. In addition, no assurance can be given that new toxicities, or an increase in the severity or frequency of previously seen toxicities, will not be observed, which could have a material negative impact on the approvability or marketability of umbralisib or any of our product candidates. Finally, while the Phase 2 data for ublituximab in MS looked promising, no assurance can be given that the safety, tolerability and efficacy profile will carry into Phase 3 and that the ULTIMATE I and II clinical trials will be positive.</w:t>
      </w:r>
    </w:p>
    <w:p>
      <w:pPr>
        <w:spacing w:after="0" w:line="200" w:lineRule="exact"/>
        <w:rPr>
          <w:sz w:val="20"/>
          <w:szCs w:val="20"/>
          <w:color w:val="auto"/>
        </w:rPr>
      </w:pPr>
    </w:p>
    <w:p>
      <w:pPr>
        <w:spacing w:after="0" w:line="20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to umbralisib and ublituximab, we have a number of compounds in early clinical development, such as cosibelimab, TG-1701 and TG-1801.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umbralisib and/or ublituximab.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1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drug candidates umbralisib and ublituximab are in several Phase 3 and registration-directed clinical trials such as UNITY-CLL, UNITY-NHL and ULTIMATE I and II. Despite promising early results, as with all clinical trials, the risk of failure for our drug candidates is high. It is impossible to predict when or if any of our drug candidates will prove effective and safe in humans or will receive regulatory approval or will have a differentiated safety and tolerability profile.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Accordingly, our current Phase 3 and registration-directed trials and future clinical trials may not be successful.</w:t>
      </w:r>
    </w:p>
    <w:p>
      <w:pPr>
        <w:spacing w:after="0" w:line="113"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Successful completion of our clinical trials is a prerequisite to submitting an NDA, or a BLA to the U.S. FDA and a MAA, in the European Union for each drug candidate and, consequently, the ultimate approval and commercial marketing of our drug candidates. We do not know whether any of our on-going or future clinical trials for our drug candidates will be completed on schedule, if at all.</w:t>
      </w:r>
    </w:p>
    <w:p>
      <w:pPr>
        <w:spacing w:after="0" w:line="11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numerous unforeseen events, such as the COVID-19 pandemic, that could delay or prevent our ability to complete current clinical trials, initiate new trials, receive marketing approval or commercialize our drug candidates, including:</w:t>
      </w:r>
    </w:p>
    <w:p>
      <w:pPr>
        <w:spacing w:after="0" w:line="115" w:lineRule="exact"/>
        <w:rPr>
          <w:sz w:val="20"/>
          <w:szCs w:val="20"/>
          <w:color w:val="auto"/>
        </w:rPr>
      </w:pPr>
    </w:p>
    <w:p>
      <w:pPr>
        <w:ind w:left="1040" w:right="79" w:hanging="315"/>
        <w:spacing w:after="0" w:line="228"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jc w:val="both"/>
        <w:ind w:left="1040" w:right="79" w:hanging="315"/>
        <w:spacing w:after="0" w:line="219"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health authorities or institutional review boards (IRBs), or ethics committees may not authorize us or our investigators to commence a clinical trial or conduct a clinical trial at a prospective trial site or country; we may experience delays in reaching, or fail to reach, agreement on acceptable terms with prospective trial sites and prospective CROs, the terms of which can be subject to extensive negotiation and may vary significantly among different CROs and trial sites;</w:t>
      </w:r>
    </w:p>
    <w:p>
      <w:pPr>
        <w:jc w:val="both"/>
        <w:ind w:left="1040" w:right="79" w:hanging="315"/>
        <w:spacing w:after="0" w:line="219"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health authorities may require us, to conduct additional pre-clinical studies or clinical trials or we may decide to abandon drug development programs;</w:t>
      </w:r>
    </w:p>
    <w:p>
      <w:pPr>
        <w:jc w:val="both"/>
        <w:ind w:left="1040" w:right="79" w:hanging="315"/>
        <w:spacing w:after="0" w:line="232"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jc w:val="both"/>
        <w:ind w:left="1040" w:right="79" w:hanging="315"/>
        <w:spacing w:after="0" w:line="246"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Arial" w:cs="Arial" w:eastAsia="Arial" w:hAnsi="Arial"/>
          <w:sz w:val="16"/>
          <w:szCs w:val="16"/>
          <w:color w:val="auto"/>
        </w:rPr>
      </w:pPr>
    </w:p>
    <w:p>
      <w:pPr>
        <w:jc w:val="both"/>
        <w:ind w:left="1040" w:right="79" w:hanging="315"/>
        <w:spacing w:after="0" w:line="232"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elect to, or health authorities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ind w:left="1040" w:hanging="315"/>
        <w:spacing w:after="0" w:line="219"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jc w:val="both"/>
        <w:ind w:left="1040" w:right="79" w:hanging="315"/>
        <w:spacing w:after="0" w:line="246" w:lineRule="auto"/>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supply or quality of our drug candidates or other materials necessary to conduct clinical trials of our drug candidates may be insufficient or inadequate, including, without limitation, as a result of disruptions to our supply chains caused by the COVID-19 pandemic and related work stoppages across the globe; and</w:t>
      </w:r>
    </w:p>
    <w:p>
      <w:pPr>
        <w:spacing w:after="0" w:line="1" w:lineRule="exact"/>
        <w:rPr>
          <w:rFonts w:ascii="Arial" w:cs="Arial" w:eastAsia="Arial" w:hAnsi="Arial"/>
          <w:sz w:val="16"/>
          <w:szCs w:val="16"/>
          <w:color w:val="auto"/>
        </w:rPr>
      </w:pPr>
    </w:p>
    <w:p>
      <w:pPr>
        <w:jc w:val="both"/>
        <w:ind w:left="1040" w:right="79" w:hanging="315"/>
        <w:spacing w:after="0" w:line="226"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health authorities, IRBs or ethics committees to suspend or terminate the trials, or reports may arise from pre-clinical or clinical testing of other cancer therapies that raise safety or efficacy concerns about our drug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also could encounter delays if a clinical trial is suspended or terminated by us, by the IRBs of the institutions in which such trials are being conducted, by the DSMB for such trial or by the FDA or other regulatory authorities. Such health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The DSMBs for the UNITY-CLL and UNITY-NHL studies meet regularly to review ongoing safety from these studies, in an unblinded manner if applicable, and may recommend modification to the study design or closure of the study entirely based on their interpretation of the benefit/risk of the study. While we develop charters that guide the nature of the DSMBs meetings, their analysis and interpretation of study data occurs independently from us and is wholly within their control. Even if the DSMB finds no safety concerns and recommends no modifications to our ongoing studies, this does not mean the safety profile of these studies may support a marketing approval or commercial acceptance if marketing approval is granted. Many of the factors that cause, or lead to, a delay in the commencement or completion of clinical trials may also ultimately lead to the denial of regulatory approval of our drug candidates.</w:t>
      </w:r>
    </w:p>
    <w:p>
      <w:pPr>
        <w:spacing w:after="0" w:line="182"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Further, the FDA may disagree with our clinical trial design and our interpretation of data from clinical trials or may change the requirements for approval even after it has reviewed and commented on the design for our clinical trials. This could happen even for a protocol that has received a SPA. In September 2015, we announced a Phase 3 clinical trial for the combination of ublituximab plus umbralisib for patients with CLL, which is being conducted pursuant to an SPA with the FDA (UNITY-CLL) and in August 2017 we announced an SPA for our registration program for ublituximab in RMS (ULTIMATE I and II). Many companies which have been granted SPAs have ultimately failed to obtain final approval to market their drugs. Since we are seeking approvals under SPAs for some of our product registration strategies, based on protocol designs negotiated with the FDA, we may be subject to enhanced scrutiny. Further, while changes or amendments to protocols are common during conduct of a clinical trial, protocol changes or amendments to a study that is being conducted under SPA will have to be reviewed and approved by the FDA to verify that the SPA agreement is still valid. The FDAs willingness to agree to changes or amendments to a protocol or statistical analysis plan under a SPA agreement is wholly within their discretion. Such re-reviews also provide an opportunity for the FDA to scrutinize any aspect of the study design and conduct, even if previously agreed to under the existing SPA. Failure to reach agreement with the FDA for protocol changes or modifications for any study we conduct under an SPA could have a material negative impact to our ability to execute these studies. Even if the primary endpoint in a Phase 3 clinical trial is achieved, an SPA does not guarantee approval.</w:t>
      </w:r>
    </w:p>
    <w:p>
      <w:pPr>
        <w:spacing w:after="0" w:line="39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While UNITY-CLL is being operated in a blinded manner, it is an open label study; meaning that trial participants, investigators, site staff, some employees of our contract research organizations, and our field level employees (e.g., clinical research associates and monitors), among others, have knowledge of treatment arm assignments on a patient-level, which has the potential to introduce bias into study conduct. Further, while the ULTIMATE 1 and 2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prior to making its final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Negative or inconclusive results from the clinical trials we conduct or unanticipated adverse medical events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8" w:lineRule="exact"/>
        <w:rPr>
          <w:sz w:val="20"/>
          <w:szCs w:val="20"/>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drug development costs will also increase if we experience delays in testing or regulatory approvals. We may also incur additional costs if enrollment is increased. All of our current Phase 3 and registration-directed clinical trials, such as UNITY-CLL, UNITY-NHL and ULTIMATE I and II enrolled a larger number of patients than our initial projections, adding significant costs to those studies over and above what had been projected. We do not know whether any of our clinical trials will begin as planned, will need to be restructured or will be completed on schedule, or at all. Certain clinical trials are designed to continue until a pre-determined number of events have occurred in the patients enrolled. Trials such as this are subject to delays stemming from patient withdrawal and from lower than expected event rates. Significant clinical trial delays also could shorten any periods during which we may have the exclusive right to commercialize our drug candidates or allow our competitors to bring products to market before we do and impair our ability to successfully commercialize our drug candidates. Any delays in our pre-clinical or future clinical development programs may harm our business, financial condition and prospects significantly.</w:t>
      </w:r>
    </w:p>
    <w:p>
      <w:pPr>
        <w:spacing w:after="0" w:line="18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sufficiency of our clinical trial results for accelerated approval are subject to the FDA’s discretion.</w:t>
      </w:r>
    </w:p>
    <w:p>
      <w:pPr>
        <w:spacing w:after="0" w:line="22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have and will continue to explore strategies for ublituximab and/or umbralisib that involve use of the FDA’s accelerated approval pathway. Obtaining accelerated approval for an agent requires demonstration of meaningful benefit over all available therapies for a serious condition. While we believe we have an understanding of what is considered available therapy today, ultimately the determination of what constitutes available therapy is wholly up to the FDA and is subject to change. No assurance can be given that other agents will not receive full approval prior to our potential receipt of accelerated approval. If that were to occur, no assurance can be given that we would be successful in proving meaningful benefit over those later approved drugs. If we were unable to prove meaningful benefit over any such agents, we would be effectively blocked from receiving accelerated approval. We announced that we are planning to file the results from the MZL and FL cohorts from our UNITY-NHL trial for accelerated approval. No assurance can be given that umbralisib will obtain accelerated approval for either MZL or FL for a variety of reasons, including, without limitation, if we are unable to demonstrate meaningful benefit over a currently approved agent/regimen or any new treatment, if any, that receives full approval prior to our potential receipt of accelerated approval. Previously, we were hopeful to utilize the results from our GENUINE study for accelerated approval but the intervening full approval of a new therapy for the treatment of relapsed/refractory CLL has made that potential application more challenging. In October 2019, we announced that final results from the GENUINE study demonstrated improved progression-free survival for the combination arm compared to ibrutinib alone. Despite this positive outcome, no assurance can be given that a filing based on the GENUINE results will ever be made, or if made would result in a favorable review by regulatory authorities.</w:t>
      </w:r>
    </w:p>
    <w:p>
      <w:pPr>
        <w:spacing w:after="0" w:line="17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Finally, if any of our drugs were ever to receive accelerated approval, we would be required to conduct a post-market confirmatory study, which we may not complete, or if completed, may prove unsuccessful. In such instance, the FDA can remove the product from the market.</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8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5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Any of these occurrences may harm our business, financial condition and prospects significantly.</w:t>
      </w:r>
    </w:p>
    <w:p>
      <w:pPr>
        <w:spacing w:after="0" w:line="195" w:lineRule="exact"/>
        <w:rPr>
          <w:sz w:val="20"/>
          <w:szCs w:val="20"/>
          <w:color w:val="auto"/>
        </w:rPr>
      </w:pPr>
    </w:p>
    <w:p>
      <w:pPr>
        <w:jc w:val="both"/>
        <w:ind w:left="60" w:right="79" w:firstLine="648"/>
        <w:spacing w:after="0" w:line="275" w:lineRule="auto"/>
        <w:rPr>
          <w:sz w:val="20"/>
          <w:szCs w:val="20"/>
          <w:color w:val="auto"/>
        </w:rPr>
      </w:pPr>
      <w:r>
        <w:rPr>
          <w:rFonts w:ascii="Arial" w:cs="Arial" w:eastAsia="Arial" w:hAnsi="Arial"/>
          <w:sz w:val="17"/>
          <w:szCs w:val="17"/>
          <w:color w:val="auto"/>
        </w:rPr>
        <w:t>Many compounds that initially showed promise in early 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severe side effects of our drug candidates may only be uncovered with a significantly larger number of patients exposed to the drug candidate in Phase 3 or registration-directed trials and on the market.</w:t>
      </w:r>
    </w:p>
    <w:p>
      <w:pPr>
        <w:spacing w:after="0" w:line="17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are currently running our Phase 3 and registration-directed trials, such as UNITY-CLL, UNITY-NHL and ULTIMATE I and II and have not completed testing of any of our product candidates for the treatment of the indications for which we intend to seek product approval in humans, and we currently do not know the extent that the adverse events, if any, will be observed in patients who receive any of our product candidates. To date, clinical trials using ublituximab and umbralisib have demonstrated a toxicity profile that was deemed acceptable by the investigators performing such studies. Such interpretation may not be shared by future investigators or by the health authorities and in the case of ublituximab and umbralisib, even if deemed acceptable for oncology and/or autoimmune indications, it may not be acceptable for diseases outside the oncology and autoimmune settings, and likewise for any other product candidates we may develop. Additionally, the severity, duration and incidence of adverse events may increase in larger study populations such as found in our on-going Phase 3 and registration-directed trials. Particularly, with respect to umbralisib, although over 1,500 patients have been dosed in umbralisib studies to date, the full adverse effect profile of umbralisib is not known. As additional patients are exposed for longer durations to umbralisib, it is unknown whether greater frequency and/or severity of adverse events are likely to occur. Common toxicities of other drugs in the same class as umbralisib include high levels of liver toxicity, infections and colitis, the latter of which notably has presented with later onset, with incidence increasing with duration of exposure. No assurance can be given that an acceptable safety and tolerability profile for umbralisib will continue to be demonstrated in the future with longer durations of exposure, at the fixed 800mg dose being evaluated in our registration-directed trials and in multiple drug combinations.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Additionally, in drug-combination clinical development, there is an inherent risk of drug-drug interactions between combination agents which may affect each component’s individual pharmacologic properties and the overall efficacy and safety of the combination regimen. Both ublituximab and umbralisib are being evaluated in combination with each other, as well as with a variety of other active anti-cancer agents, which may cause unforeseen toxicity, or impact the severity, duration, and incidence of adverse events observed compared to those seen in the single agent studies of these agents. We also intend to explore multiple combination studies involving cosibelimab, TG-1701, and TG-1801.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8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our drug candidates receive marketing approval and we or others later identify undesirable or unacceptable side effects caused by such drug candidates (or any other similar drugs) after such approval, a number of potentially significant negative consequences could result, including:</w:t>
      </w:r>
    </w:p>
    <w:p>
      <w:pPr>
        <w:spacing w:after="0" w:line="184" w:lineRule="exact"/>
        <w:rPr>
          <w:sz w:val="20"/>
          <w:szCs w:val="20"/>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contra-indications, or precautions, that could diminish the usage of the product or otherwise limit the commercial success of the affected product;</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jc w:val="both"/>
        <w:ind w:left="1040" w:right="79" w:hanging="315"/>
        <w:spacing w:after="0" w:line="265"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w:t>
      </w:r>
    </w:p>
    <w:p>
      <w:pPr>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2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In the United States, we are not permitted to market a product candidate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 warning, could significantly impact our ability to successfully market our product candidates. Finally, the FDA may require adoption of a REMS requiring prescriber training, post-market registries, or otherwise restricting the marketing and dissemination of these products. Despite the time and expense invested in the clinical development of product candidates, regulatory approval is never guaranteed. Assuming successful clinical development, we intend to seek product approvals in countries outside the United States. As a result, we would be subject to regulation by the EMA, as well as the other regulatory agencies in these countries.</w:t>
      </w:r>
    </w:p>
    <w:p>
      <w:pPr>
        <w:spacing w:after="0" w:line="18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Approval procedures vary among countries and can involve additional product testing and additional administrative review periods. The time required to obtain approval in other countries might differ from that required to obtain FDA approval. Interruptions or delays in the operations of the FDA and foreign regulatory authorities as a result of the COVID-19 pandemic may negatively impact review, inspection, and approval timelines.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lengthy and challenging. The FDA, and any other regulatory body around the world can delay, limit or deny approval of a product candidate for many reasons, including:</w:t>
      </w:r>
    </w:p>
    <w:p>
      <w:pPr>
        <w:spacing w:after="0" w:line="178" w:lineRule="exact"/>
        <w:rPr>
          <w:sz w:val="20"/>
          <w:szCs w:val="20"/>
          <w:color w:val="auto"/>
        </w:rPr>
      </w:pPr>
    </w:p>
    <w:p>
      <w:pPr>
        <w:ind w:left="1040" w:right="79" w:hanging="315"/>
        <w:spacing w:after="0" w:line="258"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 indication;</w:t>
      </w: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the United States;</w:t>
      </w: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jc w:val="both"/>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 or</w:t>
      </w:r>
    </w:p>
    <w:p>
      <w:pPr>
        <w:spacing w:after="0" w:line="1"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raising questions about the safety of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b w:val="1"/>
          <w:bCs w:val="1"/>
          <w:i w:val="1"/>
          <w:iCs w:val="1"/>
          <w:color w:val="auto"/>
        </w:rPr>
        <w:t>A breakthrough therapy designation by the FDA for our drug candidates, including umbralisib for the treatment of adult patients with relapsed or refractory Marginal Zone Lymphoma who have received at least one prior treatment including an anti-CD20 monoclonal antibody, may not lead to a faster development or regulatory review or approval process, and it does not ensure that our drug candidates will receive marketing approval.</w:t>
      </w:r>
    </w:p>
    <w:p>
      <w:pPr>
        <w:spacing w:after="0" w:line="15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January 2019, the FDA granted breakthrough therapy designation (also referred to as BTD) to umbralisib for the treatment of adult patients with relapsed or refractory MZL who have received at least one prior treatment including an anti-CD20 monoclonal antibody. We may also seek breakthrough therapy designation for some of our other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Our breakthrough therapy designation was based on interim data from the MZL cohort of the UNITY-NHL clinical trial. No assurance can be given that the full results from the MZL cohort of the UNITY-NHL clinical trial will support accelerated approval.</w:t>
      </w:r>
    </w:p>
    <w:p>
      <w:pPr>
        <w:spacing w:after="0" w:line="18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For drugs that have been designated as breakthrough therapies, interaction and communication between the FDA and the sponsor of the trial can help to identify the most efficient path for clinical development while minimizing the number of patients who may be placed in potentially less effective control regimens. Drugs designated as breakthrough therapies by the FDA are also eligible for accelerated approval. Designation as a breakthrough therapy is wholly within the discretion of the FDA. Accordingly, even if we believe one of our drug candidates meets the criteria for designation as a breakthrough therapy, the FDA may disagree and instead determine not to grant such designation to the drug candidate.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 and rescind the designation.</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may seek fast track designation for some of our other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While we have received orphan drug designation for umbralisib and ublituximab for specified indications, we may seek additional orphan drug designation for those and some of our other drug candidates. However, we may be unsuccessful in obtaining or may be unable to maintain the benefits associated with orphan drug designation, including the potential for market exclusivity.</w:t>
      </w:r>
    </w:p>
    <w:p>
      <w:pPr>
        <w:spacing w:after="0" w:line="187"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Ublituximab received orphan drug designation from the FDA for the treatment of MZL (nodal and extranodal) in September 2013, for the treatment of CLL in August of 2010, and orphan-drug designation by the EMA for the treatment of CLL in November of 2009. We also obtained orphan drug designation for umbralisib as monotherapy for the treatment of CLL in August 2016 and all three types of MZL (nodal, extranodal and splenic) in April 2019, and in January 2017, we announced that the FDA granted orphan drug designation covering the combination of ublituximab and umbralisib for the treatment of patients with CLL and DLBCL. As part of our business strategy, we may seek orphan drug designation for our other drug candidates, and we may be unsuccessful. Regulatory authorities in some jurisdictions, including the United States and the European Union,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w:t>
      </w:r>
    </w:p>
    <w:p>
      <w:pPr>
        <w:spacing w:after="0" w:line="18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approval of one of our product candidates in the United States would not assure approval of that candidate in foreign jurisdictions.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In many countries outside the United States, the product must be approved for reimbursement before it can be marketed. As a general matter, however, the foreign regulatory approval process involves risks similar or identical to the risks associated with FDA approval discussed above. Therefore, we cannot guarantee that we, or future collaborators, will obtain approvals of our product candidates in any foreign jurisdiction on a timely basis, if at all. Failure to receive approval in certain foreign markets could significantly impact the full market potential of our product candidates. Furthermore, if we obtain regulatory approval for a product candidate in a foreign jurisdiction, we will be subject to the burden of complying with complex regulatory, legal, and other requirements that could be costly and could subject us to additional risks and uncertainties.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As all of our product candidates are still under development, manufacturing site additions, scale-up and process improvements implemented in the production of those product candidates may affect their ultimate activity or function.</w:t>
      </w:r>
    </w:p>
    <w:p>
      <w:pPr>
        <w:spacing w:after="0" w:line="10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Our product candidates are in the initial stages of development and are currently manufactured in relatively small batches for use in pre-clinical and clinical studies. Process improvements implemented to date have changed, and process improvements in the future may change, the activity and/or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Phase 3 and materials from more than one manufacturing process were utilized in the Phase 3 UNITY-CLL trial.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also can be negatively impacted by such process changes. Given the uncertainty of the impact on product specifications, quality and performance, process improvements made during Phase 3 development carry a higher level of risk than those made prior to Phase 3 development. If there are significant differences in product attributes between the two materials, we may need to adjust our statistical analysis plans of the Phase 3 study to confirm that there is no difference in safety or efficacy between product made by each process in order to allow us to utilize data from all enrolled patients, as well as be able to integrate clinical safety and/or efficacy results across studies to support any potential marketing application. There can be no assurance given that such analyses will be successful in demonstrating no clinical differences between these drug products, which could substantially impact the approvability of the U2 combination based on the results of the UNITY-CLL study. In such circumstances, that would have a material adverse effect on the Company.</w:t>
      </w:r>
    </w:p>
    <w:p>
      <w:pPr>
        <w:spacing w:after="0" w:line="18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addition, we have engaged a secondary manufacturer for ublituximab to meet our current clinical and future commercial needs and anticipate engaging additional manufacturing sources for umbralisib to meet expanded clinical trial and commercial needs. If a secondary manufacturer is not successful in replicating the product or experiences delays, or if regulatory authorities impose unforeseen requirements with respect to product comparability from multiple manufacturing sources, we may experience delays in clinical development. No assurance can be given that any additional manufacturers will be successful or that material manufactured by the additional manufacturers will perform comparably to ublituximab or umbralisib as manufactured to date and used in currently available pre-clinical data and or in clinical trials presented publicly or reported in this or any previous filing, or that the relevant regulatory agencies will agree with our interpretation of comparability.</w:t>
      </w:r>
    </w:p>
    <w:p>
      <w:pPr>
        <w:spacing w:after="0" w:line="19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as we move closer to commercialization for ublituximab and umbralisib, we are scaling-up production to ensure adequate commercial supply.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8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precise incidence and/or prevalence of CLL, relapsed/refractory MZL, relapsed/refractory FL and multiple sclerosis (MS) are unknown. Our projections of both the number of people who are affected by disease within our target indications, as well as the subset of these people who have the potential to benefit from treatment with our product candidates, are based on our beliefs and estimates. Our beliefs are typically based on one on one and group interactions with target physicians and our estimates have been derived from a variety of sources, including the scientific literature, healthcare utilization databases and market research, and may prove to be incorrect. Further, new studies may change the estimated incidence or prevalence of these diseases.</w:t>
      </w:r>
    </w:p>
    <w:p>
      <w:pPr>
        <w:spacing w:after="0" w:line="17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total addressable market opportunity for umbralisib and ublituximab for the treatment of patients with CLL, MZL, FL and MS will ultimately depend upon, among other things, the final label indication, approval for sale for these indications, acceptance by the medical community, patient access,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77"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0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9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For the cancer indications for which we are developing our products there are a number of established therapies with which we will compete:</w:t>
      </w:r>
    </w:p>
    <w:p>
      <w:pPr>
        <w:spacing w:after="0" w:line="170" w:lineRule="exact"/>
        <w:rPr>
          <w:sz w:val="20"/>
          <w:szCs w:val="20"/>
          <w:color w:val="auto"/>
        </w:rPr>
      </w:pPr>
    </w:p>
    <w:p>
      <w:pPr>
        <w:jc w:val="both"/>
        <w:ind w:left="1040" w:right="79" w:hanging="315"/>
        <w:spacing w:after="0" w:line="284"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 the treatment of CLL, if U2 is approved, we expect U2 to compete with recently approved drugs such as ibrutinib (AbbVie and Janssen), venetoclax (AbbVie and Roche), obinutuzumab (Roche), idelalisib (Gilead) and duvelisib (Verastem), and established treatments such as rituximab (Roche), and several generically available chemotherapies. Additionally, there are two second generation BTK inhibitors similar to ibrutinib in late-stage clinical testing for CLL that could enter the market in the next 12-36 months. Each of these agents can be used as monotherapy or in combination with one or more of the other agents.</w:t>
      </w:r>
    </w:p>
    <w:p>
      <w:pPr>
        <w:spacing w:after="0" w:line="4" w:lineRule="exact"/>
        <w:rPr>
          <w:rFonts w:ascii="Arial" w:cs="Arial" w:eastAsia="Arial" w:hAnsi="Arial"/>
          <w:sz w:val="16"/>
          <w:szCs w:val="16"/>
          <w:color w:val="auto"/>
        </w:rPr>
      </w:pPr>
    </w:p>
    <w:p>
      <w:pPr>
        <w:jc w:val="both"/>
        <w:ind w:left="1040" w:right="79" w:hanging="315"/>
        <w:spacing w:after="0" w:line="265"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 the treatment of Marginal Zone Lymphoma, if approved, we expect umbralisib to compete with ibrutinib (AbbVie and Janssen) and established treatments such as rituximab and several generically available chemotherapies. Additionally, in May 2019, the FDA approved the combination of rituximab and lenalidomide (Bristol-Myers) for the treatment of previously treated MZL.</w:t>
      </w:r>
    </w:p>
    <w:p>
      <w:pPr>
        <w:jc w:val="both"/>
        <w:ind w:left="1040" w:right="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the treatment of Follicular Lymphoma, if approved, we expect umbralisib to compete with recently approved drugs such as obinutuzumab (Roche), idelalisib (Gilead), copanlisib (Bayer), and duvelisib (Verastem), and established treatments such as rituximab (Roche), and several generically available chemotherapies. Each of these agents can be used as monotherapy or in combination with one or more of the other agents. In addition, in May 2019, the FDA approved the combination of rituximab and lenalidomide (Bristol-Myers) for the treatment of previously treated FL. There are also several PI3K delta inhibitors in earlier stages of development.</w:t>
      </w:r>
    </w:p>
    <w:p>
      <w:pPr>
        <w:spacing w:after="0" w:line="2" w:lineRule="exact"/>
        <w:rPr>
          <w:rFonts w:ascii="Arial" w:cs="Arial" w:eastAsia="Arial" w:hAnsi="Arial"/>
          <w:sz w:val="18"/>
          <w:szCs w:val="18"/>
          <w:color w:val="auto"/>
        </w:rPr>
      </w:pPr>
    </w:p>
    <w:p>
      <w:pPr>
        <w:jc w:val="both"/>
        <w:ind w:left="1040" w:right="79" w:hanging="315"/>
        <w:spacing w:after="0" w:line="25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addition, a number of pharmaceutical companies are developing antibodies and bispecific antibodies targeting CD20, CD19, CD47 and other B-cell associated targets, chimeric antigen receptor T-cell (CAR-T) immunotherapy, and other B-cell ablative therapy which, if approved, would potentially compete with U2 and umbralisib.</w:t>
      </w:r>
    </w:p>
    <w:p>
      <w:pPr>
        <w:spacing w:after="0" w:line="193"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For Multiple Sclerosis for which we are developing ublituximab there are a number of established therapies with which we will compete:</w:t>
      </w:r>
    </w:p>
    <w:p>
      <w:pPr>
        <w:spacing w:after="0" w:line="170" w:lineRule="exact"/>
        <w:rPr>
          <w:sz w:val="20"/>
          <w:szCs w:val="20"/>
          <w:color w:val="auto"/>
        </w:rPr>
      </w:pPr>
    </w:p>
    <w:p>
      <w:pPr>
        <w:jc w:val="both"/>
        <w:ind w:left="1040" w:right="79" w:hanging="315"/>
        <w:spacing w:after="0" w:line="25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ublituximab is approved, we expect ublituximab will primarily compete against other CD20 targeted agents, while the group of CD20 targeted agents will also compete broadly against a number of already approved MS therapies. Currently, there is one anti-CD20 monoclonal antibody approved, ocrelizumab (Roche), and another in Phase 3 development, ofatumumab (Novartis), which is expected to enter the market in the next 3-6 months.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Cosibelimab, TG-1701 and TG-1801 if approved will also face competition from drugs on the market and under development in the same therapeutic class as each of those drugs.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87"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face an inherent risk of product liability exposure related to the testing of our drug candidates in human clinical trials and use of our drug candidates through compassionate use programs in the event we establish such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76" w:lineRule="exact"/>
        <w:rPr>
          <w:sz w:val="20"/>
          <w:szCs w:val="20"/>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211"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Although we maintain product liability insurance coverage, it may not be adequate to cover all liabilities that we may incur. We anticipate that we will need to increase our insurance coverage if we successfully commercialize any drug candidate. Insurance coverage is increasingly expensive. We may not be able to maintain insurance coverage at a reasonable cost or in an amount adequate to satisfy any liability that may arise.</w:t>
      </w:r>
    </w:p>
    <w:p>
      <w:pPr>
        <w:spacing w:after="0" w:line="171"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4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 In addition, if we are successful in receiving FDA approval for ublituximab for the treatment of CLL and MS, we will need to identify and execute a pricing strategy that takes into account the value of the product in each indication independently to realize the product’s full potential in both indications. If we are unable to identify and execute such a strategy, the pricing of ublituximab across indications may not be optimal, which may have a material adverse impact on the sales in one or both of the indications and on our overall business.</w:t>
      </w:r>
    </w:p>
    <w:p>
      <w:pPr>
        <w:spacing w:after="0" w:line="18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7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managed care initiatives that may increase our costs of compliance and adversely affect our ability to market our products, obtain collaborators and raise capital.</w:t>
      </w:r>
    </w:p>
    <w:p>
      <w:pPr>
        <w:spacing w:after="0" w:line="12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or proposed changes to the health care system, many of which have focused on prescription drug pricing and lowering overall health care costs, that could impact our ability to sell our products profitably. We expect prescription drug pricing and other health care costs to continue to be subject to intense political and social pressures on a global basis.</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the United States, federal and state legislatures, health agencies and third-party payors continue to focus on containing the cost of health care and addressing public concern over access and affordability of prescription drugs. The Patient Protection and Affordable Care Act, as amended by the Health Care and Education Reconciliation Act of 2010(collectively, the ACA) was enacted in 2010 and made significant changes to the U.S. health care system. The ACA and any revisions or replacements of that Act, any substitute legislation, and other changes in the law or regulatory framework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Among the provisions of the ACA, those of importance to our potential product candidates include:</w:t>
      </w:r>
    </w:p>
    <w:p>
      <w:pPr>
        <w:spacing w:after="0" w:line="225" w:lineRule="exact"/>
        <w:rPr>
          <w:sz w:val="20"/>
          <w:szCs w:val="20"/>
          <w:color w:val="auto"/>
        </w:rPr>
      </w:pPr>
    </w:p>
    <w:p>
      <w:pPr>
        <w:jc w:val="both"/>
        <w:ind w:left="1040" w:right="79" w:hanging="315"/>
        <w:spacing w:after="0" w:line="255"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2" w:lineRule="exact"/>
        <w:rPr>
          <w:rFonts w:ascii="Arial" w:cs="Arial" w:eastAsia="Arial" w:hAnsi="Arial"/>
          <w:sz w:val="18"/>
          <w:szCs w:val="18"/>
          <w:color w:val="auto"/>
        </w:rPr>
      </w:pPr>
    </w:p>
    <w:p>
      <w:pPr>
        <w:ind w:left="1040" w:right="79" w:hanging="315"/>
        <w:spacing w:after="0" w:line="281"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increase in the statutory minimum rebates a manufacturer must pay under the Medicaid Drug Rebate Program to 23.1% and 13.0% of the average manufacturer price for branded and generic drugs, respectively;</w:t>
      </w:r>
    </w:p>
    <w:p>
      <w:pPr>
        <w:spacing w:after="0" w:line="1" w:lineRule="exact"/>
        <w:rPr>
          <w:rFonts w:ascii="Arial" w:cs="Arial" w:eastAsia="Arial" w:hAnsi="Arial"/>
          <w:sz w:val="16"/>
          <w:szCs w:val="16"/>
          <w:color w:val="auto"/>
        </w:rPr>
      </w:pPr>
    </w:p>
    <w:p>
      <w:pPr>
        <w:ind w:left="1040" w:right="79" w:hanging="315"/>
        <w:spacing w:after="0" w:line="281"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expansion of healthcare fraud and abuse laws, including the federal False Claims Act and the federal Anti-Kickback Statute, new government investigative powers and enhanced penalties for non-compliance;</w:t>
      </w:r>
    </w:p>
    <w:p>
      <w:pPr>
        <w:spacing w:after="0" w:line="1" w:lineRule="exact"/>
        <w:rPr>
          <w:rFonts w:ascii="Arial" w:cs="Arial" w:eastAsia="Arial" w:hAnsi="Arial"/>
          <w:sz w:val="16"/>
          <w:szCs w:val="16"/>
          <w:color w:val="auto"/>
        </w:rPr>
      </w:pPr>
    </w:p>
    <w:p>
      <w:pPr>
        <w:jc w:val="both"/>
        <w:ind w:left="1040" w:right="79" w:hanging="315"/>
        <w:spacing w:after="0" w:line="265"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 (subsequent legislation increased this amount to 70% effective as of January 1, 2019);</w:t>
      </w:r>
    </w:p>
    <w:p>
      <w:pPr>
        <w:ind w:left="1040" w:right="79" w:hanging="315"/>
        <w:spacing w:after="0" w:line="250"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jc w:val="both"/>
        <w:ind w:left="1040" w:right="79" w:hanging="315"/>
        <w:spacing w:after="0" w:line="250"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adding new eligibility categories for certain individuals with income at or below 133% of the federal poverty level, thereby potentially increasing a manufacturer’s Medicaid rebate liability;</w:t>
      </w:r>
    </w:p>
    <w:p>
      <w:pPr>
        <w:spacing w:after="0" w:line="1"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expansion of the list of covered entities eligible to enroll in the 340B Drug Pricing Program to include certain free-standing cancer hospitals, critical access hospitals, rural referral centers, and sole community hospitals, but exempting orphan drugs from the ceiling price requirements for these covered entities;</w:t>
      </w:r>
    </w:p>
    <w:p>
      <w:pPr>
        <w:spacing w:after="0" w:line="1" w:lineRule="exact"/>
        <w:rPr>
          <w:rFonts w:ascii="Arial" w:cs="Arial" w:eastAsia="Arial" w:hAnsi="Arial"/>
          <w:sz w:val="16"/>
          <w:szCs w:val="16"/>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requirements under the federal Open Payments program and its implementing regulations;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new requirement to annually report drug samples that manufacturers and distributors provide to physicians;</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regulatory pathway for the approval of biosimilar biological products; and</w:t>
      </w:r>
    </w:p>
    <w:p>
      <w:pPr>
        <w:spacing w:after="0" w:line="9"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Certain provisions of the ACA have been subject to judicial challenges as well as efforts to repeal or replace them or to alter their interpretation or implementation. For example, the 2017 Tax Cuts and Jobs Act (Tax Act) repealed the penalty for individuals who fail to maintain minimum essential health coverage as required by the ACA, commonly referred to as the individual mandate, effective January 1, 2019. Another example is the Bipartisan Budget Act of 2018 (the BBA), which set government spending levels for Fiscal Years 2018 and 2019 and revised certain provisions of the ACA. Specifically, beginning in 2019, the BBA increased manufacturer point-of-sale discounts off negotiated prices of applicable brand drugs in the Medicare Part D coverage gap from 50% to 70% effective as of January 1, 2019, ultimately increasing the liability for brand drug manufacturers.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December 2018, the U.S. District Court for the Northern District of Texas ruled that (i) that the individual mandate was unconstitutional as a result of the associated tax penalty being repealed as part of the Tax Act; and (ii) the individual mandate is not severable from the rest of the ACA and, as a result, the ACA in its entirety is invalid. In December 2019, the U.S. Court of Appeals for the Fifth Circuit affirmed the district court’s decision that the individual mandate is unconstitutional but remanded the case back to the district court to reconsider the severability question. It is unclear how the ultimate decision in this case, which is now pending before the U.S. Supreme Court, or other efforts to repeal, replace, or invalidate the ACA or its implementing regulations, or portions thereof, will affect the ACA, our industry more generally, and the availability of adequate reimbursement for our products if commercialized.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Beyond the ACA, there has been increasing legislative, regulatory and enforcement interest with respect to prescription drug pricing practices. In May 2018, the Trump Administration issued a plan to lower prescription drug prices. Under this blueprint for action, the Administration outlined a wide range of high-level proposals to address prescription drug list prices and patient out-of-pocket costs. Since that time, the Administration has taken several regulatory steps with respect to prescription drug pricing. Most recently, President Trump signed into law the U.S.-Mexico-Canada (USMCA) trade agreement. As enacted, there are no commitments with respect to biologic product intellectual property rights or data protection, which may create an unfavorable environment across the three countries.</w:t>
      </w:r>
    </w:p>
    <w:p>
      <w:pPr>
        <w:spacing w:after="0" w:line="2"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The Department of Health and Human Services (HHS), in conjunction with the FDA, released two pharmaceutical importation models in December 2019: (a) a Notice of Proposed Rulemaking to permit importation of pharmaceuticals from Canada, and (b) draft FDA guidance permitting manufacturers to import their own pharmaceuticals that were originally intended for marketing in other countries. In addition, HHS finalized Medicare fee-for-service hospital payment reductions for Part B drugs acquired through the 340B Drug Pricing Program, which remains subject to ongoing legal challenge. HHS also has signaled its intent to continue to pursue reimbursement policy changes for Medicare Part B drugs as a whole that likely would reduce hospital and physician reimbursement for these drugs. 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We expect that health care reform measures that may be adopted in the future, may result in more rigorous coverage criteria and in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8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At the state level, individual states are experiencing significant economic pressure within their state Medicaid programs and responding to public concern over the cost of healthcare.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and imposing transparency measures around prescription drug prices and marketing costs. These measures, which vary by state, could reduce the ultimate demand for our products, if approved, or put pressure on our product pricing.</w:t>
      </w:r>
    </w:p>
    <w:p>
      <w:pPr>
        <w:spacing w:after="0" w:line="17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Furthermore, 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candidates in certain international markets.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61" w:lineRule="exact"/>
        <w:rPr>
          <w:sz w:val="20"/>
          <w:szCs w:val="20"/>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cannot predict the likelihood, nature or extent of government regulation that may arise from future legislation or administrative or executive action, either in the United States or abroad.</w:t>
      </w:r>
    </w:p>
    <w:p>
      <w:pPr>
        <w:spacing w:after="0" w:line="17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We cannot predict the likelihood, nature or extent of how government regulation that may arise from future legislation or administrative or executive action taken by the U.S. presidential administration may impact our business and industry. In particular, the U.S. President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23, 2017, President Trump ordered a civilian hiring freeze for all executive departments and agencies, including the FDA, which prohibits the FDA from filling employee vacancies or creating new positions. Under the terms of the order, the freeze was to remain in effect until implementation of a plan to be recommended by the Director for the Office of Management and Budget (OMB) in consultation with the Director of the Office of Personnel Management, to reduce the size of the federal workforce through attrition. An under-staffed FDA could result in delays in FDA’s responsiveness or in its ability to review submissions or applications, issue regulations or guidance or implement or enforce regulatory requirements in a timely fashion or at all. This hiring freeze was lifted later in 2017. Moreover,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173"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addition, on October 12, 2017, the President released an Executive Order intended to promote health care choices and competition and on June 24, 2019, the President released an Executive Order intended to improve price transparency and quality transparency. These may push HHS, FDA, and other relevant agencies to engage in rulemaking that may impact the pharmaceutical industry.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8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do not currently have a sales infrastructure and have limited experience in the sale, marketing or distribution of drugs. To achieve commercial success for any approved drug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collaborators for, some of our drug candidates if and when they are approved.</w:t>
      </w:r>
    </w:p>
    <w:p>
      <w:pPr>
        <w:spacing w:after="0" w:line="19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advance of FDA approval of our first product, we will need to make significant investments to build a commercial organization and infrastructure. We will need to hire a sales force and commercial support personnel, in order to build processes and systems to support a commercial launch prior to knowing whether our product will receive FDA approval. It is possible that the FDA approval is unexpectedly delayed or our product is not approved at all. In either case we will incur delays that may impede or significantly delay our ability to generate revenue and at the same time will incur significant expenses. If this were to occur, it would have a material adverse effect on the Company.</w:t>
      </w:r>
    </w:p>
    <w:p>
      <w:pPr>
        <w:spacing w:after="0" w:line="16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There are risks involved with both establishing our own sales and marketing capabilities and entering into arrangements with third parties to perform these services. For example, recruiting and training a sales force are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225" w:lineRule="exact"/>
        <w:rPr>
          <w:sz w:val="20"/>
          <w:szCs w:val="20"/>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to effectively promote any future drugs;</w:t>
      </w:r>
    </w:p>
    <w:p>
      <w:pPr>
        <w:spacing w:after="0" w:line="20" w:lineRule="exact"/>
        <w:rPr>
          <w:rFonts w:ascii="Arial" w:cs="Arial" w:eastAsia="Arial" w:hAnsi="Arial"/>
          <w:sz w:val="17"/>
          <w:szCs w:val="17"/>
          <w:color w:val="auto"/>
        </w:rPr>
      </w:pPr>
    </w:p>
    <w:p>
      <w:pPr>
        <w:ind w:left="1040" w:right="79" w:hanging="315"/>
        <w:spacing w:after="0" w:line="250"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 sales and marketing organization.</w:t>
      </w:r>
    </w:p>
    <w:p>
      <w:pPr>
        <w:spacing w:after="0" w:line="21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5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extensive healthcare statutory and regulatory requirements and oversight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will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5" w:lineRule="exact"/>
        <w:rPr>
          <w:sz w:val="20"/>
          <w:szCs w:val="20"/>
          <w:color w:val="auto"/>
        </w:rPr>
      </w:pPr>
    </w:p>
    <w:p>
      <w:pPr>
        <w:jc w:val="both"/>
        <w:ind w:left="1040" w:right="79" w:hanging="315"/>
        <w:spacing w:after="0" w:line="253"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3" w:lineRule="exact"/>
        <w:rPr>
          <w:rFonts w:ascii="Arial" w:cs="Arial" w:eastAsia="Arial" w:hAnsi="Arial"/>
          <w:sz w:val="16"/>
          <w:szCs w:val="16"/>
          <w:color w:val="auto"/>
        </w:rPr>
      </w:pPr>
    </w:p>
    <w:p>
      <w:pPr>
        <w:jc w:val="both"/>
        <w:ind w:left="1040" w:right="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2" w:lineRule="exact"/>
        <w:rPr>
          <w:rFonts w:ascii="Arial" w:cs="Arial" w:eastAsia="Arial" w:hAnsi="Arial"/>
          <w:sz w:val="16"/>
          <w:szCs w:val="16"/>
          <w:color w:val="auto"/>
        </w:rPr>
      </w:pPr>
    </w:p>
    <w:p>
      <w:pPr>
        <w:jc w:val="both"/>
        <w:ind w:left="1040" w:right="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jc w:val="both"/>
        <w:ind w:left="1040" w:right="79" w:hanging="315"/>
        <w:spacing w:after="0" w:line="268"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pricing of products or payments to physicians and other health care providers or marketing expenditures, and governing the privacy and security of health information in certain circumstances, many of which differ from each other in significant ways and often are not preempted by HIPAA, thus complicating compliance efforts.</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5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1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we are exposed to liability risks under the Foreign Corrupt Practices Act or similar anti-bribery laws.</w:t>
      </w:r>
    </w:p>
    <w:p>
      <w:pPr>
        <w:spacing w:after="0" w:line="15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11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and requirements regarding promotional interactions with healthcare professionals. Failure to comply with these regulatory requirements or later discovery of previously unknown problems with products, manufacturers, or manufacturing processes, may result in actions such as:</w:t>
      </w:r>
    </w:p>
    <w:p>
      <w:pPr>
        <w:spacing w:after="0" w:line="99" w:lineRule="exact"/>
        <w:rPr>
          <w:sz w:val="20"/>
          <w:szCs w:val="20"/>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ind w:left="1040" w:hanging="315"/>
        <w:spacing w:after="0" w:line="21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ind w:left="1040" w:hanging="315"/>
        <w:spacing w:after="0" w:line="21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ind w:left="1040" w:hanging="315"/>
        <w:spacing w:after="0" w:line="21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letters;</w:t>
      </w:r>
    </w:p>
    <w:p>
      <w:pPr>
        <w:ind w:left="1040" w:hanging="315"/>
        <w:spacing w:after="0" w:line="21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ind w:left="1040" w:right="79" w:hanging="315"/>
        <w:spacing w:after="0" w:line="21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ind w:left="1040" w:hanging="315"/>
        <w:spacing w:after="0" w:line="21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recalls;</w:t>
      </w:r>
    </w:p>
    <w:p>
      <w:pPr>
        <w:ind w:left="1040" w:hanging="315"/>
        <w:spacing w:after="0" w:line="21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w:t>
      </w:r>
    </w:p>
    <w:p>
      <w:pPr>
        <w:ind w:left="1040" w:hanging="315"/>
        <w:spacing w:after="0" w:line="21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marketing or regulatory approvals;</w:t>
      </w:r>
    </w:p>
    <w:p>
      <w:pPr>
        <w:ind w:left="1040" w:hanging="315"/>
        <w:spacing w:after="0" w:line="21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ind w:left="1040" w:hanging="315"/>
        <w:spacing w:after="0" w:line="21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detentions;</w:t>
      </w:r>
    </w:p>
    <w:p>
      <w:pPr>
        <w:ind w:left="1040" w:hanging="315"/>
        <w:spacing w:after="0" w:line="21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publicity.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brand names, and any failure or delay associated with such approval may adversely impact our business.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 pharmaceutical product candidate cannot be marketed in the United States or other countries until we have completed a rigorous and extensive regulatory review process, including approval of a brand name. Any brand names we intend to use for ublituximab, umbralisib or any future product candidates will require approval from the FDA regardless of whether we have secured a formal trademark registration from the United States Patent and Trademark Office (USPTO).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ublituximab, umbralisib or any future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ublituximab, umbralisib, or any future product candidates. We do not currently have an agreed upon brand name for umbralisib, and no assurance can be given that we will obtain one in a timely fashion. Any delay in obtaining a brand name for umbralisib or any other of our drug candidates could delay approval and/or commercialization and have a negative impact on our launch and future prospects for umbralisib or any other such drug candidates.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We rely on third parties to generate clinical, preclinical and other data necessary to support the regulatory applications needed to conduct clinical trials and file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7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order to submit an Investigational New Drug application (IND), BLA, or NDA to the FDA and maintain these applications, it is necessary to submit all information on the clinical, non-clinical, chemistry, manufacturing, controls and quality aspects of the product candidate. Clinical trial authorizations and marketing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While we maintain an active IND for ublituximab, umbralisib, and cosibelimab enabling the conduct of studies in the FDA’s Division of Hematology and Oncology, and an active IND for ublituximab under the FDA’s Division of Neurology, there can be no assurance that the FDA will allow us to continue the development of our product candidates in those divisions where we maintain an active 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are required by the FDA or IRB to close down due to data management or patient management or any other issues, we may lose patients. In our MS Phase 2 trial, during routine monitoring and site audits, significant Good Clinical Practice (GCP) violations and other noncompliance issues were identified at one of our US-based large academic sites. The investigator left the institution and shortly thereafter the site terminated their participation in our study before all data could be source document verified. While we do not believe this will have any effect on the overall results of the MS Phase 2 trial, sensitivity analyses excluding data from this site will be performed and no assurance can be given that the results were not affected.</w:t>
      </w:r>
    </w:p>
    <w:p>
      <w:pPr>
        <w:spacing w:after="0" w:line="387"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up to and including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Although we intend to design the clinical trials for our drug candidates, 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5" w:lineRule="exact"/>
        <w:rPr>
          <w:sz w:val="20"/>
          <w:szCs w:val="20"/>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57"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We rely, and expect to continue to rely, on third parties for the manufacture of our drug candidates for pre-clinical development and clinical testing, as well as for the commercial manufacture of our drugs if any of our drug candidates receive marketing approval. In some circumstances, our licensor has entered into arrangements with contract manufacturers to supply product for our clinical and commercial demand. Our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facilities used by contract manufacturers to manufacture our drug candidates must be approved by the FDA or a comparable foreign regulatory authority pursuant to inspections that may be conducted after we submit our marketing applications to the FDA or a comparable foreign regulatory authority.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including causing substantial delay, in our ability to develop, obtain regulatory approval for or market our drug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drug candidates.</w:t>
      </w:r>
    </w:p>
    <w:p>
      <w:pPr>
        <w:spacing w:after="0" w:line="18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For certain of our drug candidates, we do not have long-term supply agreements with contract manufacturers. For these drug candidates, we purchase our required drug supply, including the drug product and drug substance on a purchase order basis. We may be unable to establish or maintain agreements with third-party manufacturers for these drug candidates or do so on acceptable terms.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If they are unable to do so, it could have a material adverse impact on our business.</w:t>
      </w:r>
    </w:p>
    <w:p>
      <w:pPr>
        <w:spacing w:after="0" w:line="17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Even if we are able to establish and maintain agreements with third-party manufacturers, reliance on third-party manufacturers entails additional risks, including:</w:t>
      </w:r>
    </w:p>
    <w:p>
      <w:pPr>
        <w:spacing w:after="0" w:line="170" w:lineRule="exact"/>
        <w:rPr>
          <w:sz w:val="20"/>
          <w:szCs w:val="20"/>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breach of the manufacturing or supply agreement by the third party;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 and</w:t>
      </w:r>
    </w:p>
    <w:p>
      <w:pPr>
        <w:spacing w:after="0" w:line="32" w:lineRule="exact"/>
        <w:rPr>
          <w:rFonts w:ascii="Arial" w:cs="Arial" w:eastAsia="Arial" w:hAnsi="Arial"/>
          <w:sz w:val="16"/>
          <w:szCs w:val="16"/>
          <w:color w:val="auto"/>
        </w:rPr>
      </w:pPr>
    </w:p>
    <w:p>
      <w:pPr>
        <w:ind w:left="1040" w:right="79" w:hanging="315"/>
        <w:spacing w:after="0" w:line="26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Moreover, our current long-term supply agreements contain certain minimum purchases in what are commonly referred to as “take or pay” provisions, and we would expect all future supply agreements to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w:t>
      </w:r>
    </w:p>
    <w:p>
      <w:pPr>
        <w:spacing w:after="0" w:line="19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If our current contract manufacturers cannot perform as agreed, we may be required to replace such manufacturers causing additional costs and delays in identifying and qualifying any such replacement.</w:t>
      </w:r>
    </w:p>
    <w:p>
      <w:pPr>
        <w:spacing w:after="0" w:line="16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also expect to rely on other third parties to store and distribute drug supplies for our clinical trials and for commercial demand, if and when our product candidates receive approval.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7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we do not have the capability to package finished products for distribution to hospitals and other customers. Prior to commercial launch, we intend to enter into agreements with one or more alternate packaging and labeling suppliers so that we can ensure proper supply chain management once we are authorized to make commercial sales of our product candidates. If we receive marketing approval from the FDA, we intend to sell pharmaceutical product finished and packaged by such suppliers. We have not yet entered into long-term agreements with our fill/finish suppliers for all of our drug candidates, and we may be unable to enter into such an agreement or do so on commercially reasonable terms, which could have a material adverse impact upon our business.</w:t>
      </w:r>
    </w:p>
    <w:p>
      <w:pPr>
        <w:spacing w:after="0" w:line="164" w:lineRule="exact"/>
        <w:rPr>
          <w:sz w:val="20"/>
          <w:szCs w:val="20"/>
          <w:color w:val="auto"/>
        </w:rPr>
      </w:pPr>
    </w:p>
    <w:p>
      <w:pPr>
        <w:jc w:val="both"/>
        <w:ind w:left="60" w:right="59"/>
        <w:spacing w:after="0" w:line="307" w:lineRule="auto"/>
        <w:rPr>
          <w:sz w:val="20"/>
          <w:szCs w:val="20"/>
          <w:color w:val="auto"/>
        </w:rPr>
      </w:pPr>
      <w:r>
        <w:rPr>
          <w:rFonts w:ascii="Arial" w:cs="Arial" w:eastAsia="Arial" w:hAnsi="Arial"/>
          <w:sz w:val="16"/>
          <w:szCs w:val="16"/>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96"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7"/>
          <w:szCs w:val="17"/>
          <w:color w:val="auto"/>
        </w:rPr>
        <w:t>Because we license our product candidates from third parties and we expect to continue to in-license additional product candidates, if there is any dispute between us and our licensor regarding our rights under a license agreement, our ability to develop and commercialize our product candidates may be adversely affected. Disputes may arise with the third parties from whom we license our product candidates for a variety of reasons, including:</w:t>
      </w:r>
    </w:p>
    <w:p>
      <w:pPr>
        <w:spacing w:after="0" w:line="142" w:lineRule="exact"/>
        <w:rPr>
          <w:sz w:val="20"/>
          <w:szCs w:val="20"/>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ind w:left="1040" w:right="79" w:hanging="315"/>
        <w:spacing w:after="0" w:line="219"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ind w:left="1040" w:right="79" w:hanging="315"/>
        <w:spacing w:after="0" w:line="219"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 and obligations associated with sublicensing;</w:t>
      </w:r>
    </w:p>
    <w:p>
      <w:pPr>
        <w:ind w:left="1040" w:hanging="315"/>
        <w:spacing w:after="0"/>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5" w:lineRule="exact"/>
        <w:rPr>
          <w:rFonts w:ascii="Arial" w:cs="Arial" w:eastAsia="Arial" w:hAnsi="Arial"/>
          <w:sz w:val="16"/>
          <w:szCs w:val="16"/>
          <w:color w:val="auto"/>
        </w:rPr>
      </w:pPr>
    </w:p>
    <w:p>
      <w:pPr>
        <w:ind w:left="1040" w:right="79" w:hanging="315"/>
        <w:spacing w:after="0" w:line="219"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8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7"/>
          <w:szCs w:val="17"/>
          <w:color w:val="auto"/>
        </w:rPr>
        <w:t>In addition, the agreements under which we currently license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5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4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6"/>
          <w:szCs w:val="16"/>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43"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8"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5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7" w:lineRule="exact"/>
        <w:rPr>
          <w:sz w:val="20"/>
          <w:szCs w:val="20"/>
          <w:color w:val="auto"/>
        </w:rPr>
      </w:pPr>
    </w:p>
    <w:p>
      <w:pPr>
        <w:jc w:val="both"/>
        <w:ind w:left="60" w:right="59" w:firstLine="486"/>
        <w:spacing w:after="0" w:line="271"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7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success depends upon our ability to obtain and protect our intellectual property and proprietary technologies and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46"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Our commercial success in part depends on obtaining and maintaining patent protection and trade secret protection in the United States and other countries with respect to our product candidates or any future product candidate that we may license or acquire,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drug candidates, we also rely on our licensors to protect the patent and other intellectual property rights necessary for commercialization of our drug candidates.</w:t>
      </w:r>
    </w:p>
    <w:p>
      <w:pPr>
        <w:spacing w:after="0" w:line="14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7"/>
          <w:szCs w:val="17"/>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drug candidates. In addition, the laws of foreign countries may not protect our rights to the same extent as the laws of the United States.</w:t>
      </w:r>
    </w:p>
    <w:p>
      <w:pPr>
        <w:spacing w:after="0" w:line="149"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6"/>
          <w:szCs w:val="16"/>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136"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6"/>
          <w:szCs w:val="16"/>
          <w:color w:val="auto"/>
        </w:rPr>
        <w:t>Currently, the composition of matter patent for ublituximab and umbralisib are granted in both the United States and EU, among other countries. A method of use patent covering the combination of ublituximab and umbralisib has also been granted in the United States, European Union, Japan, and several other territories. Additionally, several method of use patents for ublituximab and umbralisib in various indications and settings have also been applied for but have not yet been issued or have been issued in certain territories but not under all jurisdictions in which such applications have been filed. There can be no guarantee that any patents for which an application has already been filed, nor any patents filed in the future, for our cosibelimab, TG-1701 and TG-1801 or for our pre-clinical product candidates will be granted in any or all jurisdictions in which they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risks and uncertainties include the following:</w:t>
      </w:r>
    </w:p>
    <w:p>
      <w:pPr>
        <w:spacing w:after="0" w:line="185"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any patents being issued;</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1040" w:right="79" w:hanging="315"/>
        <w:spacing w:after="0" w:line="250"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jc w:val="both"/>
        <w:ind w:left="1040" w:right="79" w:hanging="315"/>
        <w:spacing w:after="0" w:line="265"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file new patent applications or make, use, and sell our potential products either in the United States or in international markets;</w:t>
      </w:r>
    </w:p>
    <w:p>
      <w:pPr>
        <w:jc w:val="both"/>
        <w:ind w:left="1040" w:right="79" w:hanging="315"/>
        <w:spacing w:after="0" w:line="265"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jc w:val="both"/>
        <w:ind w:left="1040" w:right="79" w:hanging="315"/>
        <w:spacing w:after="0" w:line="255"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90"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If patents are not issued that protect our product candidates, it could have a material adverse effect on our financial condition and results of operations.</w:t>
      </w:r>
    </w:p>
    <w:p>
      <w:pPr>
        <w:spacing w:after="0" w:line="17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 candidates or any future product candidate we may license or acquire,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9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177"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United States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 candidates.</w:t>
      </w:r>
    </w:p>
    <w:p>
      <w:pPr>
        <w:spacing w:after="0" w:line="16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issuance of a patent does not foreclose challenges to its inventorship, scope, validity or enforceability. Therefore,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7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7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6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do not obtain patent term extensions under the Hatch-Waxman Amendments and similar foreign legislation extending the terms of our licensed patents and any future patents we may own, our business may be materially harmed.</w:t>
      </w:r>
    </w:p>
    <w:p>
      <w:pPr>
        <w:spacing w:after="0" w:line="10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7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9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2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are aware of certain patents that may pose issues for our commercialization of our drug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ublituximab or launch at the risk of litigation for patent infringement, which may have a material adverse effect on our business and results of operations.</w:t>
      </w:r>
    </w:p>
    <w:p>
      <w:pPr>
        <w:spacing w:after="0" w:line="17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7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Other product candidates that we may in-license or acquire could be subject to similar risks and uncertainties.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8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39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Employee Matters, Managing Growth and Other Risks Related to Our Business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are highly dependent on the research and development, clinical, business development, financial and legal expertise of our senior management team as well as the other principal members of our management, scientific and clinical team.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expect to continue hiring qualified development personnel. Recruiting and retaining qualified scientific, clinical, manufacturing and sales and marketing personnel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Failure to succeed in clinical trials may make it more challenging to recruit and retain qualified medical and scientific personnel.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As of May 5, 2020, we had 153 full-time employees, and we expect to continue to increase our number of employees and expand the scope of our operations. Our management and medical, commercial, and scientific personnel, systems and facilities currently in place will not be adequate to support our anticipated future growth.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To accommodate growth, additional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business.</w:t>
      </w:r>
    </w:p>
    <w:p>
      <w:pPr>
        <w:spacing w:after="0" w:line="17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Additionally, to help manage the expanding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7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January 31, 2019 (Brexit Day), the United Kingdom formally left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The long-term impact of Brexit, including on our business and our industry, will depend on the terms that are negotiated in relation to the United Kingdom’s future relationship with the European Union during the transition period which began on Brexit Day and is currently set to end on December 31, 2020. We are closely monitoring the Brexit developments in order to determine, quantify and proactively address changes as they become clear. Despite the Brexit developments, we do not expect macroeconomic conditions to have a significant impact on our liquidity needs, financial condition or results of operations.</w:t>
      </w:r>
    </w:p>
    <w:p>
      <w:pPr>
        <w:spacing w:after="0" w:line="172" w:lineRule="exact"/>
        <w:rPr>
          <w:sz w:val="20"/>
          <w:szCs w:val="20"/>
          <w:color w:val="auto"/>
        </w:rPr>
      </w:pPr>
    </w:p>
    <w:p>
      <w:pPr>
        <w:jc w:val="both"/>
        <w:ind w:left="60" w:right="79"/>
        <w:spacing w:after="0" w:line="343" w:lineRule="auto"/>
        <w:rPr>
          <w:sz w:val="20"/>
          <w:szCs w:val="20"/>
          <w:color w:val="auto"/>
        </w:rPr>
      </w:pPr>
      <w:r>
        <w:rPr>
          <w:rFonts w:ascii="Arial" w:cs="Arial" w:eastAsia="Arial" w:hAnsi="Arial"/>
          <w:sz w:val="15"/>
          <w:szCs w:val="15"/>
          <w:b w:val="1"/>
          <w:bCs w:val="1"/>
          <w:i w:val="1"/>
          <w:iCs w:val="1"/>
          <w:color w:val="auto"/>
        </w:rPr>
        <w:t>Our internal computer systems, or those of our third-party CROs, CMOs, or other contractors or consultants, may fail or suffer security breaches, which could result in a material disruption of our drug candidates’ development programs.</w:t>
      </w:r>
    </w:p>
    <w:p>
      <w:pPr>
        <w:spacing w:after="0" w:line="74"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CROs, CMOs,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Furthermore, in preparing for potential commercialization of our first drug candidate, we anticipate that our computer systems will increase in magnitude and complexity. Building the systems and infrastructure required for commercialization with appropriate security measures may be time consuming and costly. In addition, there can be no assurance that our efforts will prevent breakdowns or breaches in our systems. To the extent that any disruption or security breach results in a loss of or damage to our data or applications or other data or applications relating to our technology or drug candidates, or inappropriate disclosure of confidential or proprietary information, we could incur financial, legal, business or reputational harm.</w:t>
      </w:r>
    </w:p>
    <w:p>
      <w:pPr>
        <w:spacing w:after="0" w:line="15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48" w:lineRule="exact"/>
        <w:rPr>
          <w:sz w:val="20"/>
          <w:szCs w:val="20"/>
          <w:color w:val="auto"/>
        </w:rPr>
      </w:pPr>
    </w:p>
    <w:p>
      <w:pPr>
        <w:jc w:val="both"/>
        <w:ind w:left="60" w:right="59" w:firstLine="648"/>
        <w:spacing w:after="0" w:line="249" w:lineRule="auto"/>
        <w:rPr>
          <w:sz w:val="20"/>
          <w:szCs w:val="20"/>
          <w:color w:val="auto"/>
        </w:rPr>
      </w:pPr>
      <w:r>
        <w:rPr>
          <w:rFonts w:ascii="Arial" w:cs="Arial" w:eastAsia="Arial" w:hAnsi="Arial"/>
          <w:sz w:val="16"/>
          <w:szCs w:val="16"/>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4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06"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54"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6"/>
          <w:szCs w:val="16"/>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Publicly-Traded Company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stock price is, and we expect it to remain, volatile, which could limit investors ability to sell stock at a profit.</w:t>
      </w:r>
    </w:p>
    <w:p>
      <w:pPr>
        <w:spacing w:after="0" w:line="23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trading price of our common stock has been and is likely to continue to be highly volatile and subject to wide fluctuations in price in response to various factors, many of which are beyond our control. These factors include:</w:t>
      </w:r>
    </w:p>
    <w:p>
      <w:pPr>
        <w:spacing w:after="0" w:line="133" w:lineRule="exact"/>
        <w:rPr>
          <w:sz w:val="20"/>
          <w:szCs w:val="20"/>
          <w:color w:val="auto"/>
        </w:rPr>
      </w:pPr>
    </w:p>
    <w:p>
      <w:pPr>
        <w:ind w:left="1040" w:right="79" w:hanging="315"/>
        <w:spacing w:after="0" w:line="228"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ind w:left="1040" w:right="79"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ind w:left="1040" w:right="79"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 such as the disruptions in the global economy caused by the COVID-19 pandemic;</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ind w:left="1040" w:hanging="315"/>
        <w:spacing w:after="0" w:line="21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43"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48" w:lineRule="exact"/>
        <w:rPr>
          <w:sz w:val="20"/>
          <w:szCs w:val="20"/>
          <w:color w:val="auto"/>
        </w:rPr>
      </w:pPr>
    </w:p>
    <w:p>
      <w:pPr>
        <w:jc w:val="both"/>
        <w:ind w:left="60" w:right="79"/>
        <w:spacing w:after="0" w:line="274"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21"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52" w:lineRule="exact"/>
        <w:rPr>
          <w:sz w:val="20"/>
          <w:szCs w:val="20"/>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pacing w:after="0" w:line="23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Agreement, we are currently restricted from paying cash dividends, and we expect these restrictions to continue in the future. In addition, the terms of any future debt agreements may continue to preclude us from paying dividends. As a result, capital appreciation, if any, of our common stock will be the sole source of gain for our stockholders for the foreseeable future.</w:t>
      </w:r>
    </w:p>
    <w:p>
      <w:pPr>
        <w:spacing w:after="0" w:line="16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2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which could have an adverse effect on the market price of our stock.</w:t>
      </w:r>
    </w:p>
    <w:p>
      <w:pPr>
        <w:spacing w:after="0" w:line="17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Volatility in the price of our common stock may subject us to securities litigation, which could cause us to incur substantial costs and divert management’s attention, financial resources and other company assets.</w:t>
      </w:r>
    </w:p>
    <w:p>
      <w:pPr>
        <w:spacing w:after="0" w:line="14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3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March 31, 2020, we had federal net operating loss carryforwards of approximately $709.9 million,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“CARES Act” was signed by the U.S. President. Certain provisions of the CARES Act alter the rules regarding net-operating losses for such losses arising in 2018, 2019 and 2020. Such losses may be carried back for five years. Additionally, the CARES Act permits these net operating losses to offset up to 100% of our taxable income if used in 2020 or earlier years. We cannot assure you, however, of our ability to utilize these favorable offset rules within the applicable time period. These rules apply regardless of the occurrence of an ownership change.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198" w:lineRule="exact"/>
        <w:rPr>
          <w:sz w:val="20"/>
          <w:szCs w:val="20"/>
          <w:color w:val="auto"/>
        </w:rPr>
      </w:pPr>
    </w:p>
    <w:p>
      <w:pPr>
        <w:ind w:left="1080" w:right="619" w:hanging="580"/>
        <w:spacing w:after="0" w:line="258"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91">
        <w:r>
          <w:rPr>
            <w:rFonts w:ascii="Arial" w:cs="Arial" w:eastAsia="Arial" w:hAnsi="Arial"/>
            <w:sz w:val="18"/>
            <w:szCs w:val="18"/>
            <w:u w:val="single" w:color="auto"/>
            <w:color w:val="0000EE"/>
          </w:rPr>
          <w:t>Certification of Chief Executive Officer pursuant to Rule 13a-14(a)/15d-14(a), as adopted pursuant to</w:t>
        </w:r>
      </w:hyperlink>
      <w:r>
        <w:rPr>
          <w:rFonts w:ascii="Arial" w:cs="Arial" w:eastAsia="Arial" w:hAnsi="Arial"/>
          <w:sz w:val="18"/>
          <w:szCs w:val="18"/>
          <w:u w:val="single" w:color="auto"/>
          <w:color w:val="0000EE"/>
        </w:rPr>
        <w:t xml:space="preserve"> </w:t>
      </w:r>
      <w:hyperlink w:anchor="page91">
        <w:r>
          <w:rPr>
            <w:rFonts w:ascii="Arial" w:cs="Arial" w:eastAsia="Arial" w:hAnsi="Arial"/>
            <w:sz w:val="18"/>
            <w:szCs w:val="18"/>
            <w:u w:val="single" w:color="auto"/>
            <w:color w:val="0000EE"/>
          </w:rPr>
          <w:t>Section 302 of the Sarbanes-Oxley Act of 2002, dated May 11, 2020.</w:t>
        </w:r>
      </w:hyperlink>
    </w:p>
    <w:p>
      <w:pPr>
        <w:spacing w:after="0" w:line="1" w:lineRule="exact"/>
        <w:rPr>
          <w:sz w:val="20"/>
          <w:szCs w:val="20"/>
          <w:color w:val="auto"/>
        </w:rPr>
      </w:pPr>
    </w:p>
    <w:p>
      <w:pPr>
        <w:ind w:left="1080" w:right="679" w:hanging="580"/>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92">
        <w:r>
          <w:rPr>
            <w:rFonts w:ascii="Arial" w:cs="Arial" w:eastAsia="Arial" w:hAnsi="Arial"/>
            <w:sz w:val="18"/>
            <w:szCs w:val="18"/>
            <w:u w:val="single" w:color="auto"/>
            <w:color w:val="0000EE"/>
          </w:rPr>
          <w:t>Certification of Chief Financial Officer pursuant to Rule 13a-14(a)/15d-14(a), as adopted pursuant to</w:t>
        </w:r>
      </w:hyperlink>
      <w:r>
        <w:rPr>
          <w:rFonts w:ascii="Arial" w:cs="Arial" w:eastAsia="Arial" w:hAnsi="Arial"/>
          <w:sz w:val="18"/>
          <w:szCs w:val="18"/>
          <w:u w:val="single" w:color="auto"/>
          <w:color w:val="0000EE"/>
        </w:rPr>
        <w:t xml:space="preserve"> </w:t>
      </w:r>
      <w:hyperlink w:anchor="page92">
        <w:r>
          <w:rPr>
            <w:rFonts w:ascii="Arial" w:cs="Arial" w:eastAsia="Arial" w:hAnsi="Arial"/>
            <w:sz w:val="18"/>
            <w:szCs w:val="18"/>
            <w:u w:val="single" w:color="auto"/>
            <w:color w:val="0000EE"/>
          </w:rPr>
          <w:t>Section 302 of the Sarbanes-Oxley Act of 2002, dated May 11, 2020.</w:t>
        </w:r>
      </w:hyperlink>
    </w:p>
    <w:p>
      <w:pPr>
        <w:spacing w:after="0" w:line="1"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93">
        <w:r>
          <w:rPr>
            <w:rFonts w:ascii="Arial" w:cs="Arial" w:eastAsia="Arial" w:hAnsi="Arial"/>
            <w:sz w:val="16"/>
            <w:szCs w:val="16"/>
            <w:u w:val="single" w:color="auto"/>
            <w:color w:val="0000EE"/>
          </w:rPr>
          <w:t>Certification of Chief Executive Officer pursuant to 18 U.S.C. 1350, as adopted pursuant to Section</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906 of the Sarbanes-Oxley Act of 2002, dated May 11, 2020.</w:t>
        </w:r>
      </w:hyperlink>
    </w:p>
    <w:p>
      <w:pPr>
        <w:spacing w:after="0" w:line="9" w:lineRule="exact"/>
        <w:rPr>
          <w:sz w:val="20"/>
          <w:szCs w:val="20"/>
          <w:color w:val="auto"/>
        </w:rPr>
      </w:pPr>
    </w:p>
    <w:p>
      <w:pPr>
        <w:ind w:left="50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94">
        <w:r>
          <w:rPr>
            <w:rFonts w:ascii="Arial" w:cs="Arial" w:eastAsia="Arial" w:hAnsi="Arial"/>
            <w:sz w:val="16"/>
            <w:szCs w:val="16"/>
            <w:u w:val="single" w:color="auto"/>
            <w:color w:val="0000EE"/>
          </w:rPr>
          <w:t>Certification of Chief Financial Officer pursuant to 18 U.S.C. 1350, as adopted pursuant to Section</w:t>
        </w:r>
      </w:hyperlink>
    </w:p>
    <w:p>
      <w:pPr>
        <w:spacing w:after="0" w:line="9" w:lineRule="exact"/>
        <w:rPr>
          <w:sz w:val="20"/>
          <w:szCs w:val="20"/>
          <w:color w:val="auto"/>
        </w:rPr>
      </w:pPr>
    </w:p>
    <w:p>
      <w:pPr>
        <w:ind w:left="108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906 of the Sarbanes-Oxley Act of 2002, dated May 11, 2020.</w:t>
        </w:r>
      </w:hyperlink>
    </w:p>
    <w:p>
      <w:pPr>
        <w:spacing w:after="0" w:line="9" w:lineRule="exact"/>
        <w:rPr>
          <w:sz w:val="20"/>
          <w:szCs w:val="20"/>
          <w:color w:val="auto"/>
        </w:rPr>
      </w:pPr>
    </w:p>
    <w:p>
      <w:pPr>
        <w:ind w:left="1080" w:right="619" w:hanging="579"/>
        <w:spacing w:after="0" w:line="28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March 31, 2020, formatted in Inline Extensible Business Reporting Language (iXBRL):</w:t>
      </w:r>
    </w:p>
    <w:p>
      <w:pPr>
        <w:spacing w:after="0" w:line="1" w:lineRule="exact"/>
        <w:rPr>
          <w:sz w:val="20"/>
          <w:szCs w:val="20"/>
          <w:color w:val="auto"/>
        </w:rPr>
      </w:pPr>
    </w:p>
    <w:p>
      <w:pPr>
        <w:ind w:left="1080" w:right="819" w:firstLine="2"/>
        <w:spacing w:after="0" w:line="250" w:lineRule="auto"/>
        <w:tabs>
          <w:tab w:leader="none" w:pos="12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Condensed Consolidated Balance Sheets, (ii) the Condensed Consolidated Statements of Operations, (iii) the Condensed Consolidated Statements of Stockholders’ (Deficit) Equity, (iv) the Condensed Consolidated Statements of Cash Flows, and (v) Notes to the Condensed Consolidated Financial Statements (filed herewith).</w:t>
      </w:r>
    </w:p>
    <w:p>
      <w:pPr>
        <w:spacing w:after="0" w:line="2" w:lineRule="exact"/>
        <w:rPr>
          <w:sz w:val="20"/>
          <w:szCs w:val="20"/>
          <w:color w:val="auto"/>
        </w:rPr>
      </w:pPr>
    </w:p>
    <w:p>
      <w:pPr>
        <w:ind w:left="1080" w:hanging="579"/>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-610235</wp:posOffset>
            </wp:positionV>
            <wp:extent cx="14141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139" w:firstLine="49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TG THERAPEUTICS,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11, 2020</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 /s/ Sean A. Power</w:t>
            </w:r>
          </w:p>
        </w:tc>
      </w:tr>
      <w:tr>
        <w:trPr>
          <w:trHeight w:val="195"/>
        </w:trPr>
        <w:tc>
          <w:tcPr>
            <w:tcW w:w="29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29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60" w:hanging="316"/>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60" w:right="119" w:hanging="316"/>
        <w:spacing w:after="0" w:line="263" w:lineRule="auto"/>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0" w:right="79" w:hanging="316"/>
        <w:spacing w:after="0" w:line="263" w:lineRule="auto"/>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60" w:right="359" w:hanging="316"/>
        <w:spacing w:after="0" w:line="286" w:lineRule="auto"/>
        <w:tabs>
          <w:tab w:leader="none" w:pos="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32"/>
        <w:spacing w:after="0" w:line="259" w:lineRule="auto"/>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79" w:hanging="332"/>
        <w:spacing w:after="0" w:line="259" w:lineRule="auto"/>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32"/>
        <w:spacing w:after="0" w:line="263" w:lineRule="auto"/>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32"/>
        <w:spacing w:after="0" w:line="259" w:lineRule="auto"/>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60" w:right="119" w:hanging="316"/>
        <w:spacing w:after="0" w:line="263" w:lineRule="auto"/>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59" w:hanging="332"/>
        <w:spacing w:after="0" w:line="263" w:lineRule="auto"/>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32"/>
        <w:spacing w:after="0" w:line="277" w:lineRule="auto"/>
        <w:tabs>
          <w:tab w:leader="none" w:pos="7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Date: May 11, 2020</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w w:val="94"/>
              </w:rPr>
              <w:t>Executive Chairman, Chief Executive Officer and President</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1" w:name="page92"/>
    <w:bookmarkEnd w:id="9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60" w:hanging="316"/>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60" w:right="119" w:hanging="316"/>
        <w:spacing w:after="0" w:line="263" w:lineRule="auto"/>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60" w:right="79" w:hanging="316"/>
        <w:spacing w:after="0" w:line="263" w:lineRule="auto"/>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60" w:right="359" w:hanging="316"/>
        <w:spacing w:after="0" w:line="286" w:lineRule="auto"/>
        <w:tabs>
          <w:tab w:leader="none" w:pos="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32"/>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79" w:hanging="332"/>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32"/>
        <w:spacing w:after="0" w:line="263"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32"/>
        <w:spacing w:after="0" w:line="259"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60" w:right="119" w:hanging="316"/>
        <w:spacing w:after="0" w:line="263" w:lineRule="auto"/>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59" w:hanging="332"/>
        <w:spacing w:after="0" w:line="263"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32"/>
        <w:spacing w:after="0" w:line="277" w:lineRule="auto"/>
        <w:tabs>
          <w:tab w:leader="none" w:pos="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Date: May 11, 2020</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2" w:name="page93"/>
    <w:bookmarkEnd w:id="9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40" w:right="479"/>
        <w:spacing w:after="0" w:line="279" w:lineRule="auto"/>
        <w:rPr>
          <w:sz w:val="20"/>
          <w:szCs w:val="20"/>
          <w:color w:val="auto"/>
        </w:rPr>
      </w:pPr>
      <w:r>
        <w:rPr>
          <w:rFonts w:ascii="Arial" w:cs="Arial" w:eastAsia="Arial" w:hAnsi="Arial"/>
          <w:sz w:val="17"/>
          <w:szCs w:val="17"/>
          <w:color w:val="auto"/>
        </w:rPr>
        <w:t>In connection with the quarterly report of TG Therapeutics, Inc. (the “Company”) on Form 10-Q for the period ended March 31, 2020 as filed with the Securities and Exchange Commission (the “Report”), I, Michael S. Weiss, Executive Chairman, Chief Executive Officer and President of the Company, certify, pursuant to 18 U.S.C. §1350, as adopted pursuant to §906 of the Sarbanes-Oxley Act of 2002, that, based on my knowledge:</w:t>
      </w:r>
    </w:p>
    <w:p>
      <w:pPr>
        <w:spacing w:after="0" w:line="171" w:lineRule="exact"/>
        <w:rPr>
          <w:sz w:val="20"/>
          <w:szCs w:val="20"/>
          <w:color w:val="auto"/>
        </w:rPr>
      </w:pPr>
    </w:p>
    <w:p>
      <w:pPr>
        <w:ind w:left="700" w:right="59" w:hanging="332"/>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119" w:hanging="332"/>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Date: May 11, 2020</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w w:val="94"/>
              </w:rPr>
              <w:t>Executive Chairman, Chief Executive Officer and President</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7"/>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93" w:name="page94"/>
    <w:bookmarkEnd w:id="93"/>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40" w:right="27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2020 as filed with the Securities and Exchange Commission (the “Report”), I, Sean A. Power, Chief Financial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59" w:hanging="332"/>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119" w:hanging="332"/>
        <w:spacing w:after="0" w:line="277" w:lineRule="auto"/>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Date: May 11, 2020</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60" w:type="dxa"/>
            <w:vAlign w:val="bottom"/>
          </w:tcPr>
          <w:p>
            <w:pPr>
              <w:spacing w:after="0"/>
              <w:rPr>
                <w:sz w:val="16"/>
                <w:szCs w:val="16"/>
                <w:color w:val="auto"/>
              </w:rPr>
            </w:pPr>
          </w:p>
        </w:tc>
        <w:tc>
          <w:tcPr>
            <w:tcW w:w="446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7"/>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01"/>
    </w:lvl>
  </w:abstractNum>
  <w:abstractNum w:abstractNumId="41">
    <w:nsid w:val="2CD89A32"/>
    <w:multiLevelType w:val="hybridMultilevel"/>
    <w:lvl w:ilvl="0">
      <w:lvlJc w:val="left"/>
      <w:lvlText w:val="(%1)"/>
      <w:numFmt w:val="lowerRoman"/>
      <w:start w:val="1"/>
    </w:lvl>
  </w:abstractNum>
  <w:abstractNum w:abstractNumId="42">
    <w:nsid w:val="57E4CCAF"/>
    <w:multiLevelType w:val="hybridMultilevel"/>
    <w:lvl w:ilvl="0">
      <w:lvlJc w:val="left"/>
      <w:lvlText w:val="%1"/>
      <w:numFmt w:val="decimal"/>
      <w:start w:val="104"/>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2020-05-11T16:17:48Z</dcterms:created>
  <dcterms:modified xsi:type="dcterms:W3CDTF">2020-05-11T16:17:48Z</dcterms:modified>
</cp:coreProperties>
</file>