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26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____________________________</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4" w:lineRule="exact"/>
        <w:rPr>
          <w:sz w:val="24"/>
          <w:szCs w:val="24"/>
          <w:color w:val="auto"/>
        </w:rPr>
      </w:pPr>
    </w:p>
    <w:p>
      <w:pPr>
        <w:ind w:left="4300" w:right="2920" w:hanging="1212"/>
        <w:spacing w:after="0" w:line="298" w:lineRule="auto"/>
        <w:tabs>
          <w:tab w:leader="none" w:pos="3268"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22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4300" w:right="2920" w:hanging="1218"/>
        <w:spacing w:after="0" w:line="298" w:lineRule="auto"/>
        <w:tabs>
          <w:tab w:leader="none" w:pos="3259"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51"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Commission File Number 000-30929</w:t>
      </w:r>
    </w:p>
    <w:p>
      <w:pPr>
        <w:spacing w:after="0" w:line="26"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___________________</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TG THERAPEUTICS, INC.</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06" w:lineRule="exact"/>
        <w:rPr>
          <w:sz w:val="24"/>
          <w:szCs w:val="24"/>
          <w:color w:val="auto"/>
        </w:rPr>
      </w:pPr>
    </w:p>
    <w:p>
      <w:pPr>
        <w:jc w:val="center"/>
        <w:ind w:right="92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right="92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jc w:val="center"/>
        <w:ind w:right="1640"/>
        <w:spacing w:after="0"/>
        <w:rPr>
          <w:sz w:val="20"/>
          <w:szCs w:val="20"/>
          <w:color w:val="auto"/>
        </w:rPr>
      </w:pPr>
      <w:r>
        <w:rPr>
          <w:rFonts w:ascii="Arial" w:cs="Arial" w:eastAsia="Arial" w:hAnsi="Arial"/>
          <w:sz w:val="16"/>
          <w:szCs w:val="16"/>
          <w:b w:val="1"/>
          <w:bCs w:val="1"/>
          <w:color w:val="auto"/>
        </w:rPr>
        <w:t>36-3898269</w:t>
      </w:r>
    </w:p>
    <w:p>
      <w:pPr>
        <w:spacing w:after="0" w:line="26" w:lineRule="exact"/>
        <w:rPr>
          <w:sz w:val="24"/>
          <w:szCs w:val="24"/>
          <w:color w:val="auto"/>
        </w:rPr>
      </w:pPr>
    </w:p>
    <w:p>
      <w:pPr>
        <w:jc w:val="center"/>
        <w:ind w:right="164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700" w:space="720"/>
            <w:col w:w="4000"/>
          </w:cols>
          <w:pgMar w:left="240" w:top="449" w:right="239" w:bottom="1440" w:gutter="0" w:footer="0" w:header="0"/>
          <w:type w:val="continuous"/>
        </w:sectPr>
      </w:pPr>
    </w:p>
    <w:p>
      <w:pPr>
        <w:spacing w:after="0" w:line="38" w:lineRule="exact"/>
        <w:rPr>
          <w:sz w:val="24"/>
          <w:szCs w:val="24"/>
          <w:color w:val="auto"/>
        </w:rPr>
      </w:pPr>
    </w:p>
    <w:p>
      <w:pPr>
        <w:ind w:left="4740"/>
        <w:spacing w:after="0"/>
        <w:rPr>
          <w:sz w:val="20"/>
          <w:szCs w:val="20"/>
          <w:color w:val="auto"/>
        </w:rPr>
      </w:pPr>
      <w:r>
        <w:rPr>
          <w:rFonts w:ascii="Arial" w:cs="Arial" w:eastAsia="Arial" w:hAnsi="Arial"/>
          <w:sz w:val="16"/>
          <w:szCs w:val="16"/>
          <w:b w:val="1"/>
          <w:bCs w:val="1"/>
          <w:color w:val="auto"/>
        </w:rPr>
        <w:t>2 Gansevoort Street, 9th Floor</w:t>
      </w:r>
    </w:p>
    <w:p>
      <w:pPr>
        <w:spacing w:after="0" w:line="26" w:lineRule="exact"/>
        <w:rPr>
          <w:sz w:val="24"/>
          <w:szCs w:val="24"/>
          <w:color w:val="auto"/>
        </w:rPr>
      </w:pPr>
    </w:p>
    <w:p>
      <w:pPr>
        <w:ind w:left="4840"/>
        <w:spacing w:after="0"/>
        <w:rPr>
          <w:sz w:val="20"/>
          <w:szCs w:val="20"/>
          <w:color w:val="auto"/>
        </w:rPr>
      </w:pPr>
      <w:r>
        <w:rPr>
          <w:rFonts w:ascii="Arial" w:cs="Arial" w:eastAsia="Arial" w:hAnsi="Arial"/>
          <w:sz w:val="16"/>
          <w:szCs w:val="16"/>
          <w:b w:val="1"/>
          <w:bCs w:val="1"/>
          <w:color w:val="auto"/>
        </w:rPr>
        <w:t>New York, New York 10014</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(Address including zip code of principal executive offices)</w:t>
      </w:r>
    </w:p>
    <w:p>
      <w:pPr>
        <w:spacing w:after="0" w:line="21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(212) 554-4484</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6"/>
          <w:szCs w:val="16"/>
          <w:color w:val="auto"/>
        </w:rPr>
        <w:t>(Registrant's telephone number, including area code)</w:t>
      </w:r>
    </w:p>
    <w:p>
      <w:pPr>
        <w:spacing w:after="0" w:line="217" w:lineRule="exact"/>
        <w:rPr>
          <w:sz w:val="24"/>
          <w:szCs w:val="24"/>
          <w:color w:val="auto"/>
        </w:rPr>
      </w:pPr>
    </w:p>
    <w:p>
      <w:pPr>
        <w:ind w:right="140"/>
        <w:spacing w:after="0" w:line="3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1" w:lineRule="exact"/>
        <w:rPr>
          <w:sz w:val="24"/>
          <w:szCs w:val="24"/>
          <w:color w:val="auto"/>
        </w:rPr>
      </w:pPr>
    </w:p>
    <w:p>
      <w:pPr>
        <w:ind w:right="580"/>
        <w:spacing w:after="0" w:line="32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5"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1" w:lineRule="exact"/>
        <w:rPr>
          <w:sz w:val="24"/>
          <w:szCs w:val="24"/>
          <w:color w:val="auto"/>
        </w:rPr>
      </w:pPr>
    </w:p>
    <w:p>
      <w:pPr>
        <w:ind w:right="280"/>
        <w:spacing w:after="0" w:line="3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420"/>
          </w:cols>
          <w:pgMar w:left="240" w:top="449" w:right="239" w:bottom="1440" w:gutter="0" w:footer="0" w:header="0"/>
          <w:type w:val="continuous"/>
        </w:sectPr>
      </w:pP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460" w:space="80"/>
            <w:col w:w="7840" w:space="720"/>
            <w:col w:w="1100" w:space="80"/>
            <w:col w:w="140"/>
          </w:cols>
          <w:pgMar w:left="240" w:top="449" w:right="239" w:bottom="1440" w:gutter="0" w:footer="0" w:header="0"/>
          <w:type w:val="continuous"/>
        </w:sectPr>
      </w:pPr>
    </w:p>
    <w:p>
      <w:pPr>
        <w:spacing w:after="0" w:line="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4"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8740" w:space="720"/>
            <w:col w:w="1960"/>
          </w:cols>
          <w:pgMar w:left="240" w:top="449" w:right="239" w:bottom="1440" w:gutter="0" w:footer="0" w:header="0"/>
          <w:type w:val="continuous"/>
        </w:sectPr>
      </w:pPr>
    </w:p>
    <w:p>
      <w:pPr>
        <w:spacing w:after="0" w:line="44" w:lineRule="exact"/>
        <w:rPr>
          <w:sz w:val="24"/>
          <w:szCs w:val="24"/>
          <w:color w:val="auto"/>
        </w:rPr>
      </w:pPr>
    </w:p>
    <w:p>
      <w:pPr>
        <w:ind w:left="94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420"/>
          </w:cols>
          <w:pgMar w:left="240" w:top="449" w:right="239" w:bottom="1440" w:gutter="0" w:footer="0" w:header="0"/>
          <w:type w:val="continuous"/>
        </w:sectPr>
      </w:pPr>
    </w:p>
    <w:p>
      <w:pPr>
        <w:spacing w:after="0" w:line="274" w:lineRule="exact"/>
        <w:rPr>
          <w:sz w:val="24"/>
          <w:szCs w:val="24"/>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checkmark whether the registrant is a shell company (as defined in Rule 12b-2 of the Exchange Act).</w:t>
      </w:r>
    </w:p>
    <w:p>
      <w:pPr>
        <w:spacing w:after="0" w:line="191"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3800" w:type="dxa"/>
            <w:vAlign w:val="bottom"/>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38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7"/>
        </w:trPr>
        <w:tc>
          <w:tcPr>
            <w:tcW w:w="3800" w:type="dxa"/>
            <w:vAlign w:val="bottom"/>
          </w:tcPr>
          <w:p>
            <w:pPr>
              <w:spacing w:after="0"/>
              <w:rPr>
                <w:sz w:val="20"/>
                <w:szCs w:val="20"/>
                <w:color w:val="auto"/>
              </w:rPr>
            </w:pPr>
            <w:r>
              <w:rPr>
                <w:rFonts w:ascii="Arial" w:cs="Arial" w:eastAsia="Arial" w:hAnsi="Arial"/>
                <w:sz w:val="16"/>
                <w:szCs w:val="16"/>
                <w:color w:val="auto"/>
              </w:rPr>
              <w:t>Securities filed pursuant to Section 12(b) of the Act:</w:t>
            </w:r>
          </w:p>
        </w:tc>
        <w:tc>
          <w:tcPr>
            <w:tcW w:w="38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0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3740" w:type="dxa"/>
            <w:vAlign w:val="bottom"/>
            <w:vMerge w:val="restart"/>
          </w:tcPr>
          <w:p>
            <w:pPr>
              <w:jc w:val="center"/>
              <w:ind w:left="59"/>
              <w:spacing w:after="0"/>
              <w:rPr>
                <w:sz w:val="20"/>
                <w:szCs w:val="20"/>
                <w:color w:val="auto"/>
              </w:rPr>
            </w:pPr>
            <w:r>
              <w:rPr>
                <w:rFonts w:ascii="Arial" w:cs="Arial" w:eastAsia="Arial" w:hAnsi="Arial"/>
                <w:sz w:val="16"/>
                <w:szCs w:val="16"/>
                <w:b w:val="1"/>
                <w:bCs w:val="1"/>
                <w:color w:val="auto"/>
                <w:w w:val="90"/>
              </w:rPr>
              <w:t>Exchange Name</w:t>
            </w:r>
          </w:p>
        </w:tc>
        <w:tc>
          <w:tcPr>
            <w:tcW w:w="0" w:type="dxa"/>
            <w:vAlign w:val="bottom"/>
          </w:tcPr>
          <w:p>
            <w:pPr>
              <w:spacing w:after="0"/>
              <w:rPr>
                <w:sz w:val="1"/>
                <w:szCs w:val="1"/>
                <w:color w:val="auto"/>
              </w:rPr>
            </w:pPr>
          </w:p>
        </w:tc>
      </w:tr>
      <w:tr>
        <w:trPr>
          <w:trHeight w:val="203"/>
        </w:trPr>
        <w:tc>
          <w:tcPr>
            <w:tcW w:w="3800" w:type="dxa"/>
            <w:vAlign w:val="bottom"/>
            <w:tcBorders>
              <w:left w:val="single" w:sz="8" w:color="auto"/>
              <w:bottom w:val="single" w:sz="8" w:color="auto"/>
              <w:right w:val="single" w:sz="8" w:color="auto"/>
            </w:tcBorders>
          </w:tcPr>
          <w:p>
            <w:pPr>
              <w:jc w:val="center"/>
              <w:ind w:left="79"/>
              <w:spacing w:after="0"/>
              <w:rPr>
                <w:sz w:val="20"/>
                <w:szCs w:val="20"/>
                <w:color w:val="auto"/>
              </w:rPr>
            </w:pPr>
            <w:r>
              <w:rPr>
                <w:rFonts w:ascii="Arial" w:cs="Arial" w:eastAsia="Arial" w:hAnsi="Arial"/>
                <w:sz w:val="16"/>
                <w:szCs w:val="16"/>
                <w:b w:val="1"/>
                <w:bCs w:val="1"/>
                <w:color w:val="auto"/>
                <w:w w:val="92"/>
              </w:rPr>
              <w:t>Title of Class</w:t>
            </w:r>
          </w:p>
        </w:tc>
        <w:tc>
          <w:tcPr>
            <w:tcW w:w="388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2"/>
              </w:rPr>
              <w:t>Trading Symbol(s)</w:t>
            </w:r>
          </w:p>
        </w:tc>
        <w:tc>
          <w:tcPr>
            <w:tcW w:w="3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center"/>
              <w:ind w:left="99"/>
              <w:spacing w:after="0"/>
              <w:rPr>
                <w:sz w:val="20"/>
                <w:szCs w:val="20"/>
                <w:color w:val="auto"/>
              </w:rPr>
            </w:pPr>
            <w:r>
              <w:rPr>
                <w:rFonts w:ascii="Arial" w:cs="Arial" w:eastAsia="Arial" w:hAnsi="Arial"/>
                <w:sz w:val="16"/>
                <w:szCs w:val="16"/>
                <w:color w:val="auto"/>
                <w:w w:val="91"/>
              </w:rPr>
              <w:t>Common Stock, par value $0.001</w:t>
            </w:r>
          </w:p>
        </w:tc>
        <w:tc>
          <w:tcPr>
            <w:tcW w:w="3880" w:type="dxa"/>
            <w:vAlign w:val="bottom"/>
            <w:tcBorders>
              <w:bottom w:val="single" w:sz="8" w:color="auto"/>
              <w:right w:val="single" w:sz="8" w:color="auto"/>
            </w:tcBorders>
          </w:tcPr>
          <w:p>
            <w:pPr>
              <w:jc w:val="center"/>
              <w:ind w:left="59"/>
              <w:spacing w:after="0"/>
              <w:rPr>
                <w:sz w:val="20"/>
                <w:szCs w:val="20"/>
                <w:color w:val="auto"/>
              </w:rPr>
            </w:pPr>
            <w:r>
              <w:rPr>
                <w:rFonts w:ascii="Arial" w:cs="Arial" w:eastAsia="Arial" w:hAnsi="Arial"/>
                <w:sz w:val="16"/>
                <w:szCs w:val="16"/>
                <w:color w:val="auto"/>
                <w:w w:val="98"/>
              </w:rPr>
              <w:t>TGTX</w:t>
            </w:r>
          </w:p>
        </w:tc>
        <w:tc>
          <w:tcPr>
            <w:tcW w:w="3740" w:type="dxa"/>
            <w:vAlign w:val="bottom"/>
            <w:tcBorders>
              <w:bottom w:val="single" w:sz="8" w:color="auto"/>
              <w:right w:val="single" w:sz="8" w:color="auto"/>
            </w:tcBorders>
          </w:tcPr>
          <w:p>
            <w:pPr>
              <w:jc w:val="center"/>
              <w:ind w:left="79"/>
              <w:spacing w:after="0"/>
              <w:rPr>
                <w:sz w:val="20"/>
                <w:szCs w:val="20"/>
                <w:color w:val="auto"/>
              </w:rPr>
            </w:pPr>
            <w:r>
              <w:rPr>
                <w:rFonts w:ascii="Arial" w:cs="Arial" w:eastAsia="Arial" w:hAnsi="Arial"/>
                <w:sz w:val="16"/>
                <w:szCs w:val="16"/>
                <w:color w:val="auto"/>
                <w:w w:val="92"/>
              </w:rPr>
              <w:t>Nasdaq Capital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4846320</wp:posOffset>
            </wp:positionH>
            <wp:positionV relativeFrom="paragraph">
              <wp:posOffset>-312420</wp:posOffset>
            </wp:positionV>
            <wp:extent cx="2418080" cy="179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8080" cy="179705"/>
                    </a:xfrm>
                    <a:prstGeom prst="rect">
                      <a:avLst/>
                    </a:prstGeom>
                    <a:noFill/>
                  </pic:spPr>
                </pic:pic>
              </a:graphicData>
            </a:graphic>
          </wp:anchor>
        </w:drawing>
      </w:r>
    </w:p>
    <w:p>
      <w:pPr>
        <w:spacing w:after="0" w:line="174" w:lineRule="exact"/>
        <w:rPr>
          <w:sz w:val="24"/>
          <w:szCs w:val="24"/>
          <w:color w:val="auto"/>
        </w:rPr>
      </w:pPr>
    </w:p>
    <w:p>
      <w:pPr>
        <w:ind w:left="40"/>
        <w:spacing w:after="0"/>
        <w:rPr>
          <w:sz w:val="20"/>
          <w:szCs w:val="20"/>
          <w:color w:val="auto"/>
        </w:rPr>
      </w:pPr>
      <w:r>
        <w:rPr>
          <w:rFonts w:ascii="Arial" w:cs="Arial" w:eastAsia="Arial" w:hAnsi="Arial"/>
          <w:sz w:val="18"/>
          <w:szCs w:val="18"/>
          <w:color w:val="auto"/>
        </w:rPr>
        <w:t>There were 90,835,329 shares of the registrant’s common stock, $0.001 par value, outstanding as of May 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 ENDED MARCH 31, 2019</w:t>
      </w: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SPECIAL CAUTIONARY NOTICE REGARDING FORWARD-LOOKING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 I</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Condensed Consolidated Balance Sheets as of March 31, 2019 (unaudited) and December 31, 2018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Condensed Consolidated Statements of Operations for the three months ended March 31, 2019 and 2018 (unaudited)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Condensed Consolidated Statements of Stockholders’ Equity for the three months ended March 31, 2019 and 2018 (unaudited)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Condensed Consolidated Statements of Cash Flows for the three months ended March 31, 2019 and 2018 (unaudited)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Notes to Condensed Consolidated Financial Statements (unaudited)</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2</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23</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3</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29</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4</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Controls and Procedures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29</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PART II</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OTHER INFORMATION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30</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Legal Proceedings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30</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1A</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Factors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30</w:t>
            </w:r>
          </w:p>
        </w:tc>
      </w:tr>
      <w:tr>
        <w:trPr>
          <w:trHeight w:val="216"/>
        </w:trPr>
        <w:tc>
          <w:tcPr>
            <w:tcW w:w="86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Item 6</w:t>
            </w:r>
          </w:p>
        </w:tc>
        <w:tc>
          <w:tcPr>
            <w:tcW w:w="9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Exhibits</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66</w:t>
            </w:r>
          </w:p>
        </w:tc>
      </w:tr>
      <w:tr>
        <w:trPr>
          <w:trHeight w:val="1324"/>
        </w:trPr>
        <w:tc>
          <w:tcPr>
            <w:tcW w:w="86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1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31" w:lineRule="exact"/>
        <w:rPr>
          <w:sz w:val="20"/>
          <w:szCs w:val="20"/>
          <w:color w:val="auto"/>
        </w:rPr>
      </w:pPr>
    </w:p>
    <w:p>
      <w:pPr>
        <w:ind w:right="20" w:firstLine="702"/>
        <w:spacing w:after="0" w:line="287" w:lineRule="auto"/>
        <w:rPr>
          <w:sz w:val="20"/>
          <w:szCs w:val="20"/>
          <w:color w:val="auto"/>
        </w:rPr>
      </w:pPr>
      <w:r>
        <w:rPr>
          <w:rFonts w:ascii="Arial" w:cs="Arial" w:eastAsia="Arial" w:hAnsi="Arial"/>
          <w:sz w:val="16"/>
          <w:szCs w:val="16"/>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 our:</w:t>
      </w:r>
    </w:p>
    <w:p>
      <w:pPr>
        <w:spacing w:after="0" w:line="177" w:lineRule="exact"/>
        <w:rPr>
          <w:sz w:val="20"/>
          <w:szCs w:val="20"/>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increases or decreases in expenses;</w:t>
      </w:r>
    </w:p>
    <w:p>
      <w:pPr>
        <w:spacing w:after="0" w:line="15"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we may acquire or in-license;</w:t>
      </w: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use of clinical research centers and other contractors;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as to the timing of commencing or completing pre-clinical and clinical trials and the expected outcomes of those trials;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generating revenue or becoming profitable on a sustained basis;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marketing and other partnership agreements;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enter into product acquisition and in-licensing transactions;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or ability to build our own commercial infrastructure to manufacture, market and sell our drug candidates;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products being accepted by doctors, patients or payors;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compete against other companies and research institutions;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secure adequate protection for our intellectual property;</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attract and retain key personnel;</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reimbursement for our products;</w:t>
      </w:r>
    </w:p>
    <w:p>
      <w:pPr>
        <w:spacing w:after="0" w:line="9"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the sufficiency of our existing cash and cash equivalents and investments to finance our operating requirements, including expectations regarding the value and liquidity of our investments;</w:t>
      </w: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price and its volatility;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for future capital requirements.</w:t>
      </w:r>
    </w:p>
    <w:p>
      <w:pPr>
        <w:spacing w:after="0" w:line="219" w:lineRule="exact"/>
        <w:rPr>
          <w:sz w:val="20"/>
          <w:szCs w:val="20"/>
          <w:color w:val="auto"/>
        </w:rPr>
      </w:pPr>
    </w:p>
    <w:p>
      <w:pPr>
        <w:ind w:right="40" w:firstLine="648"/>
        <w:spacing w:after="0" w:line="268" w:lineRule="auto"/>
        <w:rPr>
          <w:sz w:val="20"/>
          <w:szCs w:val="20"/>
          <w:color w:val="auto"/>
        </w:rPr>
      </w:pPr>
      <w:r>
        <w:rPr>
          <w:rFonts w:ascii="Arial" w:cs="Arial" w:eastAsia="Arial" w:hAnsi="Arial"/>
          <w:sz w:val="18"/>
          <w:szCs w:val="18"/>
          <w:color w:val="auto"/>
        </w:rPr>
        <w:t>The forward-looking statements contained in this report reflect our views and assumptions only as of the date this report is signed. Except as required by law, we assume no responsibility for updating any forward-looking statements.</w:t>
      </w:r>
    </w:p>
    <w:p>
      <w:pPr>
        <w:spacing w:after="0" w:line="186" w:lineRule="exact"/>
        <w:rPr>
          <w:sz w:val="20"/>
          <w:szCs w:val="20"/>
          <w:color w:val="auto"/>
        </w:rPr>
      </w:pPr>
    </w:p>
    <w:p>
      <w:pPr>
        <w:ind w:right="200" w:firstLine="648"/>
        <w:spacing w:after="0" w:line="332"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9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You should read this report and the documents that we have filed as exhibits to this report completely and with the understanding that our actual future results, performance or achievements may be materially different from what we expect. Any forward-looking statements contained in this report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The forward-looking statements contained in this report reflect our views and assumptions only as of the date this report is signed. Except as required by law, we assume no obligation to update or revise these forward-looking statements for any reason, even if new information becomes available in the future.</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300" w:type="dxa"/>
            <w:vAlign w:val="bottom"/>
            <w:gridSpan w:val="3"/>
          </w:tcPr>
          <w:p>
            <w:pPr>
              <w:jc w:val="center"/>
              <w:ind w:left="4152"/>
              <w:spacing w:after="0"/>
              <w:rPr>
                <w:sz w:val="20"/>
                <w:szCs w:val="20"/>
                <w:color w:val="auto"/>
              </w:rPr>
            </w:pPr>
            <w:r>
              <w:rPr>
                <w:rFonts w:ascii="Arial" w:cs="Arial" w:eastAsia="Arial" w:hAnsi="Arial"/>
                <w:sz w:val="18"/>
                <w:szCs w:val="18"/>
                <w:b w:val="1"/>
                <w:bCs w:val="1"/>
                <w:color w:val="auto"/>
                <w:w w:val="99"/>
              </w:rPr>
              <w:t>PART I. FINANCIAL INFORMATION</w:t>
            </w: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6900" w:type="dxa"/>
            <w:vAlign w:val="bottom"/>
          </w:tcPr>
          <w:p>
            <w:pPr>
              <w:ind w:left="160"/>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00" w:type="dxa"/>
            <w:vAlign w:val="bottom"/>
          </w:tcPr>
          <w:p>
            <w:pPr>
              <w:jc w:val="center"/>
              <w:ind w:left="4552"/>
              <w:spacing w:after="0"/>
              <w:rPr>
                <w:sz w:val="20"/>
                <w:szCs w:val="20"/>
                <w:color w:val="auto"/>
              </w:rPr>
            </w:pPr>
            <w:r>
              <w:rPr>
                <w:rFonts w:ascii="Arial" w:cs="Arial" w:eastAsia="Arial" w:hAnsi="Arial"/>
                <w:sz w:val="18"/>
                <w:szCs w:val="18"/>
                <w:b w:val="1"/>
                <w:bCs w:val="1"/>
                <w:color w:val="auto"/>
                <w:w w:val="90"/>
              </w:rPr>
              <w:t>TG Therapeutics, Inc.</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3"/>
          </w:tcPr>
          <w:p>
            <w:pPr>
              <w:jc w:val="center"/>
              <w:ind w:left="4152"/>
              <w:spacing w:after="0"/>
              <w:rPr>
                <w:sz w:val="20"/>
                <w:szCs w:val="20"/>
                <w:color w:val="auto"/>
              </w:rPr>
            </w:pPr>
            <w:r>
              <w:rPr>
                <w:rFonts w:ascii="Arial" w:cs="Arial" w:eastAsia="Arial" w:hAnsi="Arial"/>
                <w:sz w:val="18"/>
                <w:szCs w:val="18"/>
                <w:color w:val="auto"/>
                <w:w w:val="85"/>
              </w:rPr>
              <w:t>Condensed Consolidated Balance Sheets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80" w:type="dxa"/>
            <w:vAlign w:val="bottom"/>
            <w:gridSpan w:val="5"/>
          </w:tcPr>
          <w:p>
            <w:pPr>
              <w:jc w:val="center"/>
              <w:ind w:left="2372"/>
              <w:spacing w:after="0"/>
              <w:rPr>
                <w:sz w:val="20"/>
                <w:szCs w:val="20"/>
                <w:color w:val="auto"/>
              </w:rPr>
            </w:pPr>
            <w:r>
              <w:rPr>
                <w:rFonts w:ascii="Arial" w:cs="Arial" w:eastAsia="Arial" w:hAnsi="Arial"/>
                <w:sz w:val="18"/>
                <w:szCs w:val="18"/>
                <w:color w:val="auto"/>
                <w:w w:val="85"/>
              </w:rPr>
              <w:t>(in thousands, except share and per share amounts)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2"/>
              </w:rPr>
              <w:t>March 31, 2019</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87"/>
              </w:rPr>
              <w:t>December 31, 2018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(Unaudited)</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(Note 1)</w:t>
            </w:r>
          </w:p>
        </w:tc>
        <w:tc>
          <w:tcPr>
            <w:tcW w:w="0" w:type="dxa"/>
            <w:vAlign w:val="bottom"/>
          </w:tcPr>
          <w:p>
            <w:pPr>
              <w:spacing w:after="0"/>
              <w:rPr>
                <w:sz w:val="1"/>
                <w:szCs w:val="1"/>
                <w:color w:val="auto"/>
              </w:rPr>
            </w:pPr>
          </w:p>
        </w:tc>
      </w:tr>
      <w:tr>
        <w:trPr>
          <w:trHeight w:val="242"/>
        </w:trPr>
        <w:tc>
          <w:tcPr>
            <w:tcW w:w="69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64,349</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41,958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 securities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Prepaid research and development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11,120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9,691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105,058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79,031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Leasehold interest,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2,294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Equipment,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Right of use asset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7,947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640"/>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117,538</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83,616</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40,199</w:t>
            </w:r>
          </w:p>
        </w:tc>
        <w:tc>
          <w:tcPr>
            <w:tcW w:w="3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36,377</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Lease liability – current portion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1,261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compensation</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60,940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38,854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914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Lease liability – non current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8,182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18,350</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98,284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59,580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3"/>
              </w:rPr>
              <w:t>Preferred stock, $0.001 par value per share (10,000,000 shares authorized, none issued and</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2019 and December 31, 2018)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3"/>
              </w:rPr>
              <w:t>Common stock, $0.001 par value per share (150,000,000 shares authorized, 88,582,227 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w w:val="88"/>
              </w:rPr>
              <w:t>83,911,855 shares issued, 88,540,918 and 83,870,546 shares outstanding at March 31, 2019 and</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gridSpan w:val="2"/>
          </w:tcPr>
          <w:p>
            <w:pPr>
              <w:spacing w:after="0"/>
              <w:rPr>
                <w:sz w:val="20"/>
                <w:szCs w:val="20"/>
                <w:color w:val="auto"/>
              </w:rPr>
            </w:pPr>
            <w:r>
              <w:rPr>
                <w:rFonts w:ascii="Arial" w:cs="Arial" w:eastAsia="Arial" w:hAnsi="Arial"/>
                <w:sz w:val="18"/>
                <w:szCs w:val="18"/>
                <w:color w:val="auto"/>
              </w:rPr>
              <w:t>December 31, 2018, respectively)</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552,531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Treasury stock, at cost, 41,309 shares at March 31, 2019 and December 31, 2018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(563,501)</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19,254</w:t>
            </w:r>
          </w:p>
        </w:tc>
        <w:tc>
          <w:tcPr>
            <w:tcW w:w="3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24,036</w:t>
            </w:r>
          </w:p>
        </w:tc>
        <w:tc>
          <w:tcPr>
            <w:tcW w:w="3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117,538</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83,616</w:t>
            </w:r>
          </w:p>
        </w:tc>
        <w:tc>
          <w:tcPr>
            <w:tcW w:w="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180" w:type="dxa"/>
            <w:vAlign w:val="bottom"/>
          </w:tcPr>
          <w:p>
            <w:pPr>
              <w:ind w:left="5260"/>
              <w:spacing w:after="0"/>
              <w:rPr>
                <w:sz w:val="20"/>
                <w:szCs w:val="20"/>
                <w:color w:val="auto"/>
              </w:rPr>
            </w:pPr>
            <w:r>
              <w:rPr>
                <w:rFonts w:ascii="Arial" w:cs="Arial" w:eastAsia="Arial" w:hAnsi="Arial"/>
                <w:sz w:val="18"/>
                <w:szCs w:val="18"/>
                <w:color w:val="auto"/>
              </w:rPr>
              <w:t>(Unaudited)</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License revenue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Costs and expenses:</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Noncash compensation</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research and development</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32,159</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Total research and development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32,385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35,018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compensation</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Other general and administrative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2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34,727</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41,615</w:t>
            </w:r>
          </w:p>
        </w:tc>
        <w:tc>
          <w:tcPr>
            <w:tcW w:w="26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(34,689)</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expense</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(35,156)</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(41,529)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(0.43)</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w w:val="99"/>
              </w:rPr>
              <w:t>Weighted average shares used in computing basic and diluted net loss per common share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81,174,301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70,636,970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168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5"/>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Treasury Stock</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Borders>
              <w:top w:val="single" w:sz="8" w:color="CCEEFF"/>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Additional</w:t>
            </w: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gridSpan w:val="3"/>
          </w:tcPr>
          <w:p>
            <w:pPr>
              <w:jc w:val="center"/>
              <w:ind w:right="34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Amount</w:t>
            </w:r>
          </w:p>
        </w:tc>
        <w:tc>
          <w:tcPr>
            <w:tcW w:w="280" w:type="dxa"/>
            <w:vAlign w:val="bottom"/>
          </w:tcPr>
          <w:p>
            <w:pPr>
              <w:spacing w:after="0"/>
              <w:rPr>
                <w:sz w:val="19"/>
                <w:szCs w:val="19"/>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2"/>
              </w:rPr>
              <w:t>paid-in capital</w:t>
            </w: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9"/>
              </w:rPr>
              <w:t>Amount</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9"/>
              </w:rPr>
              <w:t>Deficit</w:t>
            </w: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Balance at January 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73,181,750</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422,017</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4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(354,863)</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Issuance of restricted stock</w:t>
            </w:r>
          </w:p>
        </w:tc>
        <w:tc>
          <w:tcPr>
            <w:tcW w:w="1040" w:type="dxa"/>
            <w:vAlign w:val="bottom"/>
          </w:tcPr>
          <w:p>
            <w:pPr>
              <w:jc w:val="right"/>
              <w:spacing w:after="0"/>
              <w:rPr>
                <w:sz w:val="20"/>
                <w:szCs w:val="20"/>
                <w:color w:val="auto"/>
              </w:rPr>
            </w:pPr>
            <w:r>
              <w:rPr>
                <w:rFonts w:ascii="Arial" w:cs="Arial" w:eastAsia="Arial" w:hAnsi="Arial"/>
                <w:sz w:val="16"/>
                <w:szCs w:val="16"/>
                <w:color w:val="auto"/>
              </w:rPr>
              <w:t>87,500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stock</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(123,911)</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Issuance of common stock in At-the-Market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spacing w:after="0"/>
              <w:rPr>
                <w:sz w:val="20"/>
                <w:szCs w:val="20"/>
                <w:color w:val="auto"/>
              </w:rPr>
            </w:pPr>
            <w:r>
              <w:rPr>
                <w:rFonts w:ascii="Arial" w:cs="Arial" w:eastAsia="Arial" w:hAnsi="Arial"/>
                <w:sz w:val="16"/>
                <w:szCs w:val="16"/>
                <w:color w:val="auto"/>
              </w:rPr>
              <w:t>offering (net of offering costs of $0.9 million)</w:t>
            </w:r>
          </w:p>
        </w:tc>
        <w:tc>
          <w:tcPr>
            <w:tcW w:w="1040" w:type="dxa"/>
            <w:vAlign w:val="bottom"/>
          </w:tcPr>
          <w:p>
            <w:pPr>
              <w:jc w:val="right"/>
              <w:spacing w:after="0"/>
              <w:rPr>
                <w:sz w:val="20"/>
                <w:szCs w:val="20"/>
                <w:color w:val="auto"/>
              </w:rPr>
            </w:pPr>
            <w:r>
              <w:rPr>
                <w:rFonts w:ascii="Arial" w:cs="Arial" w:eastAsia="Arial" w:hAnsi="Arial"/>
                <w:sz w:val="16"/>
                <w:szCs w:val="16"/>
                <w:color w:val="auto"/>
              </w:rPr>
              <w:t>3,989,344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52,426</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52,430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Compensation in respect of restricted stock</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w w:val="96"/>
              </w:rPr>
              <w:t>granted to employees, directors and consultants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(41,529)</w:t>
            </w:r>
          </w:p>
        </w:tc>
        <w:tc>
          <w:tcPr>
            <w:tcW w:w="2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(41,529)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77,134,683</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481,781</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4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(396,392)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85,232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3340" w:type="dxa"/>
            <w:vAlign w:val="bottom"/>
            <w:gridSpan w:val="2"/>
          </w:tcPr>
          <w:p>
            <w:pPr>
              <w:spacing w:after="0"/>
              <w:rPr>
                <w:sz w:val="20"/>
                <w:szCs w:val="20"/>
                <w:color w:val="auto"/>
              </w:rPr>
            </w:pPr>
            <w:r>
              <w:rPr>
                <w:rFonts w:ascii="Arial" w:cs="Arial" w:eastAsia="Arial" w:hAnsi="Arial"/>
                <w:sz w:val="16"/>
                <w:szCs w:val="16"/>
                <w:color w:val="auto"/>
              </w:rPr>
              <w:t>Balance at January 1, 2019</w:t>
            </w:r>
          </w:p>
        </w:tc>
        <w:tc>
          <w:tcPr>
            <w:tcW w:w="1040" w:type="dxa"/>
            <w:vAlign w:val="bottom"/>
          </w:tcPr>
          <w:p>
            <w:pPr>
              <w:jc w:val="right"/>
              <w:spacing w:after="0"/>
              <w:rPr>
                <w:sz w:val="20"/>
                <w:szCs w:val="20"/>
                <w:color w:val="auto"/>
              </w:rPr>
            </w:pPr>
            <w:r>
              <w:rPr>
                <w:rFonts w:ascii="Arial" w:cs="Arial" w:eastAsia="Arial" w:hAnsi="Arial"/>
                <w:sz w:val="16"/>
                <w:szCs w:val="16"/>
                <w:color w:val="auto"/>
              </w:rPr>
              <w:t>83,911,855</w:t>
            </w:r>
          </w:p>
        </w:tc>
        <w:tc>
          <w:tcPr>
            <w:tcW w:w="180" w:type="dxa"/>
            <w:vAlign w:val="bottom"/>
          </w:tcPr>
          <w:p>
            <w:pPr>
              <w:spacing w:after="0"/>
              <w:rPr>
                <w:sz w:val="24"/>
                <w:szCs w:val="24"/>
                <w:color w:val="auto"/>
              </w:rPr>
            </w:pP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84</w:t>
            </w:r>
          </w:p>
        </w:tc>
        <w:tc>
          <w:tcPr>
            <w:tcW w:w="40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552,531</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41,309</w:t>
            </w:r>
          </w:p>
        </w:tc>
        <w:tc>
          <w:tcPr>
            <w:tcW w:w="4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(234)</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(528,345)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24,036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Issuance of restricted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Warrants issued with debt financing</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993</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993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stock</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(67,628)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w w:val="96"/>
              </w:rPr>
              <w:t>Issuance of common stock in public offering (net</w:t>
            </w: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spacing w:after="0"/>
              <w:rPr>
                <w:sz w:val="20"/>
                <w:szCs w:val="20"/>
                <w:color w:val="auto"/>
              </w:rPr>
            </w:pPr>
            <w:r>
              <w:rPr>
                <w:rFonts w:ascii="Arial" w:cs="Arial" w:eastAsia="Arial" w:hAnsi="Arial"/>
                <w:sz w:val="16"/>
                <w:szCs w:val="16"/>
                <w:color w:val="auto"/>
              </w:rPr>
              <w:t>of offering costs of $0.2 million)</w:t>
            </w:r>
          </w:p>
        </w:tc>
        <w:tc>
          <w:tcPr>
            <w:tcW w:w="1040" w:type="dxa"/>
            <w:vAlign w:val="bottom"/>
          </w:tcPr>
          <w:p>
            <w:pPr>
              <w:jc w:val="right"/>
              <w:spacing w:after="0"/>
              <w:rPr>
                <w:sz w:val="20"/>
                <w:szCs w:val="20"/>
                <w:color w:val="auto"/>
              </w:rPr>
            </w:pPr>
            <w:r>
              <w:rPr>
                <w:rFonts w:ascii="Arial" w:cs="Arial" w:eastAsia="Arial" w:hAnsi="Arial"/>
                <w:sz w:val="16"/>
                <w:szCs w:val="16"/>
                <w:color w:val="auto"/>
              </w:rPr>
              <w:t>4,715,000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27,494</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27,499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w w:val="97"/>
              </w:rPr>
              <w:t>Compensation in respect of restricted stock and</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options granted to employees, directors and</w:t>
            </w: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consultants</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(35,156)</w:t>
            </w:r>
          </w:p>
        </w:tc>
        <w:tc>
          <w:tcPr>
            <w:tcW w:w="2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(35,156)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88,582,227</w:t>
            </w:r>
          </w:p>
        </w:tc>
        <w:tc>
          <w:tcPr>
            <w:tcW w:w="1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582,900</w:t>
            </w: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41,309</w:t>
            </w:r>
          </w:p>
        </w:tc>
        <w:tc>
          <w:tcPr>
            <w:tcW w:w="4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(234)</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(563,501)</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 Amount less than one thousand dollars.</w:t>
      </w: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ind w:left="4880"/>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6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(35,156)</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Noncash stock compensation expense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7,337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Amortization of premium on investment securities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Non-cash change in lease liability and right-of-use asset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notes payable and accrued interest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prepaid research and development and other current assets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Decrease in leasehold interest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lease liability</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Decrease in accrued interest receivable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accounts payable and accrued expenses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5,292</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Increase in interest payable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other current liabilities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Increase in deferred rent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Decrease in deferred revenue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(33,351)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(28,043)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Investment in held-to-maturity securities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(8,171)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maturity of short-term securities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(1,135)</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52,430</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Proceeds from debt financings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29,740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paid</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52,430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26,179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57,305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65,593</w:t>
            </w:r>
          </w:p>
        </w:tc>
        <w:tc>
          <w:tcPr>
            <w:tcW w:w="2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83,484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Reconciliation to amounts on consolidated balance sheets: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64,349</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82,896</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cash, cash equivalents and restricted cash</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65,593</w:t>
            </w:r>
          </w:p>
        </w:tc>
        <w:tc>
          <w:tcPr>
            <w:tcW w:w="2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83,484</w:t>
            </w:r>
          </w:p>
        </w:tc>
        <w:tc>
          <w:tcPr>
            <w:tcW w:w="26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Accrued offering costs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Warrants issued with debt financing</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993</w:t>
            </w:r>
          </w:p>
        </w:tc>
        <w:tc>
          <w:tcPr>
            <w:tcW w:w="2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TG Therapeutics, Inc.</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19"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and NHL, with ublituximab also in pivotal trials for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Additionally, we have recently brought into Phase 1 clinical development TG-1501, an anti-PD-L1 monoclonal antibody, TG-1701, a covalently-bound Bruton’s Tyrosine Kinase (BTK) inhibitor, and TG-1801, an anti-CD47/CD19 bispecific antibody.</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9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or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2018. The accompanying condensed December 31, 2018 balance sheet has been derived from these statements. The results of operations for the three months ended March 31, 2019 are not necessarily indicative of the results that may be expected for the entire fiscal year or any other interim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have incurred operating losses since our inception, expect to continue to incur operating losses for the foreseeable future, and may never become profitable. As of March 31, 2019, we have an accumulated deficit of approximately $563.5 million.</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as well as debt financings. We have not yet commercialized any of our drug candidates and cannot be sure if we will ever be able to do so. Even if we commercialize one or more of our drug candidates, we may not become profitable. Our ability to achieve profitability depends on many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7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As of March 31, 2019, we had $92.5 million in cash and cash equivalents, and investment securities. The Company believes its cash, cash equivalents, and investment securities on hand as of March 31, 2019 along with the additional capital raised in the second quarter of 2019 (see Note 5) will be sufficient to fund the Company’s planned operations through mid-2020. The actual amount of cash that we will need to operate is subject to many factors, including, but not limited to, the timing, design and conduct of clinical trials for our drug candidates. We are dependent upon significant future financing to provide the cash necessary to execute our current operations, including the commercialization of any of our drug candidates.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Capital Market and trades under the symbol “TGTX.”</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7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9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liability to our consolidated balance sheets at January 1, 2019, primarily relating to our lease of office space (see Note 8). The impact to our consolidated statements of operations was not material as a result of this standard.</w:t>
      </w:r>
    </w:p>
    <w:p>
      <w:pPr>
        <w:spacing w:after="0" w:line="17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(“GAAP”) requires management to make estimates and judgments that affect the reported amounts of assets and liabilities and the disclosure of contingent assets and liabilities at the date of the financial statements and the reported amounts of revenues and expenses during the applicable reporting period. On an ongoing basis, we evaluate our estimates and judgments, including those related to accrued expenses and stock-based compensation. Actual results could differ from those estimates. Such differences could be material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treat liquid investments with original maturities of less than three months when purchased as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record cash pledged or held in trust as restricted cash. As of March 31, 2019 and December 31, 2018, we have approximately $1.2 million of restricted cash pledged to secure a line of credit as a security deposit for an Office Agreement (see Note 10).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Investment securities at March 31, 2019 and December 31, 2018 consist of short-term government securities. We classify these securities as held-to-maturity. Held-to-maturity securities are those securities in which we have the ability and intent to hold the security until maturity. Held-to-maturity securities are recorded at amortized cost, adjusted for the amortization or accretion of premiums or discounts. Premiums and discounts are amortized or accreted over the life of the related held-to-maturity security as an adjustment to yield using the effective interest method.</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 decline in the market value of any investment security below cost, that is deemed to be other than temporary, results in a reduction in the carrying amount to fair value. The impairment is charged to operations and a new cost basis for the security is established. Other-than-temporary impairment charges are included in interest and other income (expense), net. Unrealized gains, if determined to be temporary, are included in accumulated other comprehensive income in equity. Dividend and interest income are recognized when earned.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and short-term investments. The Company maintains its cash and cash equivalents and short-term investments with high-credit quality financial institutions. At times, such amounts may exceed federally-insured limits.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Effective January 1, 2018, the Company began recognizing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70" w:lineRule="exact"/>
        <w:rPr>
          <w:sz w:val="20"/>
          <w:szCs w:val="20"/>
          <w:color w:val="auto"/>
        </w:rPr>
      </w:pPr>
    </w:p>
    <w:p>
      <w:pPr>
        <w:ind w:left="880" w:hanging="22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94" w:lineRule="exact"/>
        <w:rPr>
          <w:sz w:val="20"/>
          <w:szCs w:val="20"/>
          <w:color w:val="auto"/>
        </w:rPr>
      </w:pPr>
    </w:p>
    <w:p>
      <w:pPr>
        <w:ind w:left="880" w:right="20" w:hanging="222"/>
        <w:spacing w:after="0" w:line="254"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w:t>
      </w:r>
    </w:p>
    <w:p>
      <w:pPr>
        <w:ind w:left="880" w:right="20" w:hanging="222"/>
        <w:spacing w:after="0" w:line="261"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21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8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2"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We make estimates of costs incurred in relation to external clinical research 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Prepaid research and development in our consolidated balance sheets includes, among other things, certain costs to third party service providers related to development and manufacturing services as well as clinical development. These agreements often require payments in advance of services performed or goods received. Accordingly, as of March 31, 2019 and December 31, 2018, we recorded approximately $11.1 million and $9.7 million, respectively, in prepaid research and development related to such advance agreements.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temporary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 If the likelihood of realizing the deferred tax assets or liability is less than “more likely than not,” a valuation allowance is then created.</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and our subsidiaries, file income tax returns in the U.S. Federal jurisdiction and in various states. We have tax net operating loss carryforwards that are subject to examination for a number of years beyond the year in which they were generated for tax purposes. Since a portion of these net operating loss carryforwards may be utilized in the future, many of these net operating loss carryforwards will remain subject to examination. We recognize interest and penalties related to uncertain income tax positions in income tax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recognize all stock-based payments to employees and non-employee directors (as compensation for service) as noncash compensation expense in the condensed consolidated financial statements based on the fair values of such payments. Stock-based compensation expense recognized each period is based on the value of the portion of stock-based payment awards that is ultimately expected to vest during the period. Forfeitures are estimated at the time of grant and revised, if necessary, in subsequent periods if actual forfeitures differ from those estimates.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because some of the options, restricted stock and warrants issued to employees, consultants and other third-parties vest upon achievement of certain milestones, the total expense is uncertain. Compensation expense for such awards that vest upon the achievement of milestones is recognized when the achievement of such milestones becomes probable.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Common Share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Basic net loss per share of our common stock is calculated by dividing net loss applicable to the common stock by the weighted 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periods presented or because such potentially dilutive securities were out of the money and the Company realized net income during the periods presented. The amounts of potentially dilutive securities excluded from the calculation were 6,768,530 and 4,660,180 for the three months ended March 31, 2019 and 2018, respectively. The following outstanding shares of potentially dilutive securities were excluded from the computation of net loss per share attributable to common stockholders for the periods presented because including them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3"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Three Months Ended March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72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72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4,039,620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4,159,428</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Stock options</w:t>
            </w:r>
          </w:p>
        </w:tc>
        <w:tc>
          <w:tcPr>
            <w:tcW w:w="4660" w:type="dxa"/>
            <w:vAlign w:val="bottom"/>
            <w:gridSpan w:val="2"/>
          </w:tcPr>
          <w:p>
            <w:pPr>
              <w:jc w:val="right"/>
              <w:spacing w:after="0"/>
              <w:rPr>
                <w:sz w:val="20"/>
                <w:szCs w:val="20"/>
                <w:color w:val="auto"/>
              </w:rPr>
            </w:pPr>
            <w:r>
              <w:rPr>
                <w:rFonts w:ascii="Arial" w:cs="Arial" w:eastAsia="Arial" w:hAnsi="Arial"/>
                <w:sz w:val="18"/>
                <w:szCs w:val="18"/>
                <w:color w:val="auto"/>
              </w:rPr>
              <w:t>2,565,310</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485,000</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Shares issuable upon note conversion</w:t>
            </w:r>
          </w:p>
        </w:tc>
        <w:tc>
          <w:tcPr>
            <w:tcW w:w="294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16,542</w:t>
            </w:r>
          </w:p>
        </w:tc>
        <w:tc>
          <w:tcPr>
            <w:tcW w:w="56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3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6,768,530</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4,660,180</w:t>
            </w:r>
          </w:p>
        </w:tc>
        <w:tc>
          <w:tcPr>
            <w:tcW w:w="340" w:type="dxa"/>
            <w:vAlign w:val="bottom"/>
            <w:shd w:val="clear" w:color="auto" w:fill="CCEEFF"/>
          </w:tcPr>
          <w:p>
            <w:pPr>
              <w:spacing w:after="0"/>
              <w:rPr>
                <w:sz w:val="22"/>
                <w:szCs w:val="22"/>
                <w:color w:val="auto"/>
              </w:rPr>
            </w:pPr>
          </w:p>
        </w:tc>
      </w:tr>
      <w:tr>
        <w:trPr>
          <w:trHeight w:val="587"/>
        </w:trPr>
        <w:tc>
          <w:tcPr>
            <w:tcW w:w="20" w:type="dxa"/>
            <w:vAlign w:val="bottom"/>
          </w:tcPr>
          <w:p>
            <w:pPr>
              <w:spacing w:after="0"/>
              <w:rPr>
                <w:sz w:val="24"/>
                <w:szCs w:val="24"/>
                <w:color w:val="auto"/>
              </w:rPr>
            </w:pPr>
          </w:p>
        </w:tc>
        <w:tc>
          <w:tcPr>
            <w:tcW w:w="4120" w:type="dxa"/>
            <w:vAlign w:val="bottom"/>
            <w:tcBorders>
              <w:top w:val="single" w:sz="8" w:color="CCEEFF"/>
              <w:bottom w:val="single" w:sz="8" w:color="auto"/>
            </w:tcBorders>
          </w:tcPr>
          <w:p>
            <w:pPr>
              <w:spacing w:after="0"/>
              <w:rPr>
                <w:sz w:val="24"/>
                <w:szCs w:val="24"/>
                <w:color w:val="auto"/>
              </w:rPr>
            </w:pPr>
          </w:p>
        </w:tc>
        <w:tc>
          <w:tcPr>
            <w:tcW w:w="2940" w:type="dxa"/>
            <w:vAlign w:val="bottom"/>
            <w:tcBorders>
              <w:top w:val="single" w:sz="8" w:color="CCEEFF"/>
              <w:bottom w:val="single" w:sz="8" w:color="auto"/>
            </w:tcBorders>
          </w:tcPr>
          <w:p>
            <w:pPr>
              <w:jc w:val="right"/>
              <w:ind w:right="1192"/>
              <w:spacing w:after="0"/>
              <w:rPr>
                <w:sz w:val="20"/>
                <w:szCs w:val="20"/>
                <w:color w:val="auto"/>
              </w:rPr>
            </w:pPr>
            <w:r>
              <w:rPr>
                <w:rFonts w:ascii="Arial" w:cs="Arial" w:eastAsia="Arial" w:hAnsi="Arial"/>
                <w:sz w:val="18"/>
                <w:szCs w:val="18"/>
                <w:color w:val="auto"/>
              </w:rPr>
              <w:t>11</w:t>
            </w:r>
          </w:p>
        </w:tc>
        <w:tc>
          <w:tcPr>
            <w:tcW w:w="17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7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29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Long-Lived Assets and Goodwill</w:t>
      </w:r>
    </w:p>
    <w:p>
      <w:pPr>
        <w:spacing w:after="0" w:line="22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Long-lived assets are reviewed for potential impairment when circumstances indicate that the carrying value of long-lived tangible and intangible assets with finite lives may not be recoverable. Management’s policy in determining whether an impairment indicator exists, a triggering event, comprises measurable operating performance criteria as well as qualitative measures. If an analysis is necessitated by the occurrence of a triggering event, we make certain assumptions in determining the impairment amount. If the carrying amount of an asset exceeds its estimated future cash flows, an impairment charge is recognized.</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Goodwill is reviewed for impairment annually, or earlier when events arise that could indicate that an impairment exists. We test for goodwill impairment using a two-step process. The first step compares the fair value of the reporting unit with the unit's carrying value, including goodwill. When the carrying value of the reporting unit is greater than fair value, the unit’s goodwill may be impaired, and the second step must be completed to measure the amount of the goodwill impairment charge, if any. In the second step, the implied fair value of the reporting unit’s goodwill is compared with the carrying amount of the unit’s goodwill. If the carrying amount is greater than the implied fair value, the carrying value of the goodwill must be written down to its implied fair value. We will continue to perform impairment tests annually, at December 31, and whenever events or changes in circumstances suggest that the carrying value of an asset may not be recoverable.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cash and cash equivalents at March 31, 2019 and December 31,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0"/>
                <w:szCs w:val="20"/>
                <w:color w:val="auto"/>
              </w:rPr>
            </w:pPr>
          </w:p>
        </w:tc>
        <w:tc>
          <w:tcPr>
            <w:tcW w:w="1540" w:type="dxa"/>
            <w:vAlign w:val="bottom"/>
          </w:tcPr>
          <w:p>
            <w:pPr>
              <w:jc w:val="right"/>
              <w:ind w:right="192"/>
              <w:spacing w:after="0"/>
              <w:rPr>
                <w:sz w:val="20"/>
                <w:szCs w:val="20"/>
                <w:color w:val="auto"/>
              </w:rPr>
            </w:pPr>
            <w:r>
              <w:rPr>
                <w:rFonts w:ascii="Arial" w:cs="Arial" w:eastAsia="Arial" w:hAnsi="Arial"/>
                <w:sz w:val="18"/>
                <w:szCs w:val="18"/>
                <w:b w:val="1"/>
                <w:bCs w:val="1"/>
                <w:color w:val="auto"/>
                <w:w w:val="96"/>
              </w:rPr>
              <w:t>March 31, 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06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Checking and bank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62,671</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39,268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3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64,349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41,958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INVESTMENT SECURITIES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Our investments as of March 31, 2019 and December 31, 2018 are classified as held-to-maturity. Held-to-maturity investments are recorded at amortized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cost.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our investment securities at March 31, 2019 and December 31, 2018:</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8"/>
                <w:szCs w:val="18"/>
                <w:b w:val="1"/>
                <w:bCs w:val="1"/>
                <w:color w:val="auto"/>
              </w:rPr>
              <w:t>March 31, 2019</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unrealized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0"/>
              </w:rPr>
              <w:t>cost, as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holding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34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holding gains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71"/>
              </w:rPr>
              <w:t>losses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4"/>
              </w:rPr>
              <w:t>Obligations of domestic governmental agencies (maturing between April 2019 to</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March 2020)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28,113</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28,125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28,113</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28,125</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8"/>
                <w:szCs w:val="18"/>
                <w:b w:val="1"/>
                <w:bCs w:val="1"/>
                <w:color w:val="auto"/>
              </w:rPr>
              <w:t>December 31, 2018</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32"/>
              <w:spacing w:after="0" w:line="201"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90"/>
              </w:rPr>
              <w:t>Amortized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9"/>
              </w:rPr>
              <w:t>unrealized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0"/>
              </w:rPr>
              <w:t>cost, as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holding</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Estimated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adjusted</w:t>
            </w:r>
          </w:p>
        </w:tc>
        <w:tc>
          <w:tcPr>
            <w:tcW w:w="34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w w:val="83"/>
              </w:rPr>
              <w:t>holding gains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32"/>
              <w:spacing w:after="0"/>
              <w:rPr>
                <w:sz w:val="20"/>
                <w:szCs w:val="20"/>
                <w:color w:val="auto"/>
              </w:rPr>
            </w:pPr>
            <w:r>
              <w:rPr>
                <w:rFonts w:ascii="Arial" w:cs="Arial" w:eastAsia="Arial" w:hAnsi="Arial"/>
                <w:sz w:val="18"/>
                <w:szCs w:val="18"/>
                <w:b w:val="1"/>
                <w:bCs w:val="1"/>
                <w:color w:val="auto"/>
                <w:w w:val="71"/>
              </w:rPr>
              <w:t>losses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fair value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w w:val="93"/>
              </w:rPr>
              <w:t>Obligations of domestic governmental agencies (maturing between January 2019</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and November 2019) (held-to-maturity)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26,951</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26,951</w:t>
            </w: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200" w:type="dxa"/>
            <w:vAlign w:val="bottom"/>
            <w:tcBorders>
              <w:left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7"/>
        </w:trPr>
        <w:tc>
          <w:tcPr>
            <w:tcW w:w="20" w:type="dxa"/>
            <w:vAlign w:val="bottom"/>
          </w:tcPr>
          <w:p>
            <w:pPr>
              <w:spacing w:after="0"/>
              <w:rPr>
                <w:sz w:val="24"/>
                <w:szCs w:val="24"/>
                <w:color w:val="auto"/>
              </w:rPr>
            </w:pPr>
          </w:p>
        </w:tc>
        <w:tc>
          <w:tcPr>
            <w:tcW w:w="6060" w:type="dxa"/>
            <w:vAlign w:val="bottom"/>
            <w:tcBorders>
              <w:top w:val="single" w:sz="8" w:color="CCEEFF"/>
              <w:bottom w:val="single" w:sz="8" w:color="auto"/>
            </w:tcBorders>
          </w:tcPr>
          <w:p>
            <w:pPr>
              <w:jc w:val="right"/>
              <w:ind w:right="192"/>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9"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31"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221" w:lineRule="exact"/>
        <w:rPr>
          <w:sz w:val="20"/>
          <w:szCs w:val="20"/>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and liabilities;</w:t>
      </w:r>
    </w:p>
    <w:p>
      <w:pPr>
        <w:spacing w:after="0" w:line="25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 inputs other than Level 1 quoted prices that are directly or indirectly observable; and</w:t>
      </w:r>
    </w:p>
    <w:p>
      <w:pPr>
        <w:spacing w:after="0" w:line="252" w:lineRule="exact"/>
        <w:rPr>
          <w:rFonts w:ascii="Arial" w:cs="Arial" w:eastAsia="Arial" w:hAnsi="Arial"/>
          <w:sz w:val="18"/>
          <w:szCs w:val="18"/>
          <w:color w:val="auto"/>
        </w:rPr>
      </w:pPr>
    </w:p>
    <w:p>
      <w:pPr>
        <w:ind w:left="660" w:hanging="16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ind w:right="140" w:firstLine="658"/>
        <w:spacing w:after="0" w:line="268" w:lineRule="auto"/>
        <w:rPr>
          <w:sz w:val="20"/>
          <w:szCs w:val="20"/>
          <w:color w:val="auto"/>
        </w:rPr>
      </w:pPr>
      <w:r>
        <w:rPr>
          <w:rFonts w:ascii="Arial" w:cs="Arial" w:eastAsia="Arial" w:hAnsi="Arial"/>
          <w:sz w:val="18"/>
          <w:szCs w:val="18"/>
          <w:color w:val="auto"/>
        </w:rPr>
        <w:t>As of March 31, 2019 and December 31, 2018, the fair values of cash and cash equivalents, restricted cash, and notes and interest payable approximate their carrying value.</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At the time of our merger (we were then known as Manhattan Pharmaceuticals, Inc.) with Ariston Pharmaceuticals, Inc. (“Ariston”) in March 2010, Ariston issued $15.5 million of five-year 5% notes payable (the “5% Notes”) in satisfaction of several note payable issuances. The 5% Notes and accrued and unpaid interest thereon are convertible at the option of the holder into common stock at the conversion price of $1,125 per share. Ariston agreed to make quarterly payments on the 5% Notes equal to 50% of the net product cash flow received from the exploitation or commercialization of Ariston’s product candidates, AST-726 and AST-915. We have no obligations under the 5% Notes aside from (a) 50% of the net product cash flows from Ariston’s product candidates, if any, payable to noteholders; and (b) the conversion feature, discussed above.</w:t>
      </w:r>
    </w:p>
    <w:p>
      <w:pPr>
        <w:spacing w:after="0" w:line="17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cumulative liability to the Ariston subsidiary including accrued and unpaid interest of the 5% Notes was approximately $18.6 million at March 31, 2019 and $18.4 million at December 31, 2018. No payments have been made on the 5% Notes since the merger and through March 31, 2019.</w:t>
      </w:r>
    </w:p>
    <w:p>
      <w:pPr>
        <w:spacing w:after="0" w:line="13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w:t>
      </w:r>
    </w:p>
    <w:p>
      <w:pPr>
        <w:spacing w:after="0" w:line="18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of December 31, 2013, as a result of expiring intellectual property rights and other factors, it was determined that net product cash flows from AST-726 were unlikely. As we have no other obligations under the 5% Notes aside from the net product cash flows and the conversion feature, the conversion feature was used to estimate the 5% Notes’ fair value as of March 31, 2019 and December 31, 2018. The assumptions, assessments and projections of future revenues are subject to uncertainties, difficult to predict, and require significant judgment. The use of different assumptions, applying different judgment to inherently subjective matters and changes in future market conditions could result in significantly different estimates of fair value and the differences could be material to our condensed consolidated financial statements.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March 31, 2019 and December 31, 2018:</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5140" w:type="dxa"/>
            <w:vAlign w:val="bottom"/>
            <w:tcBorders>
              <w:bottom w:val="single" w:sz="8" w:color="auto"/>
            </w:tcBorders>
            <w:gridSpan w:val="11"/>
          </w:tcPr>
          <w:p>
            <w:pPr>
              <w:jc w:val="right"/>
              <w:ind w:right="492"/>
              <w:spacing w:after="0"/>
              <w:rPr>
                <w:sz w:val="20"/>
                <w:szCs w:val="20"/>
                <w:color w:val="auto"/>
              </w:rPr>
            </w:pPr>
            <w:r>
              <w:rPr>
                <w:rFonts w:ascii="Arial" w:cs="Arial" w:eastAsia="Arial" w:hAnsi="Arial"/>
                <w:sz w:val="18"/>
                <w:szCs w:val="18"/>
                <w:b w:val="1"/>
                <w:bCs w:val="1"/>
                <w:color w:val="auto"/>
              </w:rPr>
              <w:t>Financial liabilities at fair value as of March 31, 2019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08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5140" w:type="dxa"/>
            <w:vAlign w:val="bottom"/>
            <w:tcBorders>
              <w:bottom w:val="single" w:sz="8" w:color="auto"/>
            </w:tcBorders>
            <w:gridSpan w:val="11"/>
          </w:tcPr>
          <w:p>
            <w:pPr>
              <w:jc w:val="right"/>
              <w:ind w:right="352"/>
              <w:spacing w:after="0"/>
              <w:rPr>
                <w:sz w:val="20"/>
                <w:szCs w:val="20"/>
                <w:color w:val="auto"/>
              </w:rPr>
            </w:pPr>
            <w:r>
              <w:rPr>
                <w:rFonts w:ascii="Arial" w:cs="Arial" w:eastAsia="Arial" w:hAnsi="Arial"/>
                <w:sz w:val="18"/>
                <w:szCs w:val="18"/>
                <w:b w:val="1"/>
                <w:bCs w:val="1"/>
                <w:color w:val="auto"/>
                <w:w w:val="97"/>
              </w:rPr>
              <w:t>Financial liabilities at fair value as of December 31, 2018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w w:val="98"/>
              </w:rPr>
              <w:t>Level 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060" w:type="dxa"/>
            <w:vAlign w:val="bottom"/>
            <w:tcBorders>
              <w:right w:val="single" w:sz="8" w:color="CCEEFF"/>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2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5% Notes</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22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Company’s financial instruments include cash, cash equivalents consisting of money market funds, accounts payable and debt. Cash, cash equivalents, accounts payable and debt are stated at their respective historical carrying amounts, which approximate fair value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The following table summarizes the changes in Level 3 instruments during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200" w:type="dxa"/>
            <w:vAlign w:val="bottom"/>
            <w:gridSpan w:val="2"/>
          </w:tcPr>
          <w:p>
            <w:pPr>
              <w:spacing w:after="0"/>
              <w:rPr>
                <w:sz w:val="20"/>
                <w:szCs w:val="20"/>
                <w:color w:val="auto"/>
              </w:rPr>
            </w:pPr>
            <w:r>
              <w:rPr>
                <w:rFonts w:ascii="Arial" w:cs="Arial" w:eastAsia="Arial" w:hAnsi="Arial"/>
                <w:sz w:val="18"/>
                <w:szCs w:val="18"/>
                <w:color w:val="auto"/>
              </w:rPr>
              <w:t>Fair value at December 31, 2018</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Interest accrued on face value of 5% Notes</w:t>
            </w:r>
          </w:p>
        </w:tc>
        <w:tc>
          <w:tcPr>
            <w:tcW w:w="3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Change in fair value of Level 3 liabilities</w:t>
            </w:r>
          </w:p>
        </w:tc>
        <w:tc>
          <w:tcPr>
            <w:tcW w:w="38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r>
      <w:tr>
        <w:trPr>
          <w:trHeight w:val="257"/>
        </w:trPr>
        <w:tc>
          <w:tcPr>
            <w:tcW w:w="20" w:type="dxa"/>
            <w:vAlign w:val="bottom"/>
          </w:tcPr>
          <w:p>
            <w:pPr>
              <w:spacing w:after="0"/>
              <w:rPr>
                <w:sz w:val="22"/>
                <w:szCs w:val="22"/>
                <w:color w:val="auto"/>
              </w:rPr>
            </w:pPr>
          </w:p>
        </w:tc>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March 31, 2019</w:t>
            </w:r>
          </w:p>
        </w:tc>
        <w:tc>
          <w:tcPr>
            <w:tcW w:w="38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ind w:right="220" w:firstLine="648"/>
        <w:spacing w:after="0" w:line="268"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amended and restated certificate of incorporation authorizes the issuance of up to 150,000,000 shares of $0.001 par value common stock.</w:t>
      </w:r>
    </w:p>
    <w:p>
      <w:pPr>
        <w:spacing w:after="0" w:line="2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2017, we filed a shelf registration statement on Form S-3 (the "2017 S-3"), which was declared effective in June 2017, replacing the 2015 S-3. Under the 2017 S-3, the Company may sell up to a total of $300 million of its securities. In connection with the 2017 S-3, we entered into an At-the-Market Issuance Sales Agreement (the "2017 ATM") with Jefferies LLC, Cantor Fitzgerald &amp; Co., FBR Capital Markets &amp; Co., SunTrust Robinson Humphrey, Inc., Raymond James &amp; Associates, Inc., Ladenburg Thalmann &amp; Co. Inc. and H.C. Wainwright &amp; Co., LLC (each a "2017 Agent" and collectively, the "2017 Agents"), relating to the sale of shares of our common stock. Under the 2017 ATM we pay the 2017 Agents a commission rate of up to 3.0% of the gross proceeds from the sale of any shares of common stock.</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2019, we completed an underwritten public offering of 4,100,000 shares of our common stock (plus a 30-day underwriter overallotment option to purchase up to an additional 615,000 shares of common stock, which was exercised), at a price of $5.87 per share. Proceeds from this offering, including the overallotment, after underwriting discounts and offering expenses were approximately $27.7 million.</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Subsequent to the first quarter, through May 10, 2019, we sold an aggregate of 3,030,611 shares of common stock pursuant to the 2017 ATM for total gross proceeds of approximately $24.6 million at an average selling price of $8.11 per share, resulting in net proceeds of approximately $24.2 million after deducting commissions and other transactions costs.</w:t>
      </w:r>
    </w:p>
    <w:p>
      <w:pPr>
        <w:spacing w:after="0" w:line="1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2017 S-3 is currently our only active shelf registration statement. After deducting shares already sold there is approximately $84.2 million of common stock that remains available for sale under the 2017 S-3. We may offer the securities under the 2017 S-3 from time to time in response to market conditions or other circumstances if we believe such a plan of financing is in the best interests of our stockholders. We believe that the 2017 S-3 provides us with the flexibility to raise additional capital to finance our operations as needed.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TG Therapeutics, Inc. Amended and Restated 2012 Incentive Plan (“2012 Incentive Plan”) was approved by stockholders in June 2018. As of March 31, 2019, 5,539,620 shares of restricted stock and 2,565,310 options were outstanding and up to an additional 2,612,431 shares may be issued under the 2012 Incentive Plan.</w:t>
      </w:r>
    </w:p>
    <w:p>
      <w:pPr>
        <w:spacing w:after="0" w:line="19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Effective as of January 1, 2017, we entered into an amendment (the “Amendment”) to the employment agreement entered into as of December 15, 2011 (together with the Amendment, the “Employment Agreement”) with Michael S. Weiss, our Executive Chairman and Chief Executive Officer and President. Under the Amendment, Mr. Weiss will remain as Chief Executive Officer and President, removing the interim status. Simultaneously, we entered into a Strategic Advisory Agreement (the “Advisory Agreement”) with Caribe BioAdvisors, LLC (the “Advisor”) owned by Mr. Weiss to provide the services of Mr. Weiss as Chairman of the Board and as Executive Chairman. As part of the Amendment, Mr. Weiss also agreed to forfeit 3,381,866 restricted shares previously granted under the Employment Agreement that were predominantly subject to time-based vesting over the next three years. Simultaneously, (i) Mr. Weiss was issued 418,371 restricted shares under the Employment Agreement that vest in 2018 and 2019 and (ii) the Advisor was issued 2,960,000 restricted shares under the Advisory Agreement that vested on market capitalization thresholds ranging from $375 million to $750 million. In accordance with GAAP, there was no incremental stock compensation expense recognition as a result of the modification.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 option activity for the three months ended March 31, 2019:</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Weighted-</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average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Number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5"/>
              </w:rPr>
              <w:t>average</w:t>
            </w: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Contractual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2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4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Intrinsic Value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7"/>
              </w:rPr>
              <w:t>(in years)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200" w:type="dxa"/>
            <w:vAlign w:val="bottom"/>
          </w:tcPr>
          <w:p>
            <w:pPr>
              <w:jc w:val="right"/>
              <w:spacing w:after="0"/>
              <w:rPr>
                <w:sz w:val="20"/>
                <w:szCs w:val="20"/>
                <w:color w:val="auto"/>
              </w:rPr>
            </w:pPr>
            <w:r>
              <w:rPr>
                <w:rFonts w:ascii="Arial" w:cs="Arial" w:eastAsia="Arial" w:hAnsi="Arial"/>
                <w:sz w:val="18"/>
                <w:szCs w:val="18"/>
                <w:color w:val="auto"/>
              </w:rPr>
              <w:t>1,916,900</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6.50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9.75</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Granted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6.90</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Forfeited</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(66,590)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6.80</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Expired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2,565,310</w:t>
            </w:r>
          </w:p>
        </w:tc>
        <w:tc>
          <w:tcPr>
            <w:tcW w:w="2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5,800,421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Expected to vest at March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2,565,310</w:t>
            </w: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9.63</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5,800,421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Exercisable at March 31, 2019</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Total expense associated with the stock options was approximately $0.7 million and zero during the three months ended March 31, 2019 and 2018, respectively. As of March 31, 2019, the stock options outstanding include options granted to both employees and non-employees which are both time-based and milestone-based. Stock-based compensation for milestone-based options will be recorded if and when a milestone occurs.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option awards were estimated using the assumptions below: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1"/>
              </w:rPr>
              <w:t>Three months ended</w:t>
            </w:r>
          </w:p>
        </w:tc>
      </w:tr>
      <w:tr>
        <w:trPr>
          <w:trHeight w:val="237"/>
        </w:trPr>
        <w:tc>
          <w:tcPr>
            <w:tcW w:w="2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568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March 31, 2019</w:t>
            </w:r>
          </w:p>
        </w:tc>
        <w:tc>
          <w:tcPr>
            <w:tcW w:w="3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Volatility</w:t>
            </w:r>
          </w:p>
        </w:tc>
        <w:tc>
          <w:tcPr>
            <w:tcW w:w="7400" w:type="dxa"/>
            <w:vAlign w:val="bottom"/>
            <w:gridSpan w:val="2"/>
          </w:tcPr>
          <w:p>
            <w:pPr>
              <w:jc w:val="right"/>
              <w:spacing w:after="0"/>
              <w:rPr>
                <w:sz w:val="20"/>
                <w:szCs w:val="20"/>
                <w:color w:val="auto"/>
              </w:rPr>
            </w:pPr>
            <w:r>
              <w:rPr>
                <w:rFonts w:ascii="Arial" w:cs="Arial" w:eastAsia="Arial" w:hAnsi="Arial"/>
                <w:sz w:val="18"/>
                <w:szCs w:val="18"/>
                <w:color w:val="auto"/>
              </w:rPr>
              <w:t>204.59-291.61</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5.0-6.25</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Risk-free rate</w:t>
            </w:r>
          </w:p>
        </w:tc>
        <w:tc>
          <w:tcPr>
            <w:tcW w:w="7740" w:type="dxa"/>
            <w:vAlign w:val="bottom"/>
            <w:gridSpan w:val="3"/>
          </w:tcPr>
          <w:p>
            <w:pPr>
              <w:jc w:val="right"/>
              <w:ind w:right="200"/>
              <w:spacing w:after="0"/>
              <w:rPr>
                <w:sz w:val="20"/>
                <w:szCs w:val="20"/>
                <w:color w:val="auto"/>
              </w:rPr>
            </w:pPr>
            <w:r>
              <w:rPr>
                <w:rFonts w:ascii="Arial" w:cs="Arial" w:eastAsia="Arial" w:hAnsi="Arial"/>
                <w:sz w:val="18"/>
                <w:szCs w:val="18"/>
                <w:color w:val="auto"/>
              </w:rPr>
              <w:t>2.40-2.49%</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593"/>
        </w:trPr>
        <w:tc>
          <w:tcPr>
            <w:tcW w:w="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jc w:val="right"/>
              <w:ind w:right="3472"/>
              <w:spacing w:after="0"/>
              <w:rPr>
                <w:sz w:val="20"/>
                <w:szCs w:val="20"/>
                <w:color w:val="auto"/>
              </w:rPr>
            </w:pPr>
            <w:r>
              <w:rPr>
                <w:rFonts w:ascii="Arial" w:cs="Arial" w:eastAsia="Arial" w:hAnsi="Arial"/>
                <w:sz w:val="18"/>
                <w:szCs w:val="18"/>
                <w:color w:val="auto"/>
              </w:rPr>
              <w:t>15</w:t>
            </w:r>
          </w:p>
        </w:tc>
        <w:tc>
          <w:tcPr>
            <w:tcW w:w="17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9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Certain employees, directors and consultants have been awarded restricted stock. The restricted stock vesting consists of milestone and time-based vesting. The following table summarizes restricted share activity for the three months ended March 31, 2019:</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w:t>
            </w:r>
          </w:p>
        </w:tc>
      </w:tr>
      <w:tr>
        <w:trPr>
          <w:trHeight w:val="237"/>
        </w:trPr>
        <w:tc>
          <w:tcPr>
            <w:tcW w:w="20" w:type="dxa"/>
            <w:vAlign w:val="bottom"/>
          </w:tcPr>
          <w:p>
            <w:pPr>
              <w:spacing w:after="0"/>
              <w:rPr>
                <w:sz w:val="20"/>
                <w:szCs w:val="20"/>
                <w:color w:val="auto"/>
              </w:rPr>
            </w:pPr>
          </w:p>
        </w:tc>
        <w:tc>
          <w:tcPr>
            <w:tcW w:w="70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98"/>
              </w:rPr>
              <w:t>Number of Shares</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1"/>
              </w:rPr>
              <w:t>Grant Date Fair Value</w:t>
            </w:r>
          </w:p>
        </w:tc>
        <w:tc>
          <w:tcPr>
            <w:tcW w:w="34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720" w:type="dxa"/>
            <w:vAlign w:val="bottom"/>
          </w:tcPr>
          <w:p>
            <w:pPr>
              <w:jc w:val="right"/>
              <w:spacing w:after="0"/>
              <w:rPr>
                <w:sz w:val="20"/>
                <w:szCs w:val="20"/>
                <w:color w:val="auto"/>
              </w:rPr>
            </w:pPr>
            <w:r>
              <w:rPr>
                <w:rFonts w:ascii="Arial" w:cs="Arial" w:eastAsia="Arial" w:hAnsi="Arial"/>
                <w:sz w:val="18"/>
                <w:szCs w:val="18"/>
                <w:color w:val="auto"/>
              </w:rPr>
              <w:t>6,095,692</w:t>
            </w:r>
          </w:p>
        </w:tc>
        <w:tc>
          <w:tcPr>
            <w:tcW w:w="30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8.07</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Vested</w:t>
            </w: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(511,444)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8.64</w:t>
            </w:r>
          </w:p>
        </w:tc>
        <w:tc>
          <w:tcPr>
            <w:tcW w:w="3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(67,628)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3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March 31, 2019</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5,539,620</w:t>
            </w:r>
          </w:p>
        </w:tc>
        <w:tc>
          <w:tcPr>
            <w:tcW w:w="3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ind w:left="26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7.95</w:t>
            </w:r>
          </w:p>
        </w:tc>
        <w:tc>
          <w:tcPr>
            <w:tcW w:w="34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5"/>
          <w:szCs w:val="15"/>
          <w:color w:val="auto"/>
        </w:rPr>
        <w:t>Total expense associated with restricted stock grants was approximately $1.2 million and $7.3 million during the three months ended March 31, 2019 and 2018, respectively. As of March 31, 2019, there was approximately $5.6 million of total unrecognized compensation cost related to unvested time-based restricted stock, which is expected to be recognized over a weighted average period of 1.43 years. This amount does not include, as of March 31, 2019, 3,003,011 shares of restricted stock outstanding which are milestone-based and vest upon certain corporate milestones. Until the measurement date is reached for milestone awards, the total amount of compensation expense remains uncertain. We record compensation expense based on the fair value of the award at the grant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three months ended March 31, 2019:</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9"/>
              </w:rPr>
              <w:t>Weighted-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85"/>
              </w:rPr>
              <w:t>average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89"/>
              </w:rPr>
              <w:t>Aggregate</w:t>
            </w:r>
          </w:p>
        </w:tc>
      </w:tr>
      <w:tr>
        <w:trPr>
          <w:trHeight w:val="237"/>
        </w:trPr>
        <w:tc>
          <w:tcPr>
            <w:tcW w:w="20" w:type="dxa"/>
            <w:vAlign w:val="bottom"/>
          </w:tcPr>
          <w:p>
            <w:pPr>
              <w:spacing w:after="0"/>
              <w:rPr>
                <w:sz w:val="20"/>
                <w:szCs w:val="20"/>
                <w:color w:val="auto"/>
              </w:rPr>
            </w:pPr>
          </w:p>
        </w:tc>
        <w:tc>
          <w:tcPr>
            <w:tcW w:w="69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Warrants</w:t>
            </w:r>
          </w:p>
        </w:tc>
        <w:tc>
          <w:tcPr>
            <w:tcW w:w="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exercise price</w:t>
            </w:r>
          </w:p>
        </w:tc>
        <w:tc>
          <w:tcPr>
            <w:tcW w:w="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Intrinsic Value</w:t>
            </w:r>
          </w:p>
        </w:tc>
        <w:tc>
          <w:tcPr>
            <w:tcW w:w="240" w:type="dxa"/>
            <w:vAlign w:val="bottom"/>
            <w:tcBorders>
              <w:bottom w:val="single" w:sz="8" w:color="CCEEFF"/>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Outstanding at December 31, 2018</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Issued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20"/>
              <w:spacing w:after="0"/>
              <w:rPr>
                <w:sz w:val="20"/>
                <w:szCs w:val="20"/>
                <w:color w:val="auto"/>
              </w:rPr>
            </w:pPr>
            <w:r>
              <w:rPr>
                <w:rFonts w:ascii="Arial" w:cs="Arial" w:eastAsia="Arial" w:hAnsi="Arial"/>
                <w:sz w:val="18"/>
                <w:szCs w:val="18"/>
                <w:color w:val="auto"/>
              </w:rPr>
              <w:t>Exercised</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Expired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Outstanding at March 31, 2019</w:t>
            </w:r>
          </w:p>
        </w:tc>
        <w:tc>
          <w:tcPr>
            <w:tcW w:w="1040" w:type="dxa"/>
            <w:vAlign w:val="bottom"/>
          </w:tcPr>
          <w:p>
            <w:pPr>
              <w:jc w:val="right"/>
              <w:spacing w:after="0"/>
              <w:rPr>
                <w:sz w:val="20"/>
                <w:szCs w:val="20"/>
                <w:color w:val="auto"/>
              </w:rPr>
            </w:pPr>
            <w:r>
              <w:rPr>
                <w:rFonts w:ascii="Arial" w:cs="Arial" w:eastAsia="Arial" w:hAnsi="Arial"/>
                <w:sz w:val="18"/>
                <w:szCs w:val="18"/>
                <w:color w:val="auto"/>
              </w:rPr>
              <w:t>147,058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4.08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582,350</w:t>
            </w:r>
          </w:p>
        </w:tc>
      </w:tr>
      <w:tr>
        <w:trPr>
          <w:trHeight w:val="21"/>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stock-based compensation expense information about restricted stock and stock options for the three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Three months ended March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associated with restricted stock</w:t>
            </w:r>
          </w:p>
        </w:tc>
        <w:tc>
          <w:tcPr>
            <w:tcW w:w="15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9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3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Stock-based compensation expense associated with option grants</w:t>
            </w:r>
          </w:p>
        </w:tc>
        <w:tc>
          <w:tcPr>
            <w:tcW w:w="1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c>
          <w:tcPr>
            <w:tcW w:w="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5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34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6 – OTHER LIABILITIES</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summary of Notes Payable included in other current liabilities on the Company’s condensed consolidated balance sheet:</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gridSpan w:val="4"/>
            <w:shd w:val="clear" w:color="auto" w:fill="CCEEFF"/>
          </w:tcPr>
          <w:p>
            <w:pPr>
              <w:jc w:val="center"/>
              <w:ind w:right="40"/>
              <w:spacing w:after="0"/>
              <w:rPr>
                <w:sz w:val="20"/>
                <w:szCs w:val="20"/>
                <w:color w:val="auto"/>
              </w:rPr>
            </w:pPr>
            <w:r>
              <w:rPr>
                <w:rFonts w:ascii="Arial" w:cs="Arial" w:eastAsia="Arial" w:hAnsi="Arial"/>
                <w:sz w:val="18"/>
                <w:szCs w:val="18"/>
                <w:b w:val="1"/>
                <w:bCs w:val="1"/>
                <w:color w:val="auto"/>
                <w:w w:val="90"/>
              </w:rPr>
              <w:t>March 31, 2019</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gridSpan w:val="5"/>
            <w:shd w:val="clear" w:color="auto" w:fill="CCEEFF"/>
          </w:tcPr>
          <w:p>
            <w:pPr>
              <w:jc w:val="center"/>
              <w:ind w:left="652"/>
              <w:spacing w:after="0"/>
              <w:rPr>
                <w:sz w:val="20"/>
                <w:szCs w:val="20"/>
                <w:color w:val="auto"/>
              </w:rPr>
            </w:pPr>
            <w:r>
              <w:rPr>
                <w:rFonts w:ascii="Arial" w:cs="Arial" w:eastAsia="Arial" w:hAnsi="Arial"/>
                <w:sz w:val="18"/>
                <w:szCs w:val="18"/>
                <w:b w:val="1"/>
                <w:bCs w:val="1"/>
                <w:color w:val="auto"/>
                <w:w w:val="87"/>
              </w:rPr>
              <w:t>December 31, 2018</w:t>
            </w:r>
          </w:p>
        </w:tc>
        <w:tc>
          <w:tcPr>
            <w:tcW w:w="16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87"/>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400"/>
              <w:spacing w:after="0" w:line="201" w:lineRule="exact"/>
              <w:rPr>
                <w:sz w:val="20"/>
                <w:szCs w:val="20"/>
                <w:color w:val="auto"/>
              </w:rPr>
            </w:pPr>
            <w:r>
              <w:rPr>
                <w:rFonts w:ascii="Arial" w:cs="Arial" w:eastAsia="Arial" w:hAnsi="Arial"/>
                <w:sz w:val="18"/>
                <w:szCs w:val="18"/>
                <w:b w:val="1"/>
                <w:bCs w:val="1"/>
                <w:color w:val="auto"/>
                <w:w w:val="92"/>
              </w:rPr>
              <w:t>Non-</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ind w:right="12"/>
              <w:spacing w:after="0"/>
              <w:rPr>
                <w:sz w:val="20"/>
                <w:szCs w:val="20"/>
                <w:color w:val="auto"/>
              </w:rPr>
            </w:pPr>
            <w:r>
              <w:rPr>
                <w:rFonts w:ascii="Arial" w:cs="Arial" w:eastAsia="Arial" w:hAnsi="Arial"/>
                <w:sz w:val="18"/>
                <w:szCs w:val="18"/>
                <w:b w:val="1"/>
                <w:bCs w:val="1"/>
                <w:color w:val="auto"/>
                <w:w w:val="95"/>
              </w:rPr>
              <w:t>Current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Current</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current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89"/>
              </w:rPr>
              <w:t>portion,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portion,</w:t>
            </w:r>
          </w:p>
        </w:tc>
        <w:tc>
          <w:tcPr>
            <w:tcW w:w="120" w:type="dxa"/>
            <w:vAlign w:val="bottom"/>
          </w:tcPr>
          <w:p>
            <w:pPr>
              <w:spacing w:after="0"/>
              <w:rPr>
                <w:sz w:val="18"/>
                <w:szCs w:val="18"/>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portion,</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net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8"/>
              </w:rPr>
              <w:t>net</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81"/>
              </w:rPr>
              <w:t>net</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Convertible 5%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133</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5% Notes Payable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5% Notes and accrued and unpaid interest thereon are convertible at the option of the holder into common stock at the conversion price of $1,125 per share. We have no obligation under the 5% Notes aside from (a) 50% of the net product cash flows from Ariston’s product candidates, if any, payable to noteholders; and (b) the conversion feature, discussed above. Interest accrues monthly, is added to principal on an annual basis, every March 8, and is payable at maturity, which was March 8, 2015 (see Note 4 for further details).</w:t>
      </w:r>
    </w:p>
    <w:p>
      <w:pPr>
        <w:spacing w:after="0" w:line="19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cumulative liability including accrued and unpaid interest of these notes was approximately $18.6 million at March 31, 2019 and $18.4 million at December 31, 2018. No payments have been made on the 5% Notes as of March 31, 2019.</w:t>
      </w:r>
    </w:p>
    <w:p>
      <w:pPr>
        <w:spacing w:after="0" w:line="186"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 December 2011, we elected the fair value option for valuing the 5% Notes. The fair value option was elected in order to reflect in our financial statements the assumptions that market participants use in evaluating these financial instruments (see Note 4 for further details).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Liabilities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2018, we entered into an agreement with a contract manufacturer for the clinical and potential commercial supply of one of our product candidates. As part of this agreement, the contract manufacturer has agreed to defer payment of certain costs and expenses under the agreement in exchange for the payment of an administrative fee. To date we have incurred expenses related to this agreement of approximately $18.6 million as of March 31, 2019 which includes both service fees and raw material costs. No payments have been made to the contract manufacturer as of March 31, 2019. Accordingly, as of March 31, 2019, $17.8 million is included in current liabilities and $0.8 million is included in accounts payable in the Company’s unaudited condensed consolidated balance sheet. As of December 31, 2018, $18.4 million is included in long term liabilities in the Company’s audited consolidated balance sheet. All costs incurred to date are due in the first quarter of 2020. We will incur an administrative fee of six percent (6%) per year starting from the date of invoice issuance. As of March 31, 2019 we have accrued $0.3 million in administrative fees in connection with these costs, which has been included in interest expense in the Company’s unaudited condensed consolidated statements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31" w:lineRule="exact"/>
        <w:rPr>
          <w:sz w:val="20"/>
          <w:szCs w:val="20"/>
          <w:color w:val="auto"/>
        </w:rPr>
      </w:pPr>
    </w:p>
    <w:p>
      <w:pPr>
        <w:jc w:val="both"/>
        <w:ind w:firstLine="783"/>
        <w:spacing w:after="0" w:line="254" w:lineRule="auto"/>
        <w:rPr>
          <w:sz w:val="20"/>
          <w:szCs w:val="20"/>
          <w:color w:val="auto"/>
        </w:rPr>
      </w:pPr>
      <w:r>
        <w:rPr>
          <w:rFonts w:ascii="Arial" w:cs="Arial" w:eastAsia="Arial" w:hAnsi="Arial"/>
          <w:sz w:val="18"/>
          <w:szCs w:val="18"/>
          <w:color w:val="auto"/>
        </w:rPr>
        <w:t>On February 28, 2019 (the “Closing Date”), the Company (“Borrower”) entered into a term loan facility of up to $60.0 million (“Term Loan”) with Hercules Capital, Inc., (“Hercules”), the proceeds of which will be used for its ongoing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Two additional advances of $10.0 million may be drawn at the Borrower’s option but subject to the clinical trial milestones, and the fourth advance of $10.0 million, available in minimum increments of $5.0 million, is available through December 15, 2020 subject to the approval of Hercules’ investment committee.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17" w:name="page18"/>
    <w:bookmarkEnd w:id="17"/>
    <w:p>
      <w:pPr>
        <w:jc w:val="both"/>
        <w:ind w:firstLine="648"/>
        <w:spacing w:after="0" w:line="286" w:lineRule="auto"/>
        <w:rPr>
          <w:sz w:val="20"/>
          <w:szCs w:val="20"/>
          <w:color w:val="auto"/>
        </w:rPr>
      </w:pPr>
      <w:r>
        <w:rPr>
          <w:rFonts w:ascii="Arial" w:cs="Arial" w:eastAsia="Arial" w:hAnsi="Arial"/>
          <w:sz w:val="16"/>
          <w:szCs w:val="16"/>
          <w:color w:val="auto"/>
        </w:rPr>
        <w:t>The Term Loan will mature on March 1, 2022 (the “Loan Maturity Date”). Each advance accrues interest at a per annum rate of interest equal to the greater of either (i) the “prime rate” as reported in The Wall Street Journal plus 4.75%, and (ii) 10.25%. The Term Loan provides for interest-only payments until October 1, 2020. The interest-only period may be extended to April 1, 2021 if the Borrower, on or before September 30, 2020, achieves either the third milestone or the Company has raised at least an amount equal to $150.0 million in unrestricted net cash proceeds from one or more equity financings, subordinated indebtedness and/or upfront proceeds from business development transactions permitted under the Loan Agreement, in each case after February 7, 2019, and prior to September 30, 2020. Thereafter, amortization payments will be payable monthly in eighteen installments (or, if the period requiring interest-only payments has been extended to April 1, 2021, in twelve installments) of principal and interest (subject to recalculation upon a change in prime rates). At its option upon seven business days’ prior written notice to Hercules, the Company may prepay all or any portion greater than or equal to $5.0 million of the outstanding advances by paying the entire principal balance (or portion thereof), all accrued and unpaid interest, subject to a prepayment charge of 3.0%, if such advance is prepaid in any of the first twelve months following the Closing Date, 1.5%, if such advance is prepaid after twelve months following the Closing Date but on or prior to twenty-four months following the Closing Date, and 0% thereafter. In addition, an end of term charge equal to 3.25% of the aggregate principal amount of the loan extended by Hercules is due on the maturity date. Amounts outstanding during an event of default shall be payable on demand and shall accrue interest at an additional rate of 4.0% per annum of the past due amount outstanding.</w:t>
      </w:r>
    </w:p>
    <w:p>
      <w:pPr>
        <w:spacing w:after="0" w:line="175"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The Term Loan is secured by a lien on substantially all of the assets of the Borrower, other than intellectual property and contains customary covenants and representations, including a liquidity covenant, financial reporting covenant and limitations on dividends, indebtedness, collateral, investments, distributions, transfers, mergers or acquisitions, taxes, corporate changes, deposit accounts, and subsidiaries.</w:t>
      </w:r>
    </w:p>
    <w:p>
      <w:pPr>
        <w:spacing w:after="0" w:line="16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events of default under the Loan Agreement include, without limitation, and subject to customary grace periods, (1) the Borrower’s failure to make any payments of principal or interest under the Loan Agreement, promissory notes or other loan documents, (2) the Borrower’s breach or default in the performance of any covenant under the Loan Agreement, (3) the occurrence of a material adverse effect, (4) the Borrower making a false or misleading representation or warranty in any material respect, (5) the Borrower’s insolvency or bankruptcy, (6) certain attachments or judgments on the Borrower’s assets, or</w:t>
      </w:r>
    </w:p>
    <w:p>
      <w:pPr>
        <w:spacing w:after="0" w:line="3" w:lineRule="exact"/>
        <w:rPr>
          <w:sz w:val="20"/>
          <w:szCs w:val="20"/>
          <w:color w:val="auto"/>
        </w:rPr>
      </w:pPr>
    </w:p>
    <w:p>
      <w:pPr>
        <w:ind w:firstLine="8"/>
        <w:spacing w:after="0" w:line="323" w:lineRule="auto"/>
        <w:tabs>
          <w:tab w:leader="none" w:pos="2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occurrence of any material default under certain agreements or obligations of the Borrower involving indebtedness in excess of $750,000. If an event of default occurs, Hercules is entitled to take enforcement action, including acceleration of amounts due under the Loan Agreement.</w:t>
      </w:r>
    </w:p>
    <w:p>
      <w:pPr>
        <w:spacing w:after="0" w:line="1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Loan Agreement also contains warrant coverage of 2% of the total amount funded. A warrant (the “Warrant”) was issued by Borrower to Hercules to purchase 147,058 shares of common stock with an exercise price of $4.08. The Warrant shall be exercisable for seven years from the date of issuance. Hercules may exercise the Warrant either by (a) cash or check or (b) through a net issuance conversion. The shares will be registered and freely tradeable within six months of issuance. The Company accounted for the Warrant as an equity instrument since it was indexed to the Company’s common shares and met the criteria for classification in shareholders’ equity. The relative fair value of the Warrant on the date of issuance was approximately $1.0 million and was treated as an offset to the Term Loan. This amount will be amortized to interest expense using the effective interest method over the life of the Term Loan. The Company estimated the fair value of the Warrant using the Black-Scholes model based on the following key assumptions: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4.08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Common share price on date of issuance</w:t>
            </w:r>
          </w:p>
        </w:tc>
        <w:tc>
          <w:tcPr>
            <w:tcW w:w="39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6.80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9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9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390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Arial" w:cs="Arial" w:eastAsia="Arial" w:hAnsi="Arial"/>
                <w:sz w:val="16"/>
                <w:szCs w:val="16"/>
                <w:color w:val="auto"/>
              </w:rPr>
              <w:t>7.00 years</w:t>
            </w:r>
          </w:p>
        </w:tc>
      </w:tr>
    </w:tbl>
    <w:p>
      <w:pPr>
        <w:spacing w:after="0" w:line="201"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The Company incurred financing expenses of $2.8 million related to the Hercules Loan Agreement which are recorded as an offset to long-term debt on the Company's condensed consolidated balance sheet. The debt issuance costs are being amortized over the term of the debt using the effective interest method and are included in interest expense in the Company’s unaudited condensed consolidated statements of operations. Amortization of debt issuance costs was $0.1 million and zero for the three months ended March 31, 2019. At March 31, 2019, the remaining unamortized balance of debt issuance costs were $2.7 million.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color w:val="auto"/>
        </w:rPr>
        <w:t>Long-term debt as of as of March 31, 2019, is as follows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83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b w:val="1"/>
                <w:bCs w:val="1"/>
                <w:color w:val="auto"/>
              </w:rPr>
              <w:t>March 31, 2019</w:t>
            </w:r>
          </w:p>
        </w:tc>
      </w:tr>
      <w:tr>
        <w:trPr>
          <w:trHeight w:val="216"/>
        </w:trPr>
        <w:tc>
          <w:tcPr>
            <w:tcW w:w="20" w:type="dxa"/>
            <w:vAlign w:val="bottom"/>
          </w:tcPr>
          <w:p>
            <w:pPr>
              <w:spacing w:after="0"/>
              <w:rPr>
                <w:sz w:val="18"/>
                <w:szCs w:val="18"/>
                <w:color w:val="auto"/>
              </w:rPr>
            </w:pPr>
          </w:p>
        </w:tc>
        <w:tc>
          <w:tcPr>
            <w:tcW w:w="8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Long-term debt</w:t>
            </w:r>
          </w:p>
        </w:tc>
        <w:tc>
          <w:tcPr>
            <w:tcW w:w="400" w:type="dxa"/>
            <w:vAlign w:val="bottom"/>
            <w:tcBorders>
              <w:top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520" w:type="dxa"/>
            <w:vAlign w:val="bottom"/>
            <w:tcBorders>
              <w:top w:val="single" w:sz="8" w:color="CCEEFF"/>
            </w:tcBorders>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term fee</w:t>
            </w:r>
          </w:p>
        </w:tc>
        <w:tc>
          <w:tcPr>
            <w:tcW w:w="400" w:type="dxa"/>
            <w:vAlign w:val="bottom"/>
            <w:tcBorders>
              <w:bottom w:val="single" w:sz="8" w:color="auto"/>
            </w:tcBorders>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52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30,975</w:t>
            </w:r>
          </w:p>
        </w:tc>
        <w:tc>
          <w:tcPr>
            <w:tcW w:w="5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issuance costs</w:t>
            </w:r>
          </w:p>
        </w:tc>
        <w:tc>
          <w:tcPr>
            <w:tcW w:w="40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(2,689)</w:t>
            </w:r>
          </w:p>
        </w:tc>
      </w:tr>
      <w:tr>
        <w:trPr>
          <w:trHeight w:val="216"/>
        </w:trPr>
        <w:tc>
          <w:tcPr>
            <w:tcW w:w="20" w:type="dxa"/>
            <w:vAlign w:val="bottom"/>
          </w:tcPr>
          <w:p>
            <w:pPr>
              <w:spacing w:after="0"/>
              <w:rPr>
                <w:sz w:val="18"/>
                <w:szCs w:val="18"/>
                <w:color w:val="auto"/>
              </w:rPr>
            </w:pPr>
          </w:p>
        </w:tc>
        <w:tc>
          <w:tcPr>
            <w:tcW w:w="83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28,286</w:t>
            </w:r>
          </w:p>
        </w:tc>
        <w:tc>
          <w:tcPr>
            <w:tcW w:w="520" w:type="dxa"/>
            <w:vAlign w:val="bottom"/>
            <w:tcBorders>
              <w:top w:val="single" w:sz="8" w:color="CCEEFF"/>
            </w:tcBorders>
          </w:tcPr>
          <w:p>
            <w:pPr>
              <w:spacing w:after="0"/>
              <w:rPr>
                <w:sz w:val="18"/>
                <w:szCs w:val="18"/>
                <w:color w:val="auto"/>
              </w:rPr>
            </w:pPr>
          </w:p>
        </w:tc>
      </w:tr>
      <w:tr>
        <w:trPr>
          <w:trHeight w:val="277"/>
        </w:trPr>
        <w:tc>
          <w:tcPr>
            <w:tcW w:w="20" w:type="dxa"/>
            <w:vAlign w:val="bottom"/>
          </w:tcPr>
          <w:p>
            <w:pPr>
              <w:spacing w:after="0"/>
              <w:rPr>
                <w:sz w:val="24"/>
                <w:szCs w:val="24"/>
                <w:color w:val="auto"/>
              </w:rPr>
            </w:pPr>
          </w:p>
        </w:tc>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00" w:type="dxa"/>
            <w:vAlign w:val="bottom"/>
            <w:tcBorders>
              <w:bottom w:val="single" w:sz="8" w:color="auto"/>
            </w:tcBorders>
            <w:shd w:val="clear" w:color="auto" w:fill="CCEEFF"/>
          </w:tcPr>
          <w:p>
            <w:pPr>
              <w:spacing w:after="0"/>
              <w:rPr>
                <w:sz w:val="24"/>
                <w:szCs w:val="24"/>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Long-term debt– non-current</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28,286</w:t>
            </w:r>
          </w:p>
        </w:tc>
        <w:tc>
          <w:tcPr>
            <w:tcW w:w="5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LEASES</w:t>
      </w:r>
    </w:p>
    <w:p>
      <w:pPr>
        <w:spacing w:after="0" w:line="2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three months ended March 31, 2019, we recognized a lease liability of $9.4 million, with a corresponding Right of Use (ROU) asset of $7.9 million based on the present value of the remaining lease payments for all of our leased office spaces, the majority of which is comprised of our New York City office space. Our leases have remaining lease terms of 1 year to 12 years. One lease has a renewal option to extend the lease for an additional term of 2 years.</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an initial commitment period of the 45% rate for a period of three (3) years, we and FBIO will determine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components of lease expense are included in the Company's consolidated statements of operations for the three months ended March 31,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 thousands)</w:t>
            </w:r>
          </w:p>
        </w:tc>
        <w:tc>
          <w:tcPr>
            <w:tcW w:w="39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96"/>
              </w:rPr>
              <w:t>March 31, 2019</w:t>
            </w:r>
          </w:p>
        </w:tc>
        <w:tc>
          <w:tcPr>
            <w:tcW w:w="340" w:type="dxa"/>
            <w:vAlign w:val="bottom"/>
            <w:tcBorders>
              <w:bottom w:val="single" w:sz="8" w:color="CCEEFF"/>
            </w:tcBorders>
            <w:shd w:val="clear" w:color="auto" w:fill="CCEEFF"/>
          </w:tcPr>
          <w:p>
            <w:pPr>
              <w:spacing w:after="0"/>
              <w:rPr>
                <w:sz w:val="19"/>
                <w:szCs w:val="19"/>
                <w:color w:val="auto"/>
              </w:rPr>
            </w:pPr>
          </w:p>
        </w:tc>
      </w:tr>
      <w:tr>
        <w:trPr>
          <w:trHeight w:val="223"/>
        </w:trPr>
        <w:tc>
          <w:tcPr>
            <w:tcW w:w="5420" w:type="dxa"/>
            <w:vAlign w:val="bottom"/>
          </w:tcPr>
          <w:p>
            <w:pPr>
              <w:ind w:left="60"/>
              <w:spacing w:after="0"/>
              <w:rPr>
                <w:sz w:val="20"/>
                <w:szCs w:val="20"/>
                <w:color w:val="auto"/>
              </w:rPr>
            </w:pPr>
            <w:r>
              <w:rPr>
                <w:rFonts w:ascii="Arial" w:cs="Arial" w:eastAsia="Arial" w:hAnsi="Arial"/>
                <w:sz w:val="18"/>
                <w:szCs w:val="18"/>
                <w:color w:val="auto"/>
              </w:rPr>
              <w:t>Operating lease cost</w:t>
            </w:r>
          </w:p>
        </w:tc>
        <w:tc>
          <w:tcPr>
            <w:tcW w:w="39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340" w:type="dxa"/>
            <w:vAlign w:val="bottom"/>
          </w:tcPr>
          <w:p>
            <w:pPr>
              <w:spacing w:after="0"/>
              <w:rPr>
                <w:sz w:val="19"/>
                <w:szCs w:val="19"/>
                <w:color w:val="auto"/>
              </w:rPr>
            </w:pPr>
          </w:p>
        </w:tc>
      </w:tr>
      <w:tr>
        <w:trPr>
          <w:trHeight w:val="257"/>
        </w:trPr>
        <w:tc>
          <w:tcPr>
            <w:tcW w:w="54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lease cost</w:t>
            </w:r>
          </w:p>
        </w:tc>
        <w:tc>
          <w:tcPr>
            <w:tcW w:w="3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3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As of March 31, 2019, the weighted-average remaining operating lease term was 9.75 years and the weighted-average discount rate for operating leases was 10.25%. Cash paid for amounts included in the measurement of operating lease liabilities in the first quarter of fiscal 2019 was $0.3 million.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360" w:type="dxa"/>
            <w:vAlign w:val="bottom"/>
          </w:tcPr>
          <w:p>
            <w:pPr>
              <w:ind w:left="660"/>
              <w:spacing w:after="0"/>
              <w:rPr>
                <w:sz w:val="20"/>
                <w:szCs w:val="20"/>
                <w:color w:val="auto"/>
              </w:rPr>
            </w:pPr>
            <w:r>
              <w:rPr>
                <w:rFonts w:ascii="Arial" w:cs="Arial" w:eastAsia="Arial" w:hAnsi="Arial"/>
                <w:sz w:val="18"/>
                <w:szCs w:val="18"/>
                <w:color w:val="auto"/>
              </w:rPr>
              <w:t>The balance sheet classification of lease liabilities was as follows: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68"/>
        </w:trPr>
        <w:tc>
          <w:tcPr>
            <w:tcW w:w="936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24"/>
                <w:szCs w:val="24"/>
                <w:color w:val="auto"/>
              </w:rPr>
            </w:pPr>
          </w:p>
        </w:tc>
        <w:tc>
          <w:tcPr>
            <w:tcW w:w="188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2019</w:t>
            </w:r>
          </w:p>
        </w:tc>
      </w:tr>
      <w:tr>
        <w:trPr>
          <w:trHeight w:val="243"/>
        </w:trPr>
        <w:tc>
          <w:tcPr>
            <w:tcW w:w="9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r>
      <w:tr>
        <w:trPr>
          <w:trHeight w:val="216"/>
        </w:trPr>
        <w:tc>
          <w:tcPr>
            <w:tcW w:w="9360" w:type="dxa"/>
            <w:vAlign w:val="bottom"/>
          </w:tcPr>
          <w:p>
            <w:pPr>
              <w:spacing w:after="0"/>
              <w:rPr>
                <w:sz w:val="20"/>
                <w:szCs w:val="20"/>
                <w:color w:val="auto"/>
              </w:rPr>
            </w:pPr>
            <w:r>
              <w:rPr>
                <w:rFonts w:ascii="Arial" w:cs="Arial" w:eastAsia="Arial" w:hAnsi="Arial"/>
                <w:sz w:val="18"/>
                <w:szCs w:val="18"/>
                <w:color w:val="auto"/>
              </w:rPr>
              <w:t>Lease liability – current portion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1,261</w:t>
            </w:r>
          </w:p>
        </w:tc>
        <w:tc>
          <w:tcPr>
            <w:tcW w:w="340" w:type="dxa"/>
            <w:vAlign w:val="bottom"/>
          </w:tcPr>
          <w:p>
            <w:pPr>
              <w:spacing w:after="0"/>
              <w:rPr>
                <w:sz w:val="18"/>
                <w:szCs w:val="18"/>
                <w:color w:val="auto"/>
              </w:rPr>
            </w:pPr>
          </w:p>
        </w:tc>
      </w:tr>
      <w:tr>
        <w:trPr>
          <w:trHeight w:val="223"/>
        </w:trPr>
        <w:tc>
          <w:tcPr>
            <w:tcW w:w="9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liability – non-current</w:t>
            </w:r>
          </w:p>
        </w:tc>
        <w:tc>
          <w:tcPr>
            <w:tcW w:w="1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340" w:type="dxa"/>
            <w:vAlign w:val="bottom"/>
            <w:tcBorders>
              <w:bottom w:val="single" w:sz="8" w:color="CCEEFF"/>
            </w:tcBorders>
            <w:shd w:val="clear" w:color="auto" w:fill="CCEEFF"/>
          </w:tcPr>
          <w:p>
            <w:pPr>
              <w:spacing w:after="0"/>
              <w:rPr>
                <w:sz w:val="19"/>
                <w:szCs w:val="19"/>
                <w:color w:val="auto"/>
              </w:rPr>
            </w:pPr>
          </w:p>
        </w:tc>
      </w:tr>
      <w:tr>
        <w:trPr>
          <w:trHeight w:val="216"/>
        </w:trPr>
        <w:tc>
          <w:tcPr>
            <w:tcW w:w="9360" w:type="dxa"/>
            <w:vAlign w:val="bottom"/>
          </w:tcPr>
          <w:p>
            <w:pPr>
              <w:ind w:left="660"/>
              <w:spacing w:after="0"/>
              <w:rPr>
                <w:sz w:val="20"/>
                <w:szCs w:val="20"/>
                <w:color w:val="auto"/>
              </w:rPr>
            </w:pPr>
            <w:r>
              <w:rPr>
                <w:rFonts w:ascii="Arial" w:cs="Arial" w:eastAsia="Arial" w:hAnsi="Arial"/>
                <w:sz w:val="18"/>
                <w:szCs w:val="18"/>
                <w:color w:val="auto"/>
              </w:rPr>
              <w:t>Total lease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9,443</w:t>
            </w:r>
          </w:p>
        </w:tc>
        <w:tc>
          <w:tcPr>
            <w:tcW w:w="340" w:type="dxa"/>
            <w:vAlign w:val="bottom"/>
          </w:tcPr>
          <w:p>
            <w:pPr>
              <w:spacing w:after="0"/>
              <w:rPr>
                <w:sz w:val="18"/>
                <w:szCs w:val="18"/>
                <w:color w:val="auto"/>
              </w:rPr>
            </w:pPr>
          </w:p>
        </w:tc>
      </w:tr>
      <w:tr>
        <w:trPr>
          <w:trHeight w:val="21"/>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520" w:type="dxa"/>
            <w:vAlign w:val="bottom"/>
          </w:tcPr>
          <w:p>
            <w:pPr>
              <w:ind w:left="640"/>
              <w:spacing w:after="0"/>
              <w:rPr>
                <w:sz w:val="20"/>
                <w:szCs w:val="20"/>
                <w:color w:val="auto"/>
              </w:rPr>
            </w:pPr>
            <w:r>
              <w:rPr>
                <w:rFonts w:ascii="Arial" w:cs="Arial" w:eastAsia="Arial" w:hAnsi="Arial"/>
                <w:sz w:val="18"/>
                <w:szCs w:val="18"/>
                <w:color w:val="auto"/>
              </w:rPr>
              <w:t>As of March 31, 2019, the maturities of lease liabilities were as follows:</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68"/>
        </w:trPr>
        <w:tc>
          <w:tcPr>
            <w:tcW w:w="7540" w:type="dxa"/>
            <w:vAlign w:val="bottom"/>
            <w:gridSpan w:val="2"/>
          </w:tcPr>
          <w:p>
            <w:pPr>
              <w:spacing w:after="0"/>
              <w:rPr>
                <w:sz w:val="20"/>
                <w:szCs w:val="20"/>
                <w:color w:val="auto"/>
              </w:rPr>
            </w:pPr>
            <w:r>
              <w:rPr>
                <w:rFonts w:ascii="Arial" w:cs="Arial" w:eastAsia="Arial" w:hAnsi="Arial"/>
                <w:sz w:val="18"/>
                <w:szCs w:val="18"/>
                <w:color w:val="auto"/>
              </w:rPr>
              <w:t>(in thousands)</w:t>
            </w:r>
          </w:p>
        </w:tc>
        <w:tc>
          <w:tcPr>
            <w:tcW w:w="1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9"/>
              </w:rPr>
              <w:t>Operating leases</w:t>
            </w:r>
          </w:p>
        </w:tc>
        <w:tc>
          <w:tcPr>
            <w:tcW w:w="3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2020</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1,348</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3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2022</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1,376</w:t>
            </w:r>
          </w:p>
        </w:tc>
        <w:tc>
          <w:tcPr>
            <w:tcW w:w="3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3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After 2023</w:t>
            </w: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3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16,748</w:t>
            </w:r>
          </w:p>
        </w:tc>
        <w:tc>
          <w:tcPr>
            <w:tcW w:w="3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Less: Interest</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(7,305)</w:t>
            </w:r>
          </w:p>
        </w:tc>
      </w:tr>
      <w:tr>
        <w:trPr>
          <w:trHeight w:val="257"/>
        </w:trPr>
        <w:tc>
          <w:tcPr>
            <w:tcW w:w="20" w:type="dxa"/>
            <w:vAlign w:val="bottom"/>
          </w:tcPr>
          <w:p>
            <w:pPr>
              <w:spacing w:after="0"/>
              <w:rPr>
                <w:sz w:val="22"/>
                <w:szCs w:val="22"/>
                <w:color w:val="auto"/>
              </w:rPr>
            </w:pPr>
          </w:p>
        </w:tc>
        <w:tc>
          <w:tcPr>
            <w:tcW w:w="7520" w:type="dxa"/>
            <w:vAlign w:val="bottom"/>
            <w:tcBorders>
              <w:bottom w:val="single" w:sz="8" w:color="CCEEFF"/>
            </w:tcBorders>
            <w:shd w:val="clear" w:color="auto" w:fill="CCEEFF"/>
          </w:tcPr>
          <w:p>
            <w:pPr>
              <w:spacing w:after="0" w:line="216"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4"/>
                <w:szCs w:val="24"/>
                <w:color w:val="auto"/>
                <w:vertAlign w:val="superscript"/>
              </w:rPr>
              <w:t>(*)</w:t>
            </w:r>
          </w:p>
        </w:tc>
        <w:tc>
          <w:tcPr>
            <w:tcW w:w="1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w:t>
            </w:r>
          </w:p>
        </w:tc>
        <w:tc>
          <w:tcPr>
            <w:tcW w:w="340" w:type="dxa"/>
            <w:vAlign w:val="bottom"/>
            <w:tcBorders>
              <w:bottom w:val="single" w:sz="8" w:color="CCEEFF"/>
            </w:tcBorders>
            <w:shd w:val="clear" w:color="auto" w:fill="CCEEFF"/>
          </w:tcPr>
          <w:p>
            <w:pPr>
              <w:spacing w:after="0"/>
              <w:rPr>
                <w:sz w:val="22"/>
                <w:szCs w:val="22"/>
                <w:color w:val="auto"/>
              </w:rPr>
            </w:pPr>
          </w:p>
        </w:tc>
      </w:tr>
    </w:tbl>
    <w:p>
      <w:pPr>
        <w:spacing w:after="0" w:line="208" w:lineRule="exact"/>
        <w:rPr>
          <w:sz w:val="20"/>
          <w:szCs w:val="20"/>
          <w:color w:val="auto"/>
        </w:rPr>
      </w:pPr>
    </w:p>
    <w:p>
      <w:pPr>
        <w:jc w:val="both"/>
        <w:ind w:firstLine="8"/>
        <w:spacing w:after="0" w:line="259" w:lineRule="auto"/>
        <w:tabs>
          <w:tab w:leader="none" w:pos="276"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LICENSE AGREEMENTS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w:t>
      </w:r>
    </w:p>
    <w:p>
      <w:pPr>
        <w:spacing w:after="0" w:line="19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March 31, 2019 and 2018, and, at March 31, 2019 and December 31, 2018, have deferred revenue of approximately $1.0 million, and $1.1 million, respectively, associated with this $2 million payment (approximately $152,000 of which has been classified in current liabilities at March 31, 2019 and December 31, 2018).</w:t>
      </w:r>
    </w:p>
    <w:p>
      <w:pPr>
        <w:spacing w:after="0" w:line="17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TG-1701: BTK</w:t>
      </w:r>
    </w:p>
    <w:p>
      <w:pPr>
        <w:spacing w:after="0" w:line="225" w:lineRule="exact"/>
        <w:rPr>
          <w:sz w:val="20"/>
          <w:szCs w:val="20"/>
          <w:color w:val="auto"/>
        </w:rPr>
      </w:pPr>
    </w:p>
    <w:p>
      <w:pPr>
        <w:jc w:val="both"/>
        <w:ind w:firstLine="572"/>
        <w:spacing w:after="0" w:line="289"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Jiangsu an upfront fee of $1.0 million in our common stock recorded to non-cash stock expense associated with in-licensing agreements in our consolidated statement of operations. Jiangsu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225" w:lineRule="exact"/>
        <w:rPr>
          <w:sz w:val="20"/>
          <w:szCs w:val="20"/>
          <w:color w:val="auto"/>
        </w:rPr>
      </w:pPr>
    </w:p>
    <w:p>
      <w:pPr>
        <w:jc w:val="both"/>
        <w:ind w:firstLine="630"/>
        <w:spacing w:after="0" w:line="287" w:lineRule="auto"/>
        <w:rPr>
          <w:sz w:val="20"/>
          <w:szCs w:val="20"/>
          <w:color w:val="auto"/>
        </w:rPr>
      </w:pPr>
      <w:r>
        <w:rPr>
          <w:rFonts w:ascii="Arial" w:cs="Arial" w:eastAsia="Arial" w:hAnsi="Arial"/>
          <w:sz w:val="16"/>
          <w:szCs w:val="16"/>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RELATED PARTY TRANSACTIONS</w:t>
      </w:r>
    </w:p>
    <w:p>
      <w:pPr>
        <w:spacing w:after="0" w:line="2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October 2014, we entered into an agreement (the “Office Agreement”) with Fortress Biotech, Inc. (“FBIO”) to occupy approximately 45% of the 24,000 square feet of New York City office space leased by FBIO, which is now our corporate headquarters. The Office Agreement requires us to pay our respective share of the average annual rent and other costs of the 15-year lease. We approximate an average annual rental obligation of $1.1 million under the Office Agreement. We began to occupy this new space in April 2016, with rental payments beginning in the third quarter of 2016. During the three months ended March 31, 2019, we recognized a lease liability of $9.4 million, with a corresponding Right of Use (ROU) asset of $7.9 million based on the present value of the remaining lease payments for all of our leased office spaces, the majority of which is comprised of our New York City office space. Mr. Weiss, our Executive Chairman and CEO, is also Executive Vice Chairman of FBIO.</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Under the Office Agreement, we agreed to pay FBIO our portion of the build out costs, which have been allocated to us at the 45% rate mentioned above. The allocated build-out costs have been recorded in Leasehold Interest, net on the Company’s consolidated balance sheets and will be amortized over the 15-year term of the Office Agreement. After an initial commitment period of the 45% rate for a period of three (3) years, we and FBIO will determine actual office space utilization annually and if our utilization differs from the amount we have been billed, we will either receive credits or be assessed incremental utilization charges. Also in connection with this lease, in October 2014 we pledged $0.6 million to secure a line of credit as a security deposit for the Office Agreement, which has been recorded as restricted cash in the accompanying consolidated balance sheets. Additional collateral of $0.6 million was pledged in April 2018 to increase the letter of credit for the office space.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1" w:name="page22"/>
    <w:bookmarkEnd w:id="21"/>
    <w:p>
      <w:pPr>
        <w:jc w:val="both"/>
        <w:ind w:firstLine="648"/>
        <w:spacing w:after="0" w:line="298" w:lineRule="auto"/>
        <w:rPr>
          <w:sz w:val="20"/>
          <w:szCs w:val="20"/>
          <w:color w:val="auto"/>
        </w:rPr>
      </w:pPr>
      <w:r>
        <w:rPr>
          <w:rFonts w:ascii="Arial" w:cs="Arial" w:eastAsia="Arial" w:hAnsi="Arial"/>
          <w:sz w:val="16"/>
          <w:szCs w:val="16"/>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$0.2 million and $0.4 million for shared services for the three months ended March 31, 2019 and 2018, respectively, primarily related to shared personnel.</w:t>
      </w:r>
    </w:p>
    <w:p>
      <w:pPr>
        <w:spacing w:after="0" w:line="16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In March 2015, we entered into a Global Collaboration Agreement (“Collaboration Agreement”) with Checkpoint for the development and commercialization of anti-PD-L1 and anti-GITR antibody research programs in the field of hematological malignancies. We incurred expenses of approximately $0.3 million and zero for the three months ended March 31, 2019 and 2018, related mainly to manufacturing costs of PD-L1. The relevant expenses are recorded in other research and development in the accompanying condensed consolidated statement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LITIGATION</w:t>
      </w:r>
    </w:p>
    <w:p>
      <w:pPr>
        <w:spacing w:after="0" w:line="23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October 2018, a purported securities class action complaint was filed in the U.S. District Court for the Southern District of New York (the “Southern District”) against the Company and one of its officers on behalf of all shareholders who purchased or otherwise acquired TG Therapeutics common stock between June 4, 2018 and September 25, 2018 (the “Class Period”). The case was captioned Randall Reinmann v. TG Therapeutics Inc., and Michael S. Weiss, Case No. 1:18-cv-09104-KPF. The complaint alleged that, throughout the Class Period, the Company made false and/or misleading statements and/or failed to disclose various facts and circumstances regarding its UNITY-CLL study allegedly in violation of the Securities Exchange Act of 1934 and Rule 10b-5 promulgated thereunder. In December 2018, the Southern District appointed Co-Lead Plaintiffs to represent the putative class, and approved their selection of Lead Counsel. On March 1, 2019, Co-Lead Plaintiffs filed a notice with the Southern District seeking to voluntarily dismiss the action in its entirety without prejudice, which was so-ordered by the Southern District the same day.</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on December 18, 2018, a related shareholder derivative litigation was filed in the Southern District against the Company’s directors and one of its officers in litigation captioned Thessalus Capital v. Weiss, et al., 1:18-cv-11918-KPF. The Company was named only as a nominal defendant. The suit alleged that the officer and directors breached their fiduciary duties to the Company, wasted corporate assets, and violated the Securities Exchange Act of 1934 and Rule 10b-5 promulgated thereunder in connection with the Company’s alleged failure to disclose various facts and circumstances regarding its UNITY-CLL study. The plaintiff asserted that the alleged disclosure violations concerning the Company’s UNITY-CLL study caused the Company to incur losses, including defense costs, and further alleged that the named officer and directors received excessive compensation. On April 17, 2019, the plaintiff filed a notice with the Southern District seeking to voluntarily dismiss the action in its entirety without prejudice, which was so-ordered by the Southern District on April 18,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 biopharmaceutical company dedicated to developing and delivering medicines for patients with B-cell mediated diseases, including Chronic Lymphocytic Leukemia (CLL), non-Hodgkin Lymphoma (NHL) and Multiple Sclerosis (MS). We have developed a robust B-cell directed research and development (R&amp;D) platform for identification of key B-cell pathways of interest and rapid clinical testing. Currently, we have five B-cell targeted drug candidates in clinical development, with the lead two therapies, ublituximab (TG-1101) and umbralisib (TGR-1202), in pivotal trials for CLL and NHL, with ublituximab also in pivotal trials for MS. Ublituximab is a novel anti-CD20 monoclonal antibody (mAb) that has been glycoengineered for enhanced potency over first generation antibodies. Umbralisib is an oral, once daily inhibitor of PI3K delta. Umbralisib also uniquely inhibits CK1-epsilon, which may allow it to overcome certain tolerability issues associated with first generation PI3K delta inhibitors. When used together in combination therapy, ublituximab and umbralisib are referred to as "U2". Additionally, we have recently brought into Phase 1 clinical development TG-1501, an anti-PD-L1 monoclonal antibody, TG-1701, a covalently-bound Bruton’s Tyrosine Kinase (BTK) inhibitor, and TG-1801, an anti-CD47/CD19 bispecific antibody.</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actively evaluate complementary products, technologies and companies for in-licensing, partnership, acquisition and/or investment opportunities. To date, we have not received approval for the sale of any of our drug candidates in any market and, therefore, have not generated any product sales from our drug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UNDER DEVELOPMENT</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have leveraged our B-cell platform to develop a robust drug pipeline of both targeted orally available, potent and selective small molecule kinase inhibitors and intravenously delivered “off-the-shelf” immunotherapies that leverage the patient’s own immune system to fight cancer. We currently own worldwide development and commercial rights, subject to certain limited geographical restrictions, to all of our pre-clinical and clinical programs. The following table summarizes our most advanced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4846320</wp:posOffset>
            </wp:positionH>
            <wp:positionV relativeFrom="paragraph">
              <wp:posOffset>118110</wp:posOffset>
            </wp:positionV>
            <wp:extent cx="241808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18080" cy="325755"/>
                    </a:xfrm>
                    <a:prstGeom prst="rect">
                      <a:avLst/>
                    </a:prstGeom>
                    <a:noFill/>
                  </pic:spPr>
                </pic:pic>
              </a:graphicData>
            </a:graphic>
          </wp:anchor>
        </w:drawing>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80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3740" w:type="dxa"/>
            <w:vAlign w:val="bottom"/>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7"/>
        </w:trPr>
        <w:tc>
          <w:tcPr>
            <w:tcW w:w="38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(molecular target)</w:t>
            </w:r>
          </w:p>
        </w:tc>
        <w:tc>
          <w:tcPr>
            <w:tcW w:w="38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b w:val="1"/>
                <w:bCs w:val="1"/>
                <w:color w:val="auto"/>
              </w:rPr>
              <w:t>(pivotal study)</w:t>
            </w:r>
          </w:p>
        </w:tc>
      </w:tr>
      <w:tr>
        <w:trPr>
          <w:trHeight w:val="223"/>
        </w:trPr>
        <w:tc>
          <w:tcPr>
            <w:tcW w:w="3800" w:type="dxa"/>
            <w:vAlign w:val="bottom"/>
            <w:tcBorders>
              <w:top w:val="single" w:sz="8" w:color="auto"/>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Ublituximab/TG-1101(anti-CD20/mAb)</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Lymphocytic Leukemia</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(UNITY-CLL)</w:t>
            </w:r>
          </w:p>
        </w:tc>
      </w:tr>
      <w:tr>
        <w:trPr>
          <w:trHeight w:val="223"/>
        </w:trPr>
        <w:tc>
          <w:tcPr>
            <w:tcW w:w="680" w:type="dxa"/>
            <w:vAlign w:val="bottom"/>
            <w:tcBorders>
              <w:left w:val="single" w:sz="8" w:color="auto"/>
            </w:tcBorders>
          </w:tcPr>
          <w:p>
            <w:pPr>
              <w:spacing w:after="0"/>
              <w:rPr>
                <w:sz w:val="19"/>
                <w:szCs w:val="19"/>
                <w:color w:val="auto"/>
              </w:rPr>
            </w:pPr>
          </w:p>
        </w:tc>
        <w:tc>
          <w:tcPr>
            <w:tcW w:w="3120" w:type="dxa"/>
            <w:vAlign w:val="bottom"/>
            <w:tcBorders>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Relapsing Multiple Sclerosis</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trials (ULTIMATE I and II)</w:t>
            </w: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spacing w:after="0"/>
              <w:rPr>
                <w:sz w:val="19"/>
                <w:szCs w:val="19"/>
                <w:color w:val="auto"/>
              </w:rPr>
            </w:pPr>
          </w:p>
        </w:tc>
        <w:tc>
          <w:tcPr>
            <w:tcW w:w="3740" w:type="dxa"/>
            <w:vAlign w:val="bottom"/>
            <w:tcBorders>
              <w:bottom w:val="single" w:sz="8" w:color="auto"/>
              <w:right w:val="single" w:sz="8" w:color="auto"/>
            </w:tcBorders>
          </w:tcPr>
          <w:p>
            <w:pPr>
              <w:spacing w:after="0"/>
              <w:rPr>
                <w:sz w:val="19"/>
                <w:szCs w:val="19"/>
                <w:color w:val="auto"/>
              </w:rPr>
            </w:pPr>
          </w:p>
        </w:tc>
      </w:tr>
      <w:tr>
        <w:trPr>
          <w:trHeight w:val="223"/>
        </w:trPr>
        <w:tc>
          <w:tcPr>
            <w:tcW w:w="38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Umbralisib/TGR-1202 (PI3K delta inhibitor)</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Chronic Lymphocytic Leukemia</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3 trial (UNITY-CLL)</w:t>
            </w:r>
          </w:p>
        </w:tc>
      </w:tr>
      <w:tr>
        <w:trPr>
          <w:trHeight w:val="223"/>
        </w:trPr>
        <w:tc>
          <w:tcPr>
            <w:tcW w:w="680" w:type="dxa"/>
            <w:vAlign w:val="bottom"/>
            <w:tcBorders>
              <w:left w:val="single" w:sz="8" w:color="auto"/>
            </w:tcBorders>
          </w:tcPr>
          <w:p>
            <w:pPr>
              <w:spacing w:after="0"/>
              <w:rPr>
                <w:sz w:val="19"/>
                <w:szCs w:val="19"/>
                <w:color w:val="auto"/>
              </w:rPr>
            </w:pPr>
          </w:p>
        </w:tc>
        <w:tc>
          <w:tcPr>
            <w:tcW w:w="3120" w:type="dxa"/>
            <w:vAlign w:val="bottom"/>
            <w:tcBorders>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Marginal Zone Lymphoma</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23"/>
        </w:trPr>
        <w:tc>
          <w:tcPr>
            <w:tcW w:w="680" w:type="dxa"/>
            <w:vAlign w:val="bottom"/>
            <w:tcBorders>
              <w:left w:val="single" w:sz="8" w:color="auto"/>
              <w:bottom w:val="single" w:sz="8" w:color="auto"/>
            </w:tcBorders>
          </w:tcPr>
          <w:p>
            <w:pPr>
              <w:spacing w:after="0"/>
              <w:rPr>
                <w:sz w:val="19"/>
                <w:szCs w:val="19"/>
                <w:color w:val="auto"/>
              </w:rPr>
            </w:pPr>
          </w:p>
        </w:tc>
        <w:tc>
          <w:tcPr>
            <w:tcW w:w="3120" w:type="dxa"/>
            <w:vAlign w:val="bottom"/>
            <w:tcBorders>
              <w:bottom w:val="single" w:sz="8" w:color="auto"/>
              <w:right w:val="single" w:sz="8" w:color="auto"/>
            </w:tcBorders>
          </w:tcPr>
          <w:p>
            <w:pPr>
              <w:spacing w:after="0"/>
              <w:rPr>
                <w:sz w:val="19"/>
                <w:szCs w:val="19"/>
                <w:color w:val="auto"/>
              </w:rPr>
            </w:pP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Follicular Lymphoma</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223"/>
        </w:trPr>
        <w:tc>
          <w:tcPr>
            <w:tcW w:w="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0"/>
              </w:rPr>
              <w:t>TG-1501</w:t>
            </w:r>
          </w:p>
        </w:tc>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(anti-PDL1)</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22"/>
        </w:trPr>
        <w:tc>
          <w:tcPr>
            <w:tcW w:w="68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90"/>
              </w:rPr>
              <w:t>TG-1701</w:t>
            </w: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(BTK inhibitor)</w:t>
            </w:r>
          </w:p>
        </w:tc>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217"/>
        </w:trPr>
        <w:tc>
          <w:tcPr>
            <w:tcW w:w="680" w:type="dxa"/>
            <w:vAlign w:val="bottom"/>
            <w:tcBorders>
              <w:left w:val="single" w:sz="8" w:color="auto"/>
              <w:bottom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38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r>
        <w:trPr>
          <w:trHeight w:val="223"/>
        </w:trPr>
        <w:tc>
          <w:tcPr>
            <w:tcW w:w="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0"/>
              </w:rPr>
              <w:t>TG-1801</w:t>
            </w:r>
          </w:p>
        </w:tc>
        <w:tc>
          <w:tcPr>
            <w:tcW w:w="31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(anti-CD47/CD19)</w:t>
            </w:r>
          </w:p>
        </w:tc>
        <w:tc>
          <w:tcPr>
            <w:tcW w:w="3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593"/>
        </w:trPr>
        <w:tc>
          <w:tcPr>
            <w:tcW w:w="6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1792"/>
              <w:spacing w:after="0"/>
              <w:rPr>
                <w:sz w:val="20"/>
                <w:szCs w:val="20"/>
                <w:color w:val="auto"/>
              </w:rPr>
            </w:pPr>
            <w:r>
              <w:rPr>
                <w:rFonts w:ascii="Arial" w:cs="Arial" w:eastAsia="Arial" w:hAnsi="Arial"/>
                <w:sz w:val="18"/>
                <w:szCs w:val="18"/>
                <w:color w:val="auto"/>
              </w:rPr>
              <w:t>23</w:t>
            </w: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30" w:right="23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b w:val="1"/>
          <w:bCs w:val="1"/>
          <w:color w:val="auto"/>
        </w:rPr>
        <w:t>Phase 3 and Registration-Directed Clinical Trial Highlights</w:t>
      </w:r>
    </w:p>
    <w:p>
      <w:pPr>
        <w:spacing w:after="0" w:line="231" w:lineRule="exact"/>
        <w:rPr>
          <w:sz w:val="20"/>
          <w:szCs w:val="20"/>
          <w:color w:val="auto"/>
        </w:rPr>
      </w:pPr>
    </w:p>
    <w:p>
      <w:pPr>
        <w:ind w:right="60" w:firstLine="648"/>
        <w:spacing w:after="0" w:line="370" w:lineRule="auto"/>
        <w:rPr>
          <w:sz w:val="20"/>
          <w:szCs w:val="20"/>
          <w:color w:val="auto"/>
        </w:rPr>
      </w:pPr>
      <w:r>
        <w:rPr>
          <w:rFonts w:ascii="Arial" w:cs="Arial" w:eastAsia="Arial" w:hAnsi="Arial"/>
          <w:sz w:val="15"/>
          <w:szCs w:val="15"/>
          <w:color w:val="auto"/>
        </w:rPr>
        <w:t>The company has initiated and enrolled several Phase 3 and registration-directed Phase 2b clinical trials (i.e., clinical trials that may support a marketing application for approval). The following are the current Phase 3 trials and registration-directed Phase 2b clinical trials in the order of expected top-line data:</w:t>
      </w:r>
    </w:p>
    <w:p>
      <w:pPr>
        <w:spacing w:after="0" w:line="110" w:lineRule="exact"/>
        <w:rPr>
          <w:sz w:val="20"/>
          <w:szCs w:val="20"/>
          <w:color w:val="auto"/>
        </w:rPr>
      </w:pPr>
    </w:p>
    <w:p>
      <w:pPr>
        <w:jc w:val="both"/>
        <w:ind w:left="540" w:hanging="206"/>
        <w:spacing w:after="0" w:line="256"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UNITY-NHL Phase 2b Trial – Marginal Zone Lymphoma (MZL) and Follicular Lymphoma (FL)/ Small Lymphocytic Lymphoma (SLL) Cohorts (Umbralisib Monotherapy): </w:t>
      </w:r>
      <w:r>
        <w:rPr>
          <w:rFonts w:ascii="Arial" w:cs="Arial" w:eastAsia="Arial" w:hAnsi="Arial"/>
          <w:sz w:val="18"/>
          <w:szCs w:val="18"/>
          <w:color w:val="auto"/>
        </w:rPr>
        <w:t>UNITY-NHL is a broad Phase 2b registration-directed clinical trial designed to evaluate the efficacy and safety of</w:t>
      </w:r>
      <w:r>
        <w:rPr>
          <w:rFonts w:ascii="Arial" w:cs="Arial" w:eastAsia="Arial" w:hAnsi="Arial"/>
          <w:sz w:val="18"/>
          <w:szCs w:val="18"/>
          <w:b w:val="1"/>
          <w:bCs w:val="1"/>
          <w:color w:val="auto"/>
        </w:rPr>
        <w:t xml:space="preserve"> </w:t>
      </w:r>
      <w:r>
        <w:rPr>
          <w:rFonts w:ascii="Arial" w:cs="Arial" w:eastAsia="Arial" w:hAnsi="Arial"/>
          <w:sz w:val="18"/>
          <w:szCs w:val="18"/>
          <w:color w:val="auto"/>
        </w:rPr>
        <w:t>umbralisib monotherapy and U2 combinations in patients with previously treated NHL. The MZL and the FL/SLL single agent umbralisib cohorts of this trial are fully enrolled. The primary objective of these cohorts is to assess the efficacy of single agent umbralisib as measured by Overall Response Rate (ORR).</w:t>
      </w:r>
    </w:p>
    <w:p>
      <w:pPr>
        <w:spacing w:after="0" w:line="192" w:lineRule="exact"/>
        <w:rPr>
          <w:rFonts w:ascii="Arial" w:cs="Arial" w:eastAsia="Arial" w:hAnsi="Arial"/>
          <w:sz w:val="18"/>
          <w:szCs w:val="18"/>
          <w:color w:val="auto"/>
        </w:rPr>
      </w:pPr>
    </w:p>
    <w:p>
      <w:pPr>
        <w:jc w:val="both"/>
        <w:ind w:left="1200" w:hanging="217"/>
        <w:spacing w:after="0" w:line="286" w:lineRule="auto"/>
        <w:tabs>
          <w:tab w:leader="none" w:pos="1200"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UNITY-NHL MZL Single Agent Umbralisib Cohort: </w:t>
      </w:r>
      <w:r>
        <w:rPr>
          <w:rFonts w:ascii="Arial" w:cs="Arial" w:eastAsia="Arial" w:hAnsi="Arial"/>
          <w:sz w:val="16"/>
          <w:szCs w:val="16"/>
          <w:color w:val="auto"/>
        </w:rPr>
        <w:t>The MZL cohort enrolled adult patients who had at least one prior line of therapy that</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an anti-CD20 monoclonal antibody. In February 2019, we announced that the MZL cohort met the primary endpoint of ORR as determined by Independent Review Committee (IRC) for all treated patients (n=69). The results met the Company’s target guidance of 40-50% ORR. Interim safety and efficacy data from the MZL cohort were presented in an oral presentation at the American Association for Cancer Research (AACR) annual meeting on April 1, 2019. The data presented included safety and tolerability data on all 69 treated patients (safety population) and efficacy data on 42 patients who were enrolled at least 9 cycles (28 day cycles) prior to the data cut-off date (interim efficacy population). The safety population had a median duration of exposure of 6.9 months and no unexpected toxicities were observed. Analysis of the interim efficacy population showed an ORR by IRC of 52%, including 19% CR rate, and an 88% clinical benefit rate by IRC (defined as patients obtaining Complete Response + Partial Response + Stable Disease). Full data from this study are expected to be presented at a medical meeting later this year. We also plan to discuss the MZL results with the U.S. Food and Drug Administration (FDA) regarding a potential new drug application (NDA) filing for accelerated approval. Previously, in January 2019, the FDA granted Breakthrough Therapy Designation (BTD) for umbralisib for the treatment of adult patients with MZL who have received at least one prior anti-CD20 regimen. The BTD was based on interim data from the MZL cohort of the UNITY-NHL trial. In April 2019, the FDA granted orphan drug designation to umbralisib for the treatment of patients with any of the three types of marginal zone lymphoma (MZL): nodal, extranodal, and splenic MZL.</w:t>
      </w:r>
    </w:p>
    <w:p>
      <w:pPr>
        <w:spacing w:after="0" w:line="171" w:lineRule="exact"/>
        <w:rPr>
          <w:rFonts w:ascii="Arial" w:cs="Arial" w:eastAsia="Arial" w:hAnsi="Arial"/>
          <w:sz w:val="16"/>
          <w:szCs w:val="16"/>
          <w:color w:val="auto"/>
        </w:rPr>
      </w:pPr>
    </w:p>
    <w:p>
      <w:pPr>
        <w:ind w:left="1200" w:right="20" w:hanging="217"/>
        <w:spacing w:after="0" w:line="339" w:lineRule="auto"/>
        <w:tabs>
          <w:tab w:leader="none" w:pos="1200" w:val="left"/>
        </w:tabs>
        <w:numPr>
          <w:ilvl w:val="1"/>
          <w:numId w:val="10"/>
        </w:numPr>
        <w:rPr>
          <w:rFonts w:ascii="Arial" w:cs="Arial" w:eastAsia="Arial" w:hAnsi="Arial"/>
          <w:sz w:val="16"/>
          <w:szCs w:val="16"/>
          <w:color w:val="auto"/>
        </w:rPr>
      </w:pPr>
      <w:r>
        <w:rPr>
          <w:rFonts w:ascii="Arial" w:cs="Arial" w:eastAsia="Arial" w:hAnsi="Arial"/>
          <w:sz w:val="16"/>
          <w:szCs w:val="16"/>
          <w:b w:val="1"/>
          <w:bCs w:val="1"/>
          <w:color w:val="auto"/>
        </w:rPr>
        <w:t>UNITY-NHL FL/SLL Single Agent Umbralisib Cohort</w:t>
      </w:r>
      <w:r>
        <w:rPr>
          <w:rFonts w:ascii="Arial" w:cs="Arial" w:eastAsia="Arial" w:hAnsi="Arial"/>
          <w:sz w:val="16"/>
          <w:szCs w:val="16"/>
          <w:color w:val="auto"/>
        </w:rPr>
        <w:t>: The FL/SLL cohort enrolled adult patients who had two or more prior lines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therapy that included an anti-CD20 monoclonal antibody and an alkylating agent. This cohort is fully enrolled with approximately 125 patients.</w:t>
      </w:r>
    </w:p>
    <w:p>
      <w:pPr>
        <w:spacing w:after="0" w:line="128" w:lineRule="exact"/>
        <w:rPr>
          <w:rFonts w:ascii="Arial" w:cs="Arial" w:eastAsia="Arial" w:hAnsi="Arial"/>
          <w:sz w:val="16"/>
          <w:szCs w:val="16"/>
          <w:color w:val="auto"/>
        </w:rPr>
      </w:pPr>
    </w:p>
    <w:p>
      <w:pPr>
        <w:jc w:val="both"/>
        <w:ind w:left="1200" w:hanging="217"/>
        <w:spacing w:after="0" w:line="262" w:lineRule="auto"/>
        <w:tabs>
          <w:tab w:leader="none" w:pos="1200" w:val="left"/>
        </w:tabs>
        <w:numPr>
          <w:ilvl w:val="1"/>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UNITY-NHL Additional Cohorts</w:t>
      </w:r>
      <w:r>
        <w:rPr>
          <w:rFonts w:ascii="Arial" w:cs="Arial" w:eastAsia="Arial" w:hAnsi="Arial"/>
          <w:sz w:val="18"/>
          <w:szCs w:val="18"/>
          <w:color w:val="auto"/>
        </w:rPr>
        <w:t>: There are additional exploratory cohorts of the UNITY-NHL trial focused on Diffuse Large B-Cell</w:t>
      </w:r>
      <w:r>
        <w:rPr>
          <w:rFonts w:ascii="Arial" w:cs="Arial" w:eastAsia="Arial" w:hAnsi="Arial"/>
          <w:sz w:val="18"/>
          <w:szCs w:val="18"/>
          <w:b w:val="1"/>
          <w:bCs w:val="1"/>
          <w:color w:val="auto"/>
        </w:rPr>
        <w:t xml:space="preserve"> </w:t>
      </w:r>
      <w:r>
        <w:rPr>
          <w:rFonts w:ascii="Arial" w:cs="Arial" w:eastAsia="Arial" w:hAnsi="Arial"/>
          <w:sz w:val="18"/>
          <w:szCs w:val="18"/>
          <w:color w:val="auto"/>
        </w:rPr>
        <w:t>Lymphoma (DLBCL) and Mantle Cell Lymphoma (MCL). Currently there are four cohorts of the UNITY-NHL trial including, MZL, FL/SLL, DLBCL, and MCL. Each cohort is enrolled and evaluated separately from the others.</w:t>
      </w:r>
    </w:p>
    <w:p>
      <w:pPr>
        <w:spacing w:after="0" w:line="186" w:lineRule="exact"/>
        <w:rPr>
          <w:rFonts w:ascii="Arial" w:cs="Arial" w:eastAsia="Arial" w:hAnsi="Arial"/>
          <w:sz w:val="18"/>
          <w:szCs w:val="18"/>
          <w:b w:val="1"/>
          <w:bCs w:val="1"/>
          <w:color w:val="auto"/>
        </w:rPr>
      </w:pPr>
    </w:p>
    <w:p>
      <w:pPr>
        <w:jc w:val="both"/>
        <w:ind w:left="540" w:hanging="206"/>
        <w:spacing w:after="0" w:line="289"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UNITY-CLL Phase 3 Trial Evaluating Umbralisib plus Ublituximab (U2): </w:t>
      </w:r>
      <w:r>
        <w:rPr>
          <w:rFonts w:ascii="Arial" w:cs="Arial" w:eastAsia="Arial" w:hAnsi="Arial"/>
          <w:sz w:val="16"/>
          <w:szCs w:val="16"/>
          <w:color w:val="auto"/>
        </w:rPr>
        <w:t>UNITY-CLL is a global Phase 3 randomized controlled clinical trial</w:t>
      </w:r>
      <w:r>
        <w:rPr>
          <w:rFonts w:ascii="Arial" w:cs="Arial" w:eastAsia="Arial" w:hAnsi="Arial"/>
          <w:sz w:val="16"/>
          <w:szCs w:val="16"/>
          <w:b w:val="1"/>
          <w:bCs w:val="1"/>
          <w:color w:val="auto"/>
        </w:rPr>
        <w:t xml:space="preserve"> </w:t>
      </w:r>
      <w:r>
        <w:rPr>
          <w:rFonts w:ascii="Arial" w:cs="Arial" w:eastAsia="Arial" w:hAnsi="Arial"/>
          <w:sz w:val="16"/>
          <w:szCs w:val="16"/>
          <w:color w:val="auto"/>
        </w:rPr>
        <w:t>comparing the U2 combination to an active control arm of obinutuzumab plus chlorambucil in patients with both treatment naïve and relapsed or refractory CLL. Two additional arms evaluating single agent ublituximab and single agent umbralisib were also enrolled for purposes of evaluating contribution in the U2 combination regimen. The primary endpoint for this study is Progression Free Survival (PFS) which we intend to use to support a submission for approval of the U2 combination in CLL. The study completed enrollment in October 2017 with over 600 patients across the four treatment arms, with approximately 420 patients in the U2 and the active control arm combined. This trial is being conducted under Special Protocol Assessment</w:t>
      </w:r>
    </w:p>
    <w:p>
      <w:pPr>
        <w:jc w:val="both"/>
        <w:ind w:left="540"/>
        <w:spacing w:after="0" w:line="294" w:lineRule="auto"/>
        <w:rPr>
          <w:rFonts w:ascii="Arial" w:cs="Arial" w:eastAsia="Arial" w:hAnsi="Arial"/>
          <w:sz w:val="16"/>
          <w:szCs w:val="16"/>
          <w:color w:val="auto"/>
        </w:rPr>
      </w:pPr>
      <w:r>
        <w:rPr>
          <w:rFonts w:ascii="Arial" w:cs="Arial" w:eastAsia="Arial" w:hAnsi="Arial"/>
          <w:sz w:val="16"/>
          <w:szCs w:val="16"/>
          <w:color w:val="auto"/>
        </w:rPr>
        <w:t>(SPA) with FDA. In March 2019, the UNITY-CLL DSMB met to conduct a pre-planned futility analysis of progression-free survival (PFS). The DSMB determined that the trial was not futile and recommended the UNITY-CLL trial continue as planned. The pre-specified futility analysis of the UNITY-CLL trial did not allow for early stopping due to positive efficacy but only for lack of efficacy. During this meeting the DSMB also reviewed safety information from all 600+ CLL patients on trial, including over 300 treatment naïve and previously treated patients on umbralisib alone or in combination with ublituximab. Based on its review, no safety concerns were identified and the DSMB recommended the UNITY-CLL trial continue without modification.</w:t>
      </w:r>
    </w:p>
    <w:p>
      <w:pPr>
        <w:spacing w:after="0" w:line="163" w:lineRule="exact"/>
        <w:rPr>
          <w:rFonts w:ascii="Arial" w:cs="Arial" w:eastAsia="Arial" w:hAnsi="Arial"/>
          <w:sz w:val="16"/>
          <w:szCs w:val="16"/>
          <w:color w:val="auto"/>
        </w:rPr>
      </w:pPr>
    </w:p>
    <w:p>
      <w:pPr>
        <w:jc w:val="both"/>
        <w:ind w:left="540" w:hanging="206"/>
        <w:spacing w:after="0" w:line="296"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ULTIMATE I &amp; II Trials Evaluating Single Agent Ublituximab in RMS: </w:t>
      </w:r>
      <w:r>
        <w:rPr>
          <w:rFonts w:ascii="Arial" w:cs="Arial" w:eastAsia="Arial" w:hAnsi="Arial"/>
          <w:sz w:val="16"/>
          <w:szCs w:val="16"/>
          <w:color w:val="auto"/>
        </w:rPr>
        <w:t>ULTIMATE I and ULTIMATE II are two independent Phase 3 trials. Each</w:t>
      </w:r>
      <w:r>
        <w:rPr>
          <w:rFonts w:ascii="Arial" w:cs="Arial" w:eastAsia="Arial" w:hAnsi="Arial"/>
          <w:sz w:val="16"/>
          <w:szCs w:val="16"/>
          <w:b w:val="1"/>
          <w:bCs w:val="1"/>
          <w:color w:val="auto"/>
        </w:rPr>
        <w:t xml:space="preserve"> </w:t>
      </w:r>
      <w:r>
        <w:rPr>
          <w:rFonts w:ascii="Arial" w:cs="Arial" w:eastAsia="Arial" w:hAnsi="Arial"/>
          <w:sz w:val="16"/>
          <w:szCs w:val="16"/>
          <w:color w:val="auto"/>
        </w:rPr>
        <w:t>trial is a global, randomized, multi-center, double-blinded, double-dummy, active-controlled study comparing ublituximab to teriflunomide in subjects with relapsing forms of Multiple Sclerosis (RMS). The primary endpoint for each study is Annualized Relapse Rate (ARR) following 96 weeks of treatment which we intend to use to support a submission for approval of ublituximab in RMS. These trials are being conducted under a SPA with the FDA. Full enrollment was completed in October of 2018, with approximately 1,100 subjects enrolled in both studies combined.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GENERAL CORPORATE</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license revenues currently consist of license fees arising from our agreement with Ildong. We recognize upfront license fee revenues ratably over the estimated period in which we will have certain significant ongoing responsibilities under the sublicense agreement, with unamortized amounts recorded as deferred revenue.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earned any revenues from the commercial sale of any of our drug candidates.</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research and development expenses consist primarily of 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97"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Our general and administrative expenses consist primarily of salaries and related expenses for executive, finance and other administrative personnel, recruitment expenses, professional fees and other corporate expenses, including investor relations, legal activities and facilities-related expenses.</w:t>
      </w:r>
    </w:p>
    <w:p>
      <w:pPr>
        <w:spacing w:after="0" w:line="139" w:lineRule="exact"/>
        <w:rPr>
          <w:sz w:val="20"/>
          <w:szCs w:val="20"/>
          <w:color w:val="auto"/>
        </w:rPr>
      </w:pPr>
    </w:p>
    <w:p>
      <w:pPr>
        <w:jc w:val="both"/>
        <w:ind w:firstLine="798"/>
        <w:spacing w:after="0" w:line="256" w:lineRule="auto"/>
        <w:rPr>
          <w:sz w:val="20"/>
          <w:szCs w:val="20"/>
          <w:color w:val="auto"/>
        </w:rPr>
      </w:pPr>
      <w:r>
        <w:rPr>
          <w:rFonts w:ascii="Arial" w:cs="Arial" w:eastAsia="Arial" w:hAnsi="Arial"/>
          <w:sz w:val="18"/>
          <w:szCs w:val="18"/>
          <w:color w:val="auto"/>
        </w:rPr>
        <w:t>Our results of operations include non-cash compensation expenses as a result of the grants of restricted stock. Compensation expense for awards of restricted stock granted to employees and directors represents the fair value of the award recorded over the respective vesting periods of the individual awards. The expense is included in the respective categories of expense in the condensed consolidated statements of operations. We expect to continue to incur significant non-cash compensation expenses.</w:t>
      </w:r>
    </w:p>
    <w:p>
      <w:pPr>
        <w:spacing w:after="0" w:line="19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5"/>
          <w:szCs w:val="15"/>
          <w:color w:val="auto"/>
        </w:rPr>
        <w:t>For awards of options and restricted stock to consultants and other third-parties, compensation expense is determined at the “measurement date.” The expense is recognized over the vesting period of the award. Until the measurement date is reached, the total amount of compensation expense remains uncertain. We record compensation expense based on the fair value of the award at the reporting date. The awards to consultants and other third-parties are then revalued, or the total compensation is recalculated based on the then current fair value, at each subsequent reporting date. This results in a change to the amount previously recorded in respect of the equity award grant, and additional expense or a reversal of expense may be recorded in subsequent periods based on changes in the assumptions used to calculate fair value, such as changes in market price, until the measurement date is reached and the compensation expense is finalized.</w:t>
      </w:r>
    </w:p>
    <w:p>
      <w:pPr>
        <w:spacing w:after="0" w:line="159"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In addition, certain restricted stock issued to employees vest upon the achievement of certain milestones; therefore, the total expense is uncertain until the milestone is probable.</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clinical trials will be lengthy and expensive. Even if these trials show that our drug candidates are effective in treating certain diseases, there is no guarantee that we will be able to record commercial sales of any of our drug candidates in the near future, or at all. In addition, we expect losses to continue as we fund in-licensing and development of new drug candidates. As we further our development efforts, we may enter into additional third-party collaborative agreements and incur additional expenses, such as licensing fees and milestone payments. In addition, we may need to establish a commercial infrastructure required to manufacture, market and sell our medicines following approval, if any, by the FDA or a foreign health authority, which would result in incurring additional expenses. As a result, our quarterly results may fluctuate and a quarter-by-quarter comparison of our operating results may not be a meaningful indication of our future performance.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and 2018</w:t>
      </w:r>
    </w:p>
    <w:p>
      <w:pPr>
        <w:spacing w:after="0" w:line="23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License Revenue. </w:t>
      </w:r>
      <w:r>
        <w:rPr>
          <w:rFonts w:ascii="Arial" w:cs="Arial" w:eastAsia="Arial" w:hAnsi="Arial"/>
          <w:sz w:val="18"/>
          <w:szCs w:val="18"/>
          <w:color w:val="auto"/>
        </w:rPr>
        <w:t>License revenue was approximately $38,000 for each of the three months ended March 31, 2019 and 2018. License revenue is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(Research and Development). </w:t>
      </w:r>
      <w:r>
        <w:rPr>
          <w:rFonts w:ascii="Arial" w:cs="Arial" w:eastAsia="Arial" w:hAnsi="Arial"/>
          <w:sz w:val="18"/>
          <w:szCs w:val="18"/>
          <w:color w:val="auto"/>
        </w:rPr>
        <w:t>Noncash compensation expense (research and development)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totaled $1.5 million for the three months ended March 31, 2019, as compared to $2.9 million during the comparable period in 2018. The decrease in noncash compensation expense was primarily related to greater measurement date fair value of certain consultant restricted stock that was applicable during the period ended March 31, 2018.</w:t>
      </w:r>
    </w:p>
    <w:p>
      <w:pPr>
        <w:spacing w:after="0" w:line="19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i w:val="1"/>
          <w:iCs w:val="1"/>
          <w:color w:val="auto"/>
        </w:rPr>
        <w:t xml:space="preserve">Other Research and Development Expenses. </w:t>
      </w:r>
      <w:r>
        <w:rPr>
          <w:rFonts w:ascii="Arial" w:cs="Arial" w:eastAsia="Arial" w:hAnsi="Arial"/>
          <w:sz w:val="16"/>
          <w:szCs w:val="16"/>
          <w:color w:val="auto"/>
        </w:rPr>
        <w:t>Other research and development expenses decreased by $1.3 million to $30.9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2019, as compared to $32.2 million for the three months ended March 31, 2018. The decrease was mainly due to the primary clinical programs and related manufacturing costs for ublituximab and umbralisib have completed enrollment during 2018. We expect our other research and development costs to decrease modestly for the remainder of 2019as our primary clinical programs near completion.</w:t>
      </w:r>
    </w:p>
    <w:p>
      <w:pPr>
        <w:spacing w:after="0" w:line="16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Noncash Compensation Expense (General and Administrative). </w:t>
      </w:r>
      <w:r>
        <w:rPr>
          <w:rFonts w:ascii="Arial" w:cs="Arial" w:eastAsia="Arial" w:hAnsi="Arial"/>
          <w:sz w:val="18"/>
          <w:szCs w:val="18"/>
          <w:color w:val="auto"/>
        </w:rPr>
        <w:t>Noncash compensation expense (general and administrative) related to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grants decreased by $4.1 million to $0.4 million for the three months ended March 31, 2019, as compared to $4.5 million for the three months ended March 31, 2018. The decrease in noncash compensation expense was primarily related to greater compensation expense during the three months ended March 31, 2018 related to restricted stock granted to executive personnel.</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Other General and Administrative Expenses</w:t>
      </w:r>
      <w:r>
        <w:rPr>
          <w:rFonts w:ascii="Arial" w:cs="Arial" w:eastAsia="Arial" w:hAnsi="Arial"/>
          <w:sz w:val="18"/>
          <w:szCs w:val="18"/>
          <w:color w:val="auto"/>
        </w:rPr>
        <w:t>. Other general and administrative expenses decreased by $0.2 million to $1.9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as compared to $2.1 million for the three months ended March 31, 2018. We expect our other general and administrative expenses to remain at a comparable level for the remainder of 2019.</w:t>
      </w:r>
    </w:p>
    <w:p>
      <w:pPr>
        <w:spacing w:after="0" w:line="194"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i w:val="1"/>
          <w:iCs w:val="1"/>
          <w:color w:val="auto"/>
        </w:rPr>
        <w:t>Other (Income) Expense</w:t>
      </w:r>
      <w:r>
        <w:rPr>
          <w:rFonts w:ascii="Arial" w:cs="Arial" w:eastAsia="Arial" w:hAnsi="Arial"/>
          <w:sz w:val="16"/>
          <w:szCs w:val="16"/>
          <w:color w:val="auto"/>
        </w:rPr>
        <w:t>. Other expense increased by $0.5 million to approximately $0.5 million for the three months ended March 31, 2019,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income of approximately $48,000 for the three months ended March 31, 2018. The increase is mainly due to an increase in interest expense related to the Hercules financing agreement and the associated amortization of debt issuance costs for the three months ended March 31,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primary sources of cash have been from the sale of equity securities, debt financings, the upfront payment from our Sublicense Agreement with Ildong, and warrant and option exercises. We have not yet commercialized any of our drug candidates and cannot be sure if we will ever be able to do so. Even if we commercialize one or more of our drug candidates, we may not become profitable. Our ability to achieve profitability depends on a number of factors, including our ability to obtain regulatory approval for our drug candidates, successfully complete any post-approval regulatory obligations and successfully commercialize our drug candidates alone or in partnership. We may continue to incur substantial operating losses even if we begin to generate revenues from our drug candidates.</w:t>
      </w:r>
    </w:p>
    <w:p>
      <w:pPr>
        <w:spacing w:after="0" w:line="1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As of March 31, 2019, we had approximately $92.5 million in cash and cash equivalents, and investment securities. We anticipate that our cash, cash equivalents, and investment securities on hand as of March 31, 2019, combined with the additional capital raised in the second quarter of 2019, will be sufficient to fund the Company’s planned operations through mid-2020. The actual amount of cash that we will need to operate is subject to many factors, including, but not limited to, the timing, design and conduct of clinical trials for our drug candidates. We are dependent upon significant financing to provide the cash necessary to execute our current operations, including the commercialization of any of our drug candidates.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Cash used in operating activities for the three months ended March 31, 2019 was $33.4 million as compared to $28.0 million for the three months ended March 31, 2018. The increase in cash used in operating activities was due primarily to increased expenditures associated with our ongoing clinical development programs.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months ended March 31, 2019, net cash used in investing activities was $1.1 million as compared to cash provided by investing activities of $1.8 million for the three months ended March 31, 2018. The decrease in net cash provided by investing activities was primarily due to the greater investment in treasury securities during the three months ended March 31, 2018.</w:t>
      </w:r>
    </w:p>
    <w:p>
      <w:pPr>
        <w:spacing w:after="0" w:line="19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For the three months ended March 31, 2019, net cash provided by financing activities of $56.9 million related to the net proceeds from debt financings of $29.2 million and net proceeds from the issuance of common shares of $27.7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jc w:val="both"/>
        <w:ind w:right="20" w:firstLine="648"/>
        <w:spacing w:after="0" w:line="268" w:lineRule="auto"/>
        <w:rPr>
          <w:sz w:val="20"/>
          <w:szCs w:val="20"/>
          <w:color w:val="auto"/>
        </w:rPr>
      </w:pPr>
      <w:r>
        <w:rPr>
          <w:rFonts w:ascii="Arial" w:cs="Arial" w:eastAsia="Arial" w:hAnsi="Arial"/>
          <w:sz w:val="18"/>
          <w:szCs w:val="18"/>
          <w:color w:val="auto"/>
        </w:rPr>
        <w:t>As of March 31, 2019, we have known contractual obligations, commitments and contingencies of $65.1 million related to our long-term debt, contract manufacturer and operating lease obligations.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720" w:type="dxa"/>
            <w:vAlign w:val="bottom"/>
          </w:tcPr>
          <w:p>
            <w:pPr>
              <w:spacing w:after="0"/>
              <w:rPr>
                <w:sz w:val="20"/>
                <w:szCs w:val="20"/>
                <w:color w:val="auto"/>
              </w:rPr>
            </w:pPr>
            <w:r>
              <w:rPr>
                <w:rFonts w:ascii="Arial" w:cs="Arial" w:eastAsia="Arial" w:hAnsi="Arial"/>
                <w:sz w:val="18"/>
                <w:szCs w:val="18"/>
                <w:b w:val="1"/>
                <w:bCs w:val="1"/>
                <w:color w:val="auto"/>
              </w:rPr>
              <w:t>Payment due by period (in thousands)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6"/>
              </w:rPr>
              <w:t>Less than 1</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More than 5</w:t>
            </w:r>
          </w:p>
        </w:tc>
        <w:tc>
          <w:tcPr>
            <w:tcW w:w="0" w:type="dxa"/>
            <w:vAlign w:val="bottom"/>
          </w:tcPr>
          <w:p>
            <w:pPr>
              <w:spacing w:after="0"/>
              <w:rPr>
                <w:sz w:val="1"/>
                <w:szCs w:val="1"/>
                <w:color w:val="auto"/>
              </w:rPr>
            </w:pPr>
          </w:p>
        </w:tc>
      </w:tr>
      <w:tr>
        <w:trPr>
          <w:trHeight w:val="204"/>
        </w:trPr>
        <w:tc>
          <w:tcPr>
            <w:tcW w:w="4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32"/>
              <w:spacing w:after="0"/>
              <w:rPr>
                <w:sz w:val="20"/>
                <w:szCs w:val="20"/>
                <w:color w:val="auto"/>
              </w:rPr>
            </w:pPr>
            <w:r>
              <w:rPr>
                <w:rFonts w:ascii="Arial" w:cs="Arial" w:eastAsia="Arial" w:hAnsi="Arial"/>
                <w:sz w:val="18"/>
                <w:szCs w:val="18"/>
                <w:b w:val="1"/>
                <w:bCs w:val="1"/>
                <w:color w:val="auto"/>
              </w:rPr>
              <w:t>Total</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92"/>
              <w:spacing w:after="0"/>
              <w:rPr>
                <w:sz w:val="20"/>
                <w:szCs w:val="20"/>
                <w:color w:val="auto"/>
              </w:rPr>
            </w:pPr>
            <w:r>
              <w:rPr>
                <w:rFonts w:ascii="Arial" w:cs="Arial" w:eastAsia="Arial" w:hAnsi="Arial"/>
                <w:sz w:val="18"/>
                <w:szCs w:val="18"/>
                <w:b w:val="1"/>
                <w:bCs w:val="1"/>
                <w:color w:val="auto"/>
              </w:rPr>
              <w:t>year</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w w:val="89"/>
              </w:rPr>
              <w:t>1-3 years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b w:val="1"/>
                <w:bCs w:val="1"/>
                <w:color w:val="auto"/>
                <w:w w:val="89"/>
              </w:rPr>
              <w:t>3-5 years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0" w:type="dxa"/>
            <w:vAlign w:val="bottom"/>
          </w:tcPr>
          <w:p>
            <w:pPr>
              <w:spacing w:after="0"/>
              <w:rPr>
                <w:sz w:val="1"/>
                <w:szCs w:val="1"/>
                <w:color w:val="auto"/>
              </w:rPr>
            </w:pPr>
          </w:p>
        </w:tc>
      </w:tr>
      <w:tr>
        <w:trPr>
          <w:trHeight w:val="243"/>
        </w:trPr>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Contractual obligations</w:t>
            </w:r>
          </w:p>
        </w:tc>
        <w:tc>
          <w:tcPr>
            <w:tcW w:w="2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16,748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Contract manufacturer</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18,350</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65,098</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19,716</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32,700</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of certain of our licenses, royalties, development and collaboration agreements, as well as other research and development activities, require us to pay potential future milestone payments based on product development success. The above table excludes such obligations as the amount and timing of such obligations are unknown or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U.S. generally accepted accounting principles. The preparation of these financial statements requires us to make estimates and judgments that affect the reported amount of assets and liabilities and related disclosure of contingent assets and liabilities at the date of our financial statements and the reported amounts of revenues and expenses during the applicable period. Actual results may differ from these estimates under different assumptions or conditions.</w:t>
      </w:r>
    </w:p>
    <w:p>
      <w:pPr>
        <w:spacing w:after="0" w:line="19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define critical accounting policies as those that are reflective of significant judgments and uncertainties and which may potentially result in materially different results under different assumptions and conditions. In applying these critical accounting policies, our management uses its judgment to determine the appropriate assumptions to be used in making certain estimates. These estimates are subject to an inherent degree of uncertainty. Our critical accounting policies include the following:</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Effective January 1, 2018, the Company began recognizing revenue under Accounting Standards Codification (“ASC”) Topic 606,</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from Contracts with Customers (“ASC 606”), using the modified retrospective transition method. The impact of adopting the new revenue standard was not material to our consolidated financial statements and there was no adjustment to beginning retained earnings on January 1, 2018. The core principle of this new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98" w:lineRule="exact"/>
        <w:rPr>
          <w:sz w:val="20"/>
          <w:szCs w:val="20"/>
          <w:color w:val="auto"/>
        </w:rPr>
      </w:pPr>
    </w:p>
    <w:p>
      <w:pPr>
        <w:ind w:left="880" w:hanging="22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Step 1: Identify the contract with the customer</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Step 2: Identify the performance obligations in the contract</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Step 3: Determine the transaction price</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Step 4: Allocate the transaction price to the performance obligations in the contract</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Step 5: Recognize revenue when the company satisfies a performance obligation</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spacing w:after="0" w:line="194" w:lineRule="exact"/>
        <w:rPr>
          <w:sz w:val="20"/>
          <w:szCs w:val="20"/>
          <w:color w:val="auto"/>
        </w:rPr>
      </w:pPr>
    </w:p>
    <w:p>
      <w:pPr>
        <w:ind w:left="880" w:right="20" w:hanging="222"/>
        <w:spacing w:after="0" w:line="25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w:t>
      </w:r>
    </w:p>
    <w:p>
      <w:pPr>
        <w:ind w:left="880" w:hanging="222"/>
        <w:spacing w:after="0" w:line="261"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68" w:lineRule="auto"/>
        <w:rPr>
          <w:sz w:val="20"/>
          <w:szCs w:val="20"/>
          <w:color w:val="auto"/>
        </w:rPr>
      </w:pPr>
      <w:r>
        <w:rPr>
          <w:rFonts w:ascii="Arial" w:cs="Arial" w:eastAsia="Arial" w:hAnsi="Arial"/>
          <w:sz w:val="18"/>
          <w:szCs w:val="18"/>
          <w:color w:val="auto"/>
        </w:rPr>
        <w:t>If a good or service is not distinct, the good or service is combined with other promised goods or services until a bundle of goods or services is identified that is distinct.</w:t>
      </w:r>
    </w:p>
    <w:p>
      <w:pPr>
        <w:spacing w:after="0" w:line="186"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5"/>
          <w:szCs w:val="15"/>
          <w:color w:val="auto"/>
        </w:rPr>
        <w:t>The transaction price is the amount of consideration to which an entity expects to be entitled in exchange for transferring promised goods or services to a customer, excluding amounts collected on behalf of third parties (for example, some sales taxes). The consideration promised in a contract with a customer may include fixed amounts, variable amounts, or both. Variable consideration is included in the transaction price only to the extent that it is probable that a significant reversal in the amount of cumulative revenue recognized will not occur when the uncertainty associated with the variable consideration is subsequently resolved.</w:t>
      </w:r>
    </w:p>
    <w:p>
      <w:pPr>
        <w:spacing w:after="0" w:line="152"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Stock Compensation. </w:t>
      </w:r>
      <w:r>
        <w:rPr>
          <w:rFonts w:ascii="Arial" w:cs="Arial" w:eastAsia="Arial" w:hAnsi="Arial"/>
          <w:sz w:val="16"/>
          <w:szCs w:val="16"/>
          <w:color w:val="auto"/>
        </w:rPr>
        <w:t>We have granted stock options and restricted stock to employees, directors and consultants, as well as warrants to other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parties. For employee, director and consultant grants the value of each option award is estimated on the date of grant using the Black-Scholes option-pricing model. The Black-Scholes model takes into account volatility in the price of our stock, the risk-free interest rate, the estimated life of the option, the closing market price of our stock and the exercise price. We base our estimates of our stock price volatility on the historical volatility of our common stock and our assessment of future volatility; however, these estimates are neither predictive nor indicative of the future performance of our stock. For purposes of the calculation, we assumed that no dividends would be paid during the life of the options and warrants. The estimates utilized in the Black-Scholes calculation involve inherent uncertainties and the application of management judgment. In addition, we are required to estimate the expected forfeiture rate and only recognize expense for those equity awards expected to vest. As a result, if other assumptions had been used, our recorded stock-based compensation expense could have been materially different from that reported. In addition, because some of the options, restricted stock and warrants issued to employees, consultants and other third-parties vest upon the achievement of certain milestones, the total expense is uncertain. Compensation expense for such awards that vest upon the achievement of milestones is recognized when the achievement of such milestone becomes probable.</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In-process Research and Development. </w:t>
      </w:r>
      <w:r>
        <w:rPr>
          <w:rFonts w:ascii="Arial" w:cs="Arial" w:eastAsia="Arial" w:hAnsi="Arial"/>
          <w:sz w:val="18"/>
          <w:szCs w:val="18"/>
          <w:color w:val="auto"/>
        </w:rPr>
        <w:t>All acquired research and development projects are recorded at their fair value as of the date acquisition.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values are assessed as of the balance sheet date to ascertain if there has been any impairment of the recorded value. If there is an impairment the asset is written down to its current fair value by the recording of an expense.</w:t>
      </w:r>
    </w:p>
    <w:p>
      <w:pPr>
        <w:spacing w:after="0" w:line="19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Accruals for Clinical Research Organization and Clinical Site Costs</w:t>
      </w:r>
      <w:r>
        <w:rPr>
          <w:rFonts w:ascii="Arial" w:cs="Arial" w:eastAsia="Arial" w:hAnsi="Arial"/>
          <w:sz w:val="16"/>
          <w:szCs w:val="16"/>
          <w:color w:val="auto"/>
        </w:rPr>
        <w:t>. We make estimates of costs incurred in relation to external clinical research</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or CROs, and clinical site costs. We analyze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We review and accrue CRO expenses and clinical trial study expenses based on work performed and rely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Accounting For Income Taxes</w:t>
      </w:r>
      <w:r>
        <w:rPr>
          <w:rFonts w:ascii="Arial" w:cs="Arial" w:eastAsia="Arial" w:hAnsi="Arial"/>
          <w:sz w:val="16"/>
          <w:szCs w:val="16"/>
          <w:color w:val="auto"/>
        </w:rPr>
        <w:t>. In preparing our consolidated financial statements, we are required to estimate our income taxes in each of the</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we operate. This process involves management estimation of our actual current tax exposure and assessment of temporary differences resulting from differing treatment of items for tax and accounting purposes. These differences result in deferred tax assets and liabilities. We must then assess the likelihood that our deferred tax assets will be recovered from future taxable income and, to the extent we believe that recovery is not likely, we must establish a valuation allowance. To the extent we establish a valuation allowance or increase this allowance in a period, we must include an expense within the tax provision in the consolidated statements of operations. Significant management judgment is required in determining our provision for income taxes, our deferred tax assets and liabilities and any valuation allowance recorded against our net deferred tax assets. We have fully offset our deferred tax assets with a valuation allowance. Our lack of earnings history and the uncertainty surrounding our ability to generate taxable income prior to the reversal or expiration of such deferred tax assets were the primary factors considered by management in maintaining the valuation allowance.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July 2018, the Financial Accounting Standards Board ("FASB") issued Accounting Standards Update (“ASU”) No. 2018-11, “Leases - Targeted Improvements” (“ASU 2018-11”) as an update to ASU 2016-02, Leases (“ASU 2016-02” or “Topic 842”) issued on February 25, 2016. ASU 2016-02 is effective for public business entities for fiscal years beginning January 1, 2019. ASU 2016-02 required companies to adopt the new leases standard at the beginning of the earliest period presented in the financial statements, which is January 1, 2017, using a modified retrospective transition method where lessees must recognize lease assets and liabilities for all leases even though those leases may have expired before the effective date of January 1, 2017. Lessees must also provide the new and enhanced disclosures for each period presented, including the comparative periods.</w:t>
      </w:r>
    </w:p>
    <w:p>
      <w:pPr>
        <w:spacing w:after="0" w:line="174"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ASU 2018-11 provides an entity with an additional (and optional) transition method to adopt the new leases standard. Under this new transition method, an entity initially applies the new lease standard at the adoption date and recognizes a cumulative-effect adjustment to the opening balance of retained earnings in the period of adoption. Consequently, an entity’s reporting for the comparative periods presented in the financial statements in which it adopts the new lease standard will continue to be in accordance with ASC 840, Leases. An entity that elects this additional (and optional) transition method must provide the required ASC 840 disclosures for all periods that continue to be in accordance with ASC 840. The amendments do not change the existing disclosure requirements in ASC 840.</w:t>
      </w:r>
    </w:p>
    <w:p>
      <w:pPr>
        <w:spacing w:after="0" w:line="19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ASU 2018-11 is effective for public business entities for fiscal years beginning after December 15, 2018, and interim periods within those fiscal years, with earlier adoption permitted. The Company adopted ASU 2018-11 on January 1, 2019 using a modified retrospective method and will not restate comparative periods. We elected the package of practical expedients permitted under the transition guidance, which allows us to carryforward our historical lease classification and our assessment on whether a contract is or contains a lease. The adoption of this guidance resulted in the addition of material balances of right of use assets and lease liability to our consolidated balance sheets at January 1, 2019, primarily relating to our lease of office space (see Note 8). The impact to our consolidated statements of operations was not material as a result of this standard.</w:t>
      </w:r>
    </w:p>
    <w:p>
      <w:pPr>
        <w:spacing w:after="0" w:line="174"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2018-07”). ASU 2018-07 expands the scope of FASB Topic 718, Compensation – Stock Compensation (“Topic 718”) to include share-based payment transactions for acquiring goods and services from nonemployees. An entity should only remeasure equity-classified awards for which a measurement date has not been established through a cumulative-effect adjustment to retained earnings as of the beginning of the fiscal year of adoption. Upon transition, the entity is required to measure these nonemployee awards at fair value as of the adoption date. The entity must not remeasure assets that are completed. Disclosures required at transition include the nature of and reason for the change in accounting principle and, if applicable, quantitative information about the cumulative effect of the change on retained earnings or other components of equity.</w:t>
      </w:r>
    </w:p>
    <w:p>
      <w:pPr>
        <w:spacing w:after="0" w:line="172"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ASU 2018-07 is effective for public business entities for fiscal years beginning after December 15, 2018, including interim periods within that fiscal year. The Company adopted ASU 2018-07 on January 1, 2019. The adoption of ASU 2018-07 did not have a material effect on our consolidated financial statements as of January 1, 2019. The adoption of ASU 2018-07 had no impact on nonemployee performance awards as they are measured based on the outcome that is probable.</w:t>
      </w:r>
    </w:p>
    <w:p>
      <w:pPr>
        <w:spacing w:after="0" w:line="197"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Other pronouncements issued by the FASB or other authoritative accounting standards group with future effective dates are either not applicable or not significant to our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The primary objective of our investment activities is to preserve principal while maximizing our income from investments and minimizing our market risk. We invest in government and investment-grade corporate debt in accordance with our investment policy. Some of the securities in which we invest have market risk. This means that a change in prevailing interest rates, and/or credit risk, may cause the fair value of the investment to fluctuate. For example, if we hold a security that was issued with a fixed interest rate at the then-prevailing rate and the prevailing interest rate later rises, the fair value of our investment will probably decline. As of March 31, 2019, our portfolio of financial instruments consists of cash equivalents, including bank deposits, and investments. Due to the short-term basis as well as the nature of our investments, we believe there is no material exposure to interest rate risk, and/or credit risk, arising from our investments.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As of March 31, 2019,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March 31, 2019, our disclosure controls and procedures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ind w:right="380" w:firstLine="6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2019 that have materially affected, or are reasonably likely to materially affect, our internal control over financial reporting.</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87" w:right="259" w:bottom="1440" w:gutter="0" w:footer="0" w:header="0"/>
        </w:sectPr>
      </w:pPr>
    </w:p>
    <w:bookmarkStart w:id="29" w:name="page30"/>
    <w:bookmarkEnd w:id="29"/>
    <w:p>
      <w:pPr>
        <w:jc w:val="center"/>
        <w:ind w:left="26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October 2018, a purported securities class action complaint was filed in the U.S. District Court for the Southern District of New York (the “Southern District”) against the Company and one of its officers on behalf of all shareholders who purchased or otherwise acquired TG Therapeutics common stock between June 4, 2018 and September 25, 2018 (the “Class Period”). The case was captioned Randall Reinmann v. TG Therapeutics Inc., and Michael S. Weiss, Case No. 1:18-cv-09104-KPF. The complaint alleged that, throughout the Class Period, the Company made false and/or misleading statements and/or failed to disclose various facts and circumstances regarding its UNITY-CLL study allegedly in violation of the Securities Exchange Act of 1934 and Rule 10b-5 promulgated thereunder. In December 2018, the Southern District appointed Co-Lead Plaintiffs to represent the putative class, and approved their selection of Lead Counsel. On March 1, 2019, Co-Lead Plaintiffs filed a notice with the Southern District seeking to voluntarily dismiss the action in its entirety without prejudice, which was so-ordered by the Southern District the same day.</w:t>
      </w:r>
    </w:p>
    <w:p>
      <w:pPr>
        <w:spacing w:after="0" w:line="172"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In addition, on December 18, 2018, a related shareholder derivative litigation was filed in the Southern District against the Company’s directors and one of its officers in litigation captioned Thessalus Capital v. Weiss, et al., 1:18-cv-11918-KPF. The Company was named only as a nominal defendant. The suit alleged that the officer and directors breached their fiduciary duties to the Company, wasted corporate assets, and violated the Securities Exchange Act of 1934 and Rule 10b-5 promulgated thereunder in connection with the Company’s alleged failure to disclose various facts and circumstances regarding its UNITY-CLL study. The plaintiff asserted that the alleged disclosure violations concerning the Company’s UNITY-CLL study caused the Company to incur losses, including defense costs, and further alleged that the named officer and directors received excessive compensation. On April 17, 2019, the plaintiff filed a notice with the Southern District seeking to voluntarily dismiss the action in its entirety without prejudice, which was so-ordered by the Southern District on April 18,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i w:val="1"/>
          <w:iCs w:val="1"/>
          <w:color w:val="auto"/>
        </w:rPr>
        <w:t>You should carefully consider the following risks and uncertainties. If any of the following occurs,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You should carefully consider the following risk factors and the other information contained elsewhere in this Annual Report before making an investment in our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231"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3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and undertaking pre-clinical studies and commencing clinical trials and conducting Phase 3 and registration directed clinical trials for our most advanced drug candidates, ublituximab and umbralisib. We have never generated any revenue from drug sales. We have not obtained regulatory approvals for any of our drug candidates.</w:t>
      </w:r>
    </w:p>
    <w:p>
      <w:pPr>
        <w:spacing w:after="0" w:line="198" w:lineRule="exact"/>
        <w:rPr>
          <w:sz w:val="20"/>
          <w:szCs w:val="20"/>
          <w:color w:val="auto"/>
        </w:rPr>
      </w:pPr>
    </w:p>
    <w:p>
      <w:pPr>
        <w:ind w:right="180" w:firstLine="692"/>
        <w:spacing w:after="0" w:line="318" w:lineRule="auto"/>
        <w:rPr>
          <w:sz w:val="20"/>
          <w:szCs w:val="20"/>
          <w:color w:val="auto"/>
        </w:rPr>
      </w:pPr>
      <w:r>
        <w:rPr>
          <w:rFonts w:ascii="Arial" w:cs="Arial" w:eastAsia="Arial" w:hAnsi="Arial"/>
          <w:sz w:val="15"/>
          <w:szCs w:val="15"/>
          <w:color w:val="auto"/>
        </w:rPr>
        <w:t>We have not yet demonstrated our ability to successfully complete large-scale,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14" w:right="259" w:bottom="1440" w:gutter="0" w:footer="0" w:header="0"/>
        </w:sectPr>
      </w:pPr>
    </w:p>
    <w:bookmarkStart w:id="30" w:name="page31"/>
    <w:bookmarkEnd w:id="30"/>
    <w:p>
      <w:pPr>
        <w:ind w:right="60" w:firstLine="648"/>
        <w:spacing w:after="0" w:line="254" w:lineRule="auto"/>
        <w:rPr>
          <w:sz w:val="20"/>
          <w:szCs w:val="20"/>
          <w:color w:val="auto"/>
        </w:rPr>
      </w:pPr>
      <w:r>
        <w:rPr>
          <w:rFonts w:ascii="Arial" w:cs="Arial" w:eastAsia="Arial" w:hAnsi="Arial"/>
          <w:sz w:val="18"/>
          <w:szCs w:val="18"/>
          <w:color w:val="auto"/>
        </w:rPr>
        <w:t>Since inception, we have focused substantially all of our efforts and financial resources on clinical trials and manufacturing of our drug candidates. To date, we have financed our operations primarily through public offerings of our common stock and a debt financing. Through May 10, 2019, we have received an aggregate of approximately $500 million from such transactions, including approximately $470 million in aggregate gross proceeds from the sale of common stock in one or more offerings and through the use of our ATM from January 2012 through May 2019 but excluding $30.0 million available under the term loan facility with Hercules that we secured in February 2019. As of March 31, 2019, there was $30.0 million available to borrow under that facility, subject to certain conditions of funding.</w:t>
      </w:r>
    </w:p>
    <w:p>
      <w:pPr>
        <w:spacing w:after="0" w:line="198"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Since inception, we have incurred significant operating losses. As of March 31, 2019, we had an accumulated deficit of $563.5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204" w:lineRule="exact"/>
        <w:rPr>
          <w:sz w:val="20"/>
          <w:szCs w:val="20"/>
          <w:color w:val="auto"/>
        </w:rPr>
      </w:pPr>
    </w:p>
    <w:p>
      <w:pPr>
        <w:jc w:val="both"/>
        <w:ind w:right="140" w:firstLine="527"/>
        <w:spacing w:after="0" w:line="303" w:lineRule="auto"/>
        <w:rPr>
          <w:sz w:val="20"/>
          <w:szCs w:val="20"/>
          <w:color w:val="auto"/>
        </w:rPr>
      </w:pPr>
      <w:r>
        <w:rPr>
          <w:rFonts w:ascii="Arial" w:cs="Arial" w:eastAsia="Arial" w:hAnsi="Arial"/>
          <w:sz w:val="15"/>
          <w:szCs w:val="15"/>
          <w:color w:val="auto"/>
        </w:rPr>
        <w:t>To date, we have not generated any significant revenue from our drug candidates and we do not expect to generate any revenue from the sale of drugs in the near future. Our ability to become profitable depends upon our ability to generate significant continuing revenues. To obtain significant continuing revenues, we must succeed, either alone or with others, in developing, obtaining regulatory approval for and manufacturing and marketing our product candidates.</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Accordingly, we do not expect to generate significant and sustained revenue unless and until we obtain marketing approval of, and begin to sell umbralisib, ublituximab and/or one of our other product candidates. Our ability to generate revenue depends on a number of factors, including, but not limited to, our ability to:</w:t>
      </w:r>
    </w:p>
    <w:p>
      <w:pPr>
        <w:spacing w:after="0" w:line="198" w:lineRule="exact"/>
        <w:rPr>
          <w:sz w:val="20"/>
          <w:szCs w:val="20"/>
          <w:color w:val="auto"/>
        </w:rPr>
      </w:pPr>
    </w:p>
    <w:p>
      <w:pPr>
        <w:ind w:left="720" w:hanging="224"/>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15" w:lineRule="exact"/>
        <w:rPr>
          <w:rFonts w:ascii="Arial" w:cs="Arial" w:eastAsia="Arial" w:hAnsi="Arial"/>
          <w:sz w:val="18"/>
          <w:szCs w:val="18"/>
          <w:color w:val="auto"/>
        </w:rPr>
      </w:pPr>
    </w:p>
    <w:p>
      <w:pPr>
        <w:ind w:left="720" w:hanging="224"/>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non-clinical studies required to obtain US and Foreign marketing approval for our drug candidates;</w:t>
      </w:r>
    </w:p>
    <w:p>
      <w:pPr>
        <w:ind w:left="720" w:hanging="224"/>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approval from the US FDA and Foreign equivalent to market and sell our drug candidates;</w:t>
      </w:r>
    </w:p>
    <w:p>
      <w:pPr>
        <w:spacing w:after="0" w:line="9" w:lineRule="exact"/>
        <w:rPr>
          <w:rFonts w:ascii="Arial" w:cs="Arial" w:eastAsia="Arial" w:hAnsi="Arial"/>
          <w:sz w:val="18"/>
          <w:szCs w:val="18"/>
          <w:color w:val="auto"/>
        </w:rPr>
      </w:pPr>
    </w:p>
    <w:p>
      <w:pPr>
        <w:ind w:left="720" w:hanging="224"/>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commercial manufacturing capabilities alone and/or with third parties that are satisfactory to the regulatory authorities, cost effective, and that are capable of providing commercial supply of our drug candidates;</w:t>
      </w:r>
    </w:p>
    <w:p>
      <w:pPr>
        <w:ind w:left="720" w:right="20" w:hanging="224"/>
        <w:spacing w:after="0" w:line="250"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commercial infrastructure to commercialize our drug candidates, if approved, by developing a sales force and/or entering into collaborations with third parties; and</w:t>
      </w:r>
    </w:p>
    <w:p>
      <w:pPr>
        <w:ind w:left="720" w:hanging="224"/>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Achieve market acceptance of our drug candidates in the medical community and with third-party payors.</w:t>
      </w:r>
    </w:p>
    <w:p>
      <w:pPr>
        <w:spacing w:after="0" w:line="219" w:lineRule="exact"/>
        <w:rPr>
          <w:sz w:val="20"/>
          <w:szCs w:val="20"/>
          <w:color w:val="auto"/>
        </w:rPr>
      </w:pPr>
    </w:p>
    <w:p>
      <w:pPr>
        <w:ind w:right="460" w:firstLine="486"/>
        <w:spacing w:after="0" w:line="268" w:lineRule="auto"/>
        <w:rPr>
          <w:sz w:val="20"/>
          <w:szCs w:val="20"/>
          <w:color w:val="auto"/>
        </w:rPr>
      </w:pPr>
      <w:r>
        <w:rPr>
          <w:rFonts w:ascii="Arial" w:cs="Arial" w:eastAsia="Arial" w:hAnsi="Arial"/>
          <w:sz w:val="18"/>
          <w:szCs w:val="18"/>
          <w:color w:val="auto"/>
        </w:rPr>
        <w:t>If we are unable to generate significant continuing revenues, we will not become profitable and we may be unable to continue our operations without continued funding.</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86"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The development of pharmaceuticals is capital-intensive. We are currently advancing our most advanced drug candidates, umbralisib, ublituximab, TG-1501, TG-1701 and TG-1801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Moreover, in anticipation of filing for regulatory approvals for umbralisib and ublituximab we will need to expend substantial resources on manufacturing and NDA/ biologics license application (BLA) preparation over the next 12-24+ months, which could exceed any cost savings associated with lower clinical trial expenses during the same period.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1" w:name="page32"/>
    <w:bookmarkEnd w:id="31"/>
    <w:p>
      <w:pPr>
        <w:ind w:right="20" w:firstLine="486"/>
        <w:spacing w:after="0" w:line="268"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86" w:lineRule="exact"/>
        <w:rPr>
          <w:sz w:val="20"/>
          <w:szCs w:val="20"/>
          <w:color w:val="auto"/>
        </w:rPr>
      </w:pPr>
    </w:p>
    <w:p>
      <w:pPr>
        <w:ind w:left="720" w:hanging="224"/>
        <w:spacing w:after="0" w:line="254"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ind w:left="720" w:hanging="22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candidate;</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establishing sales or distribution capabilities;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 of the commercialization of our products;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9"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Required additional sources of financing to continue our operations in the future might not be available on favorable terms, if at all. If we do not succeed in raising additional funds on acceptable terms, we might be unable to complete planned preclinical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umbralisib and/or ublituximab or any of our product candidates and otherwise forego attractive business opportunities. Any additional sources of financing will likely involve the issuance of our equity securities, which would have a dilutive effect to stockholders. Currently, none of our product candidates have been approved by the FDA or any foreign regulatory authority for sale. Therefore, for the foreseeable future, we will have to fund all of our operations and capital expenditures from cash on hand and amounts raised in future offerings or financings. Accordingly, our prospects must be considered in light of the uncertainties, risks, expenses and difficulties frequently encountered by companies in the early stages of operations and the competitive environment in which we operate.</w:t>
      </w:r>
    </w:p>
    <w:p>
      <w:pPr>
        <w:spacing w:after="0" w:line="20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7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restrictive covenants limiting or restricting our ability to take specific actions, such as incurring additional debt, making capital expenditures, declaring dividends, acquiring, selling or licensing intellectual property rights and other operating restrictions that could adversely impact our ability to conduct our business. We could also be required to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For example, see our risk factors under the heading “Risks Related to Our Indebtedness.”</w:t>
      </w:r>
    </w:p>
    <w:p>
      <w:pPr>
        <w:spacing w:after="0" w:line="17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product candidate development timelines and projections in this report are based on the assumption of further financing.</w:t>
      </w:r>
    </w:p>
    <w:p>
      <w:pPr>
        <w:spacing w:after="0" w:line="225" w:lineRule="exact"/>
        <w:rPr>
          <w:sz w:val="20"/>
          <w:szCs w:val="20"/>
          <w:color w:val="auto"/>
        </w:rPr>
      </w:pPr>
    </w:p>
    <w:p>
      <w:pPr>
        <w:ind w:right="320" w:firstLine="648"/>
        <w:spacing w:after="0" w:line="294" w:lineRule="auto"/>
        <w:rPr>
          <w:sz w:val="20"/>
          <w:szCs w:val="20"/>
          <w:color w:val="auto"/>
        </w:rPr>
      </w:pPr>
      <w:r>
        <w:rPr>
          <w:rFonts w:ascii="Arial" w:cs="Arial" w:eastAsia="Arial" w:hAnsi="Arial"/>
          <w:sz w:val="16"/>
          <w:szCs w:val="16"/>
          <w:color w:val="auto"/>
        </w:rPr>
        <w:t>The timelines and projections in this report are predicated upon the assumption that we will raise additional financing in the future to continue the development of our product candidates. In the event we do not successfully raise subsequent financing, our product development activities will necessarily be curtailed commensurate with the magnitude of the shortfall. If our product development activities are slowed or stopped, we would be unable to meet the timelines and projections outlined in this filing. Failure to progress our product candidates as anticipated will have a negative effect on our business, future prospects, and ability to obtain further financing on acceptable terms, if at all, and the value of the enterprise.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32" w:name="page33"/>
    <w:bookmarkEnd w:id="32"/>
    <w:p>
      <w:pPr>
        <w:ind w:right="60"/>
        <w:spacing w:after="0" w:line="268" w:lineRule="auto"/>
        <w:rPr>
          <w:sz w:val="20"/>
          <w:szCs w:val="20"/>
          <w:color w:val="auto"/>
        </w:rPr>
      </w:pPr>
      <w:r>
        <w:rPr>
          <w:rFonts w:ascii="Arial" w:cs="Arial" w:eastAsia="Arial" w:hAnsi="Arial"/>
          <w:sz w:val="18"/>
          <w:szCs w:val="18"/>
          <w:b w:val="1"/>
          <w:bCs w:val="1"/>
          <w:i w:val="1"/>
          <w:iCs w:val="1"/>
          <w:color w:val="auto"/>
        </w:rPr>
        <w:t>Due to limited resources w</w:t>
      </w:r>
      <w:r>
        <w:rPr>
          <w:rFonts w:ascii="Arial" w:cs="Arial" w:eastAsia="Arial" w:hAnsi="Arial"/>
          <w:sz w:val="18"/>
          <w:szCs w:val="18"/>
          <w:b w:val="1"/>
          <w:bCs w:val="1"/>
          <w:i w:val="1"/>
          <w:iCs w:val="1"/>
          <w:color w:val="181717"/>
        </w:rPr>
        <w:t>e may fail to capitalize on programs or product candidates that may present a greater commercial opportunity or for which there is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i w:val="1"/>
          <w:iCs w:val="1"/>
          <w:color w:val="181717"/>
        </w:rPr>
        <w:t>a greater likelihood of success.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181717"/>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201" w:lineRule="exact"/>
        <w:rPr>
          <w:sz w:val="20"/>
          <w:szCs w:val="20"/>
          <w:color w:val="auto"/>
        </w:rPr>
      </w:pPr>
    </w:p>
    <w:p>
      <w:pPr>
        <w:jc w:val="both"/>
        <w:ind w:right="440" w:firstLine="648"/>
        <w:spacing w:after="0" w:line="259" w:lineRule="auto"/>
        <w:rPr>
          <w:sz w:val="20"/>
          <w:szCs w:val="20"/>
          <w:color w:val="auto"/>
        </w:rPr>
      </w:pPr>
      <w:r>
        <w:rPr>
          <w:rFonts w:ascii="Arial" w:cs="Arial" w:eastAsia="Arial" w:hAnsi="Arial"/>
          <w:sz w:val="18"/>
          <w:szCs w:val="18"/>
          <w:color w:val="181717"/>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Indebtedness</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86" w:lineRule="exact"/>
        <w:rPr>
          <w:sz w:val="20"/>
          <w:szCs w:val="20"/>
          <w:color w:val="auto"/>
        </w:rPr>
      </w:pPr>
    </w:p>
    <w:p>
      <w:pPr>
        <w:ind w:right="40" w:firstLine="702"/>
        <w:spacing w:after="0" w:line="289" w:lineRule="auto"/>
        <w:rPr>
          <w:sz w:val="20"/>
          <w:szCs w:val="20"/>
          <w:color w:val="auto"/>
        </w:rPr>
      </w:pPr>
      <w:r>
        <w:rPr>
          <w:rFonts w:ascii="Arial" w:cs="Arial" w:eastAsia="Arial" w:hAnsi="Arial"/>
          <w:sz w:val="16"/>
          <w:szCs w:val="16"/>
          <w:color w:val="auto"/>
        </w:rPr>
        <w:t>In February 2019, we entered into a Loan and Security Agreement (the "Loan Agreement"), with Hercules Capital, Inc., a Maryland corporation (“Hercules”) (See Note 7 for more information). Under the Loan Agreement, Hercules will provide access to term loans with an aggregate principal amount of up to $60.0 million (the “Term Loan”). Concurrently with the closing of the Loan Agreement, we borrowed an initial tranche of $30.0 million. In addition, we have incurred short term liabilities of approximately $18.0 million with a contract manufacturing organization (CMO) for the scale-up, tech-transfer, and long-term supply of one of our drug candidates. This is an expensive and lengthy process and we expect to incur additional obligations associated with these ongoing manufacturing activities over the course of the next 24 months, and potentially longer. To date, this CMO has provided payment terms which we believe are reasonable, however no assurance can be given that such terms will continue to be available to us in the future. No assurances can be made that the obligations associated with the Loan Agreement and the CMO will not have a material adverse impact on our financial condition.</w:t>
      </w:r>
    </w:p>
    <w:p>
      <w:pPr>
        <w:spacing w:after="0" w:line="172" w:lineRule="exact"/>
        <w:rPr>
          <w:sz w:val="20"/>
          <w:szCs w:val="20"/>
          <w:color w:val="auto"/>
        </w:rPr>
      </w:pPr>
    </w:p>
    <w:p>
      <w:pPr>
        <w:ind w:right="180" w:firstLine="648"/>
        <w:spacing w:after="0" w:line="306" w:lineRule="auto"/>
        <w:rPr>
          <w:sz w:val="20"/>
          <w:szCs w:val="20"/>
          <w:color w:val="auto"/>
        </w:rPr>
      </w:pPr>
      <w:r>
        <w:rPr>
          <w:rFonts w:ascii="Arial" w:cs="Arial" w:eastAsia="Arial" w:hAnsi="Arial"/>
          <w:sz w:val="16"/>
          <w:szCs w:val="16"/>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61" w:lineRule="exact"/>
        <w:rPr>
          <w:sz w:val="20"/>
          <w:szCs w:val="20"/>
          <w:color w:val="auto"/>
        </w:rPr>
      </w:pPr>
    </w:p>
    <w:p>
      <w:pPr>
        <w:ind w:left="880" w:hanging="222"/>
        <w:spacing w:after="0" w:line="254"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ind w:left="880" w:hanging="222"/>
        <w:spacing w:after="0" w:line="361" w:lineRule="auto"/>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cash available in an amount sufficient to enable it to make interest or principal payments on its indebtedness when due.</w:t>
      </w:r>
    </w:p>
    <w:p>
      <w:pPr>
        <w:spacing w:after="0" w:line="24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Failure to satisfy our current and future debt obligations under the Loan Agreement, or breaching any of its covenants under the Loan Agreement,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 self. Hercules could also exercise its rights as collateral agent to take possession and dispose of the collateral securing the term loans for its benefit, which collateral includes substantially all of our property other than intellectual property. Our business, financial condition and results of operations could be materially adversely affected as a result of any of these events. We are subject to certain restrictive covenants which, if breached, could have a material adverse effect on our business and prospects.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3" w:name="page34"/>
    <w:bookmarkEnd w:id="33"/>
    <w:p>
      <w:pPr>
        <w:ind w:right="200" w:firstLine="588"/>
        <w:spacing w:after="0" w:line="268" w:lineRule="auto"/>
        <w:rPr>
          <w:sz w:val="20"/>
          <w:szCs w:val="20"/>
          <w:color w:val="auto"/>
        </w:rPr>
      </w:pPr>
      <w:r>
        <w:rPr>
          <w:rFonts w:ascii="Arial" w:cs="Arial" w:eastAsia="Arial" w:hAnsi="Arial"/>
          <w:sz w:val="18"/>
          <w:szCs w:val="18"/>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86" w:lineRule="exact"/>
        <w:rPr>
          <w:sz w:val="20"/>
          <w:szCs w:val="20"/>
          <w:color w:val="auto"/>
        </w:rPr>
      </w:pPr>
    </w:p>
    <w:p>
      <w:pPr>
        <w:ind w:left="880" w:hanging="22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231"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b w:val="1"/>
          <w:bCs w:val="1"/>
          <w:i w:val="1"/>
          <w:iCs w:val="1"/>
          <w:color w:val="auto"/>
        </w:rPr>
        <w:t>If we are unable to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16" w:lineRule="exact"/>
        <w:rPr>
          <w:sz w:val="20"/>
          <w:szCs w:val="20"/>
          <w:color w:val="auto"/>
        </w:rPr>
      </w:pPr>
    </w:p>
    <w:p>
      <w:pPr>
        <w:ind w:right="20" w:firstLine="702"/>
        <w:spacing w:after="0" w:line="287" w:lineRule="auto"/>
        <w:rPr>
          <w:sz w:val="20"/>
          <w:szCs w:val="20"/>
          <w:color w:val="auto"/>
        </w:rPr>
      </w:pPr>
      <w:r>
        <w:rPr>
          <w:rFonts w:ascii="Arial" w:cs="Arial" w:eastAsia="Arial" w:hAnsi="Arial"/>
          <w:sz w:val="16"/>
          <w:szCs w:val="16"/>
          <w:color w:val="auto"/>
        </w:rPr>
        <w:t>We are a development-stage biopharmaceutical company, and do not currently have any commercial products that generate revenues or any other sources of revenue. We may never be able to successfully develop marketable products. Our pharmaceutical development methods are unproven and may not lead to commercially viable products for a variety of reasons. We have substantially invested all of our efforts and financial resources in the identification and pre-clinical and clinical development of our drug candidates, including ublituximab, umbralisib, TG-1501, TG-1701 and TG-1801. Our ability to generate drug revenues, which we do not expect will occur for a number of years, if ever, will depend heavily on the successful completion of our current and future Phase 3 and registration-directed clinical trials and eventual commercialization of our drug candidates, which may never occur. We currently generate no revenues from sales of any drugs, and we may never be able to develop or commercialize a marketable drug. Each of our drug candidates will require additional non-clinical or clinical development, management of clinical, non-clinical and manufacturing activities, regulatory approval in multiple jurisdictions, obtaining manufacturing supply, building of a commercial organization, substantial investment and significant marketing efforts before we generate any revenues from drug sales. The success of our most advanced drug candidates and other drug candidates will depend on several factors, including the following:</w:t>
      </w:r>
    </w:p>
    <w:p>
      <w:pPr>
        <w:spacing w:after="0" w:line="177" w:lineRule="exact"/>
        <w:rPr>
          <w:sz w:val="20"/>
          <w:szCs w:val="20"/>
          <w:color w:val="auto"/>
        </w:rPr>
      </w:pPr>
    </w:p>
    <w:p>
      <w:pPr>
        <w:ind w:left="880" w:hanging="22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completion of our UNITY-NHL trial, UNITY-CLL trial and our ULTIMATE I and II trials;</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drug candidates;</w:t>
      </w:r>
    </w:p>
    <w:p>
      <w:pPr>
        <w:spacing w:after="0" w:line="9"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for clinical supply and commercial manufacturing;</w:t>
      </w:r>
    </w:p>
    <w:p>
      <w:pPr>
        <w:ind w:left="880" w:hanging="22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Effectively differentiating and competing with other therapies;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an acceptable safety profile of the drug candidates following approval.</w:t>
      </w:r>
    </w:p>
    <w:p>
      <w:pPr>
        <w:spacing w:after="0" w:line="219" w:lineRule="exact"/>
        <w:rPr>
          <w:sz w:val="20"/>
          <w:szCs w:val="20"/>
          <w:color w:val="auto"/>
        </w:rPr>
      </w:pPr>
    </w:p>
    <w:p>
      <w:pPr>
        <w:ind w:right="460" w:firstLine="648"/>
        <w:spacing w:after="0" w:line="26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drug candidates, which would materially harm our business.</w:t>
      </w:r>
    </w:p>
    <w:p>
      <w:pPr>
        <w:spacing w:after="0" w:line="186" w:lineRule="exact"/>
        <w:rPr>
          <w:sz w:val="20"/>
          <w:szCs w:val="20"/>
          <w:color w:val="auto"/>
        </w:rPr>
      </w:pPr>
    </w:p>
    <w:p>
      <w:pPr>
        <w:ind w:right="260" w:firstLine="648"/>
        <w:spacing w:after="0" w:line="256" w:lineRule="auto"/>
        <w:rPr>
          <w:sz w:val="20"/>
          <w:szCs w:val="20"/>
          <w:color w:val="auto"/>
        </w:rPr>
      </w:pPr>
      <w:r>
        <w:rPr>
          <w:rFonts w:ascii="Arial" w:cs="Arial" w:eastAsia="Arial" w:hAnsi="Arial"/>
          <w:sz w:val="18"/>
          <w:szCs w:val="18"/>
          <w:color w:val="auto"/>
        </w:rPr>
        <w:t>If we are unable to develop or receive regulatory approval for or successfully commercialize any of our product candidates, we will not be able to generate product revenues and we may not be able to continue our operations. Even if we are able to develop or receive regulatory approval for or successfully commercialize any of our product candidates, we may not be able to gain market acceptance for our product candidates and future products and may never become profitable.</w:t>
      </w:r>
    </w:p>
    <w:p>
      <w:pPr>
        <w:spacing w:after="0" w:line="197"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Because the results of preclinical studies and early clinical trials are not necessarily predictive of future results, any product candidate we advance into clinical trials may not have favorable results in later clinical trials, if any, or receive regulatory approval.</w:t>
      </w:r>
    </w:p>
    <w:p>
      <w:pPr>
        <w:spacing w:after="0" w:line="13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Once a drug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Companies frequently experience significant setbacks in advanced clinical trials, even after earlier clinical trials have shown promising results. In addition, there is typically an extremely high rate of failure of pharmaceutical candidates proceeding through clinical trials.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4" w:name="page35"/>
    <w:bookmarkEnd w:id="34"/>
    <w:p>
      <w:pPr>
        <w:ind w:firstLine="648"/>
        <w:spacing w:after="0" w:line="285" w:lineRule="auto"/>
        <w:rPr>
          <w:sz w:val="20"/>
          <w:szCs w:val="20"/>
          <w:color w:val="auto"/>
        </w:rPr>
      </w:pPr>
      <w:r>
        <w:rPr>
          <w:rFonts w:ascii="Arial" w:cs="Arial" w:eastAsia="Arial" w:hAnsi="Arial"/>
          <w:sz w:val="16"/>
          <w:szCs w:val="16"/>
          <w:color w:val="auto"/>
        </w:rPr>
        <w:t>For instance, early clinical results seen with ublituximab (TG-1101) and/or umbralisib (TGR-1202) in a small number of patients may not be reproduced in expanded or larger clinical trials such as in our UNITY-CLL, UNITY-NHL and ULTIMATE I and II programs. Additionally, individually reported outcomes of patients treated in clinical trials may not be representative of the entire population of treated patients in such studies. Further,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study’s outcome or the opinion of the validity of the study results by applicable regulatory agencies. In addition, early clinical trial results from interim analysis or from the review of a Data Safety Monitoring Board (“DSMB”) or similar safety committee may not be reflective of the results of the entire study, when completed. Clinical trial results can change over time as additional patients are accrued to a study or as additional follow-up is conducted, which may result in a material negative impact on the preliminary results. For instance, we recently announced that the MZL cohort of the UNITY-NHL study met the primary endpoint of overall response rate (ORR), falling within our target range which was between 40%-50%, and while we believe that the ORR results have the potential to increase over time within this range, or beyond, as patients continue to be followed, no assurance can be given that that will be the case, and the results may ultimately fall at the lower end of the range. Further, time to event based endpoints such as duration of response (DOR) and PFS have the potential to change, sometimes drastically, with longer follow-up. No assurance can be provided that the ORR, DOR and PFS data from the MZL cohort of the UNITY-NHL study will be supportive of an FDA approval or will support broad market uptake based on the profile of competitor drugs which may be available. Additionally, while the MZL cohort of the UNITY-NHL study met its primary endpoint, each cohort of this study is operated and analyzed independently, and no assurance can be given that other cohorts from the UNITY-NHL study, including the FL/SLL cohort, MCL cohort and the DLBCL cohort, will meet their primary endpoint, have a positive outcome, or will be supportive of an FDA filing.</w:t>
      </w:r>
    </w:p>
    <w:p>
      <w:pPr>
        <w:spacing w:after="0" w:line="394" w:lineRule="exact"/>
        <w:rPr>
          <w:sz w:val="20"/>
          <w:szCs w:val="20"/>
          <w:color w:val="auto"/>
        </w:rPr>
      </w:pPr>
    </w:p>
    <w:p>
      <w:pPr>
        <w:ind w:right="140" w:firstLine="527"/>
        <w:spacing w:after="0" w:line="254" w:lineRule="auto"/>
        <w:rPr>
          <w:sz w:val="20"/>
          <w:szCs w:val="20"/>
          <w:color w:val="auto"/>
        </w:rPr>
      </w:pPr>
      <w:r>
        <w:rPr>
          <w:rFonts w:ascii="Arial" w:cs="Arial" w:eastAsia="Arial" w:hAnsi="Arial"/>
          <w:sz w:val="18"/>
          <w:szCs w:val="18"/>
          <w:color w:val="auto"/>
        </w:rPr>
        <w:t>All of our Phase 3 and registration directed clinical trials such as UNITY-CLL, UNITY-NHL and ULTIMATE I and II utilize international clinical research sites, including sites in eastern European countries. The Company works with what we believe are reputable Clinical Research Organization’s (“CRO”) and clinical research sites in conducting our studies internationally. Nevertheless, the risk of fraud, incompetence, unexpected patient variability and other issues affecting the quality and the outcome of our Phase 3 and registration directed studies could arise from US or international sites. If that were to occur, the study could be negatively impacted, potentially even preventing it from being useful for regulatory approval. If such event were to occur, it would have a substantial negative impact on the Company.</w:t>
      </w:r>
    </w:p>
    <w:p>
      <w:pPr>
        <w:spacing w:after="0" w:line="198" w:lineRule="exact"/>
        <w:rPr>
          <w:sz w:val="20"/>
          <w:szCs w:val="20"/>
          <w:color w:val="auto"/>
        </w:rPr>
      </w:pPr>
    </w:p>
    <w:p>
      <w:pPr>
        <w:ind w:right="20" w:firstLine="527"/>
        <w:spacing w:after="0" w:line="284" w:lineRule="auto"/>
        <w:rPr>
          <w:sz w:val="20"/>
          <w:szCs w:val="20"/>
          <w:color w:val="auto"/>
        </w:rPr>
      </w:pPr>
      <w:r>
        <w:rPr>
          <w:rFonts w:ascii="Arial" w:cs="Arial" w:eastAsia="Arial" w:hAnsi="Arial"/>
          <w:sz w:val="16"/>
          <w:szCs w:val="16"/>
          <w:color w:val="auto"/>
        </w:rPr>
        <w:t>Additionally, many of the results reported in our early clinical trials rely on local investigator assessed safety and efficacy outcomes which may differ from results assessed in a blinded, independent, centrally reviewed manner, often required of adequate and well controlled registration directed clinical trials which may be undertaken at a later date. All of our current Phase 3 and registration directed studies such as UNITY-CLL, UNITY-NHL and ULTIMATE I and II trials utilize blinded, independent, central review to assess the primary endpoint of such studies. If the results from interim analyses are not consistent with final results or results from our registration directed trials are different from the results found in the earlier studies of ublituximab and umbralisib, we may need to terminate or revise our clinical development plan, which could extend the time for conducting our development program and could have a material adverse effect on our business. For example, we recently presented to the FDA, interim results from the Marginal Zone Lymphoma (“MZL”) cohort of our UNITY-NHL trial that supported the granting of BTD. These interim results were also presented at the 2019 American Association of Cancer Research (AACR) annual meeting. No assurance can be given that the final results from that cohort will reflect the activity seen in these interim results, or that the final results will be sufficient to file for accelerated approval for umbralisib for the treatment of MZL, and if filed that umbralisib will receive accelerated approval. Similarly, while early Phase 1 data for umbralisib and ublituximab alone and together looked promising there is no assurance that the UNITY-CLL trial will be positive. Moreover, while we believe one of the key differentiators for umbralisib is its tolerability and side effect profile compared to other drugs in the same class, no assurance can be given that a differentiated safety and tolerability profile will be realized in our Phase 3 or registration directed trials such as UNITY-CLL or UNITY-NHL. Specifically, we have not yet assessed the final safety data from the MZL cohort of the UNITY-NHL study as patients continue on therapy, therefore there can be no assurance given that the final safety data, once fully analyzed, will be consistent with prior safety data presented on umbralisib, will be differentiated from other similar agents in the same class, or that it will be favorable enough to support an FDA filing. In addition, no assurance can be given that new toxicities, or an increase in the severity or frequency of previously seen toxicities, will not be observed, which could have a material negative impact on the approvability or marketability of umbralisib or any of our product candidates. Finally, while the Phase 2 data for ublituximab in MS looked promising, no assurance can be given that the profile will carry into Phase 3 and that the ULTIMATE I and II clinical trials will be positive.</w:t>
      </w:r>
    </w:p>
    <w:p>
      <w:pPr>
        <w:spacing w:after="0" w:line="185"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In addition to umbralisib and ublituximab, we have a number of compounds in early clinical development, such as TG-1501, TG-1701 and TG-1801. Many drugs fail in the early stages of clinical development for safety and tolerability issues, despite promising pre-clinical results. Accordingly, no assurance can be made that a safe and efficacious dose can be found for these compounds or that they will ever enter into advanced clinical trials alone or in combination with umbralisib and/or ublituximab.</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5" w:name="page36"/>
    <w:bookmarkEnd w:id="35"/>
    <w:p>
      <w:pPr>
        <w:ind w:right="520"/>
        <w:spacing w:after="0" w:line="33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3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Our drug candidates umbralisib and ublituximab are in several Phase 3 and registration directed clinical trials such as UNITY-CLL, UNITY-NHL and ULTIMATE I and II. As with all clinical trials,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Accordingly, our current Phase 3 and registration directed trials, such as UNITY-CLL, UNITY-NHL and ULTIMATE I and II and future clinical trials may not be successful.</w:t>
      </w:r>
    </w:p>
    <w:p>
      <w:pPr>
        <w:spacing w:after="0" w:line="172"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Successful completion of our clinical trials is a prerequisite to submitting an NDA, or a BLA to the U.S. FDA and a Marketing Authorization Application (“MAA”), in the European Union for each drug candidate and, consequently, the ultimate approval and commercial marketing of our drug candidates. We do not know whether any of our clinical trials for our drug candidates will be completed on schedule, if at all.</w:t>
      </w:r>
    </w:p>
    <w:p>
      <w:pPr>
        <w:spacing w:after="0" w:line="188"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Whether or not and how quickly we complete clinical trials is dependent in part upon the rate at which we are able to engage clinical research/trial sites and, thereafter, the rate of enrollment of patients, and the rate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72" w:lineRule="exact"/>
        <w:rPr>
          <w:sz w:val="20"/>
          <w:szCs w:val="20"/>
          <w:color w:val="auto"/>
        </w:rPr>
      </w:pPr>
    </w:p>
    <w:p>
      <w:pPr>
        <w:ind w:left="880" w:hanging="222"/>
        <w:spacing w:after="0" w:line="254"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ind w:left="880" w:hanging="222"/>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health authorities or institutional review boards (“IRBs”), or ethics committees may not authorize us or our investigators to commence a clinical trial or conduct a clinical trial at a prospective trial site or country;</w:t>
      </w:r>
    </w:p>
    <w:p>
      <w:pPr>
        <w:ind w:left="880" w:hanging="222"/>
        <w:spacing w:after="0" w:line="281" w:lineRule="auto"/>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 w:lineRule="exact"/>
        <w:rPr>
          <w:rFonts w:ascii="Arial" w:cs="Arial" w:eastAsia="Arial" w:hAnsi="Arial"/>
          <w:sz w:val="16"/>
          <w:szCs w:val="16"/>
          <w:color w:val="auto"/>
        </w:rPr>
      </w:pPr>
    </w:p>
    <w:p>
      <w:pPr>
        <w:ind w:left="880" w:hanging="222"/>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health authorities may require us, to conduct additional pre-clinical studies or clinical trials or we may decide to abandon drug development programs;</w:t>
      </w:r>
    </w:p>
    <w:p>
      <w:pPr>
        <w:jc w:val="both"/>
        <w:ind w:left="880" w:hanging="222"/>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spacing w:after="0" w:line="1" w:lineRule="exact"/>
        <w:rPr>
          <w:rFonts w:ascii="Arial" w:cs="Arial" w:eastAsia="Arial" w:hAnsi="Arial"/>
          <w:sz w:val="18"/>
          <w:szCs w:val="18"/>
          <w:color w:val="auto"/>
        </w:rPr>
      </w:pPr>
    </w:p>
    <w:p>
      <w:pPr>
        <w:jc w:val="both"/>
        <w:ind w:left="880" w:hanging="222"/>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8"/>
          <w:szCs w:val="18"/>
          <w:color w:val="auto"/>
        </w:rPr>
      </w:pPr>
    </w:p>
    <w:p>
      <w:pPr>
        <w:jc w:val="both"/>
        <w:ind w:left="880" w:hanging="222"/>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elect to, or health authorities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 w:lineRule="exact"/>
        <w:rPr>
          <w:rFonts w:ascii="Arial" w:cs="Arial" w:eastAsia="Arial" w:hAnsi="Arial"/>
          <w:sz w:val="18"/>
          <w:szCs w:val="18"/>
          <w:color w:val="auto"/>
        </w:rPr>
      </w:pPr>
    </w:p>
    <w:p>
      <w:pPr>
        <w:ind w:left="880" w:hanging="22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9"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 and</w:t>
      </w:r>
    </w:p>
    <w:p>
      <w:pPr>
        <w:jc w:val="both"/>
        <w:ind w:left="880" w:hanging="222"/>
        <w:spacing w:after="0" w:line="255"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health authorities, IRBs or ethics committees to suspend or terminate the trials, or reports may arise from pre-clinical or clinical testing of other cancer therapies that raise safety or efficacy concerns about our drug candidates.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6" w:name="page37"/>
    <w:bookmarkEnd w:id="36"/>
    <w:p>
      <w:pPr>
        <w:ind w:right="20" w:firstLine="648"/>
        <w:spacing w:after="0" w:line="285" w:lineRule="auto"/>
        <w:rPr>
          <w:sz w:val="20"/>
          <w:szCs w:val="20"/>
          <w:color w:val="auto"/>
        </w:rPr>
      </w:pPr>
      <w:r>
        <w:rPr>
          <w:rFonts w:ascii="Arial" w:cs="Arial" w:eastAsia="Arial" w:hAnsi="Arial"/>
          <w:sz w:val="16"/>
          <w:szCs w:val="16"/>
          <w:color w:val="auto"/>
        </w:rPr>
        <w:t>We could encounter delays if a clinical trial is suspended or terminated by us, by the IRBs of the institutions in which such trials are being conducted, by the DSMB for such trial or by the FDA or other regulatory authorities. Such health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 This could happen even for a protocol that has received an SPA. In September 2015, we announced a Phase 3 clinical trial for the combination of ublituximab plus umbralisib for patients with CLL, which is being conducted pursuant to a SPA with the FDA and in August 2017 we announced an SPA for our registration program for ublituximab in RMS. Many companies which have been granted SPAs have ultimately failed to obtain final approval to market their drugs. Since we are seeking approvals under SPAs for some of our product registration strategies, based on protocol designs negotiated with the FDA, we may be subject to enhanced scrutiny. Further, any changes or amendments to a protocol that is being conducted under SPA will have to be reviewed and approved by the FDA to verify that the SPA agreement is still valid. Even if the primary endpoint in a Phase 3 clinical trial is achieved, a SPA does not guarantee approval.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prior to making its final decision.</w:t>
      </w:r>
    </w:p>
    <w:p>
      <w:pPr>
        <w:spacing w:after="0" w:line="178"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97" w:lineRule="exact"/>
        <w:rPr>
          <w:sz w:val="20"/>
          <w:szCs w:val="20"/>
          <w:color w:val="auto"/>
        </w:rPr>
      </w:pPr>
    </w:p>
    <w:p>
      <w:pPr>
        <w:ind w:left="880" w:hanging="22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drug development costs will also increase if we experience delays in testing or regulatory approvals. We may also incur additional costs if enrollment is increased. All our current Phase 3 and registration-directed clinical trials, such as UNITY-CLL, UNITY-NHL and ULTIMATE I and II enrolled a larger number of patients than our initial projections, adding significant costs to those studies over and above what had been projected. We do not know whether any of our clinical trials will begin as planned, will need to be restructured or will be completed on schedule, or at all. Certain clinical trials are designed to continue until a pre-determined number of events have occurred in the patients enrolled. Trials such as this are subject to delays stemming from patient withdrawal and from lower than expected event rates. UNITY-CLL is an event-driven study, which means the study can only end when a certain pre-specified number of events have occurred. In the case of UNITY-CLL, an event is defined as disease progression or death. Given that these events cannot be predicted with certainty, predicting accurately when this study will reach a sufficient number of events to be complete is impossible. We have stated we believe the number of events can be reached by YE19 or in 2020 but there can be no assurance that that will occur and timelines for the completion of this study should not be relied on given the inherent uncertainty. Delays beyond early 2020 could have a material and adverse impact on the Company. Significant clinical trial delays also could shorten any periods during which we may have the exclusive right to commercialize our drug candidates or allow our competitors to bring products to market before we do and impair our ability to successfully commercialize our drug candidates. Any delays in our pre-clinical or future clinical development programs may harm our business, financial condition and prospects significantly.</w:t>
      </w:r>
    </w:p>
    <w:p>
      <w:pPr>
        <w:spacing w:after="0" w:line="175" w:lineRule="exact"/>
        <w:rPr>
          <w:sz w:val="20"/>
          <w:szCs w:val="20"/>
          <w:color w:val="auto"/>
        </w:rPr>
      </w:pPr>
    </w:p>
    <w:p>
      <w:pPr>
        <w:jc w:val="both"/>
        <w:ind w:right="40" w:firstLine="648"/>
        <w:spacing w:after="0" w:line="306" w:lineRule="auto"/>
        <w:rPr>
          <w:sz w:val="20"/>
          <w:szCs w:val="20"/>
          <w:color w:val="auto"/>
        </w:rPr>
      </w:pPr>
      <w:r>
        <w:rPr>
          <w:rFonts w:ascii="Arial" w:cs="Arial" w:eastAsia="Arial" w:hAnsi="Arial"/>
          <w:sz w:val="16"/>
          <w:szCs w:val="16"/>
          <w:color w:val="auto"/>
        </w:rPr>
        <w:t>In addition, principal investigators for our clinical trials may serve as scientific advisors or consultants to us from time to time and receive cash or equity compensation in connection with such services. If these relationships and any related compensation result in perceived or actual conflicts of interest, the integrity of the data generated at the applicable clinical trial site, or FDA’s willingness to accept such data, may be jeopardized.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sufficiency of our clinical trial results for accelerated approval are subject to FDA’s discretion.</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and will continue to explore strategies for ublituximab and/or umbralisib that involve use of the FDA’s accelerated approval pathway. Obtaining accelerated approval for an agent requires demonstration of meaningful benefit over all available therapies for a serious condition. While we believe we have an understanding of what is considered available therapy today, ultimately the determination of what constitutes available therapy is wholly up to the FDA and is subject to change. No assurance can be given that other agents will not receive full approval prior to our potential receipt of accelerated approval. If that were to occur, no assurance can be given that we would be successful in proving meaningful benefit over those later approved drugs. If we were unable to prove meaningful benefit over any such agents, we would be effectively blocked from receiving accelerated approval. We are currently awaiting final results from our UNITY-NHL trial, in particular the MZL cohort, which we are hoping will be useful for accelerated approval if positive. Even if the results are positive, no assurance can be given that umbralisib will obtain accelerated approval for a variety of reasons, including if a new treatment receives full approval prior to our potential receipt of accelerated approval. Previously, we were hopeful to utilize the results from our GENUINE study for accelerated approval but the intervening full approval of a drug called venetoclax for relapsed/refractory CLL has made that potential application more challenging. While no final decision has been made as to the filing of the GENUINE study for accelerated approval, the Company has no plans to pursue that filing at this time. No assurance can be given that a filing based on the GENUINE results will ever be made.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7" w:name="page38"/>
    <w:bookmarkEnd w:id="37"/>
    <w:p>
      <w:pPr>
        <w:ind w:right="40" w:firstLine="648"/>
        <w:spacing w:after="0" w:line="332" w:lineRule="auto"/>
        <w:rPr>
          <w:sz w:val="20"/>
          <w:szCs w:val="20"/>
          <w:color w:val="auto"/>
        </w:rPr>
      </w:pPr>
      <w:r>
        <w:rPr>
          <w:rFonts w:ascii="Arial" w:cs="Arial" w:eastAsia="Arial" w:hAnsi="Arial"/>
          <w:sz w:val="16"/>
          <w:szCs w:val="16"/>
          <w:color w:val="auto"/>
        </w:rPr>
        <w:t>Finally, if any of our drugs were ever to receive accelerated approval, we would be required to conduct a post-market confirmatory study, which we may not complete, or if completed, may prove unsuccessful. In such instance, the FDA can remove the product from the market.</w:t>
      </w:r>
    </w:p>
    <w:p>
      <w:pPr>
        <w:spacing w:after="0" w:line="16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86"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224" w:lineRule="exact"/>
        <w:rPr>
          <w:sz w:val="20"/>
          <w:szCs w:val="20"/>
          <w:color w:val="auto"/>
        </w:rPr>
      </w:pPr>
    </w:p>
    <w:p>
      <w:pPr>
        <w:ind w:right="100" w:firstLine="702"/>
        <w:spacing w:after="0" w:line="294" w:lineRule="auto"/>
        <w:rPr>
          <w:sz w:val="20"/>
          <w:szCs w:val="20"/>
          <w:color w:val="auto"/>
        </w:rPr>
      </w:pPr>
      <w:r>
        <w:rPr>
          <w:rFonts w:ascii="Arial" w:cs="Arial" w:eastAsia="Arial" w:hAnsi="Arial"/>
          <w:sz w:val="16"/>
          <w:szCs w:val="16"/>
          <w:color w:val="auto"/>
        </w:rPr>
        <w:t>As is the case with all drugs, it is likely that there will be side effects associated with the use of our drug candidates.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Any of these occurrences may harm our business, financial condition and prospects significantly.</w:t>
      </w:r>
    </w:p>
    <w:p>
      <w:pPr>
        <w:spacing w:after="0" w:line="170" w:lineRule="exact"/>
        <w:rPr>
          <w:sz w:val="20"/>
          <w:szCs w:val="20"/>
          <w:color w:val="auto"/>
        </w:rPr>
      </w:pPr>
    </w:p>
    <w:p>
      <w:pPr>
        <w:ind w:right="40" w:firstLine="692"/>
        <w:spacing w:after="0" w:line="256" w:lineRule="auto"/>
        <w:rPr>
          <w:sz w:val="20"/>
          <w:szCs w:val="20"/>
          <w:color w:val="auto"/>
        </w:rPr>
      </w:pPr>
      <w:r>
        <w:rPr>
          <w:rFonts w:ascii="Arial" w:cs="Arial" w:eastAsia="Arial" w:hAnsi="Arial"/>
          <w:sz w:val="18"/>
          <w:szCs w:val="18"/>
          <w:color w:val="auto"/>
        </w:rPr>
        <w:t>Many compounds that initially showed promise in early 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severe side effects of our drug candidates may only be uncovered with a significantly larger number of patients exposed to the drug candidate in Phase 3 or registration directed trials and on the market.</w:t>
      </w:r>
    </w:p>
    <w:p>
      <w:pPr>
        <w:spacing w:after="0" w:line="19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We are currently running our Phase 3 and registration-directed trials, such as UNITY-CLL, UNITY-NHL and ULTIMATE I and II and have not completed testing of any of our product candidates for the treatment of the indications for which we intend to seek product approval in humans, and we currently do not know the extent that the adverse events, if any, will be observed in patients who receive any of our product candidates. To date, clinical trials using ublituximab and umbralisib have demonstrated a toxicity profile that was deemed acceptable by the investigators performing such studies. Such interpretation may not be shared by future investigators or by the health authorities and in the case of ublituximab and umbralisib, even if deemed acceptable for oncology and/or autoimmune indications, it may not be acceptable for diseases outside the oncology and autoimmune settings, and likewise for any other product candidates we may develop. Additionally, the severity, duration and incidence of adverse events may increase in larger study populations such as found in our on-going Phase 3 and registration-directed trials. Particularly, with respect to umbralisib, although over 1,000 patients to date have been dosed amongst all ongoing umbralisib studies, the full adverse effect profile of umbralisib is not known. It is also unknown as additional patients are exposed for longer durations to umbralisib, whether greater frequency and/or severity of adverse events are likely to occur. Common toxicities of other drugs in the same class as umbralisib include high levels of liver toxicity, infections and colitis, the latter of which notably has presented with later onset, with incidence increasing with duration of exposure. No assurance can be given that an acceptable safety and tolerability profile for umbralisib will continue to be demonstrated in the future with longer durations of exposure, at the fixed 800mg dose being evaluated in our registration-directed trials and in multiple drug combinations.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80" w:lineRule="exact"/>
        <w:rPr>
          <w:sz w:val="20"/>
          <w:szCs w:val="20"/>
          <w:color w:val="auto"/>
        </w:rPr>
      </w:pPr>
    </w:p>
    <w:p>
      <w:pPr>
        <w:ind w:firstLine="693"/>
        <w:spacing w:after="0" w:line="289" w:lineRule="auto"/>
        <w:rPr>
          <w:sz w:val="20"/>
          <w:szCs w:val="20"/>
          <w:color w:val="auto"/>
        </w:rPr>
      </w:pPr>
      <w:r>
        <w:rPr>
          <w:rFonts w:ascii="Arial" w:cs="Arial" w:eastAsia="Arial" w:hAnsi="Arial"/>
          <w:sz w:val="16"/>
          <w:szCs w:val="16"/>
          <w:color w:val="auto"/>
        </w:rPr>
        <w:t>Additionally, in drug-combination clinical development, there is an inherent risk of drug-drug interactions between combination agents which may affect each component’s individual pharmacologic properties and the overall efficacy and safety of the combination regimen. Both ublituximab and umbralisib are being evaluated in combination with each other, as well as with a variety of other active anti-cancer agents, which may cause unforeseen toxicity, or impact the severity, duration, and incidence of adverse events observed compared to those seen in the single agent studies of these agents. We also intend to explore multiple combination studies involving TG-1501,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72" w:lineRule="exact"/>
        <w:rPr>
          <w:sz w:val="20"/>
          <w:szCs w:val="20"/>
          <w:color w:val="auto"/>
        </w:rPr>
      </w:pPr>
    </w:p>
    <w:p>
      <w:pPr>
        <w:ind w:right="240" w:firstLine="702"/>
        <w:spacing w:after="0" w:line="332" w:lineRule="auto"/>
        <w:rPr>
          <w:sz w:val="20"/>
          <w:szCs w:val="20"/>
          <w:color w:val="auto"/>
        </w:rPr>
      </w:pPr>
      <w:r>
        <w:rPr>
          <w:rFonts w:ascii="Arial" w:cs="Arial" w:eastAsia="Arial" w:hAnsi="Arial"/>
          <w:sz w:val="16"/>
          <w:szCs w:val="16"/>
          <w:color w:val="auto"/>
        </w:rPr>
        <w:t>If any of our drug candidates receive marketing approval and we or others later identify undesirable or unacceptable side effects caused by such drug candidates (or any other similar drugs) after such approval, a number of potentially significant negative consequences could result, including:</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8" w:name="page39"/>
    <w:bookmarkEnd w:id="38"/>
    <w:p>
      <w:pPr>
        <w:ind w:left="880" w:hanging="22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 more significant clinical benefit for approval to offset the risk;</w:t>
      </w:r>
    </w:p>
    <w:p>
      <w:pPr>
        <w:spacing w:after="0" w:line="9"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contra-indications, or precautions, that could diminish the usage of the product or otherwise limit the commercial success of the affected product;</w:t>
      </w:r>
    </w:p>
    <w:p>
      <w:pPr>
        <w:ind w:left="880" w:hanging="22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spacing w:after="0" w:line="9" w:lineRule="exact"/>
        <w:rPr>
          <w:rFonts w:ascii="Arial" w:cs="Arial" w:eastAsia="Arial" w:hAnsi="Arial"/>
          <w:sz w:val="18"/>
          <w:szCs w:val="18"/>
          <w:color w:val="auto"/>
        </w:rPr>
      </w:pPr>
    </w:p>
    <w:p>
      <w:pPr>
        <w:jc w:val="both"/>
        <w:ind w:left="880" w:hanging="222"/>
        <w:spacing w:after="0" w:line="250"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 Risk Evaluation and Mitigation Strategy ("REMS"), plan to mitigate risks, which could include medication guides, physician communication plans, or elements to assure safe use, such as restricted distribution methods, patient registries and other risk minimization tools;</w:t>
      </w:r>
    </w:p>
    <w:p>
      <w:pPr>
        <w:spacing w:after="0" w:line="1" w:lineRule="exact"/>
        <w:rPr>
          <w:rFonts w:ascii="Arial" w:cs="Arial" w:eastAsia="Arial" w:hAnsi="Arial"/>
          <w:sz w:val="18"/>
          <w:szCs w:val="18"/>
          <w:color w:val="auto"/>
        </w:rPr>
      </w:pPr>
    </w:p>
    <w:p>
      <w:pPr>
        <w:ind w:left="880" w:hanging="22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9" w:lineRule="exact"/>
        <w:rPr>
          <w:sz w:val="20"/>
          <w:szCs w:val="20"/>
          <w:color w:val="auto"/>
        </w:rPr>
      </w:pPr>
    </w:p>
    <w:p>
      <w:pPr>
        <w:ind w:right="380" w:firstLine="682"/>
        <w:spacing w:after="0" w:line="306" w:lineRule="auto"/>
        <w:rPr>
          <w:sz w:val="20"/>
          <w:szCs w:val="20"/>
          <w:color w:val="auto"/>
        </w:rPr>
      </w:pPr>
      <w:r>
        <w:rPr>
          <w:rFonts w:ascii="Arial" w:cs="Arial" w:eastAsia="Arial" w:hAnsi="Arial"/>
          <w:sz w:val="16"/>
          <w:szCs w:val="16"/>
          <w:color w:val="auto"/>
        </w:rPr>
        <w:t>Any one or a combination of these events could prevent us from obtaining or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8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8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or any future product candidates are subject to extensive regulation by the FDA in the United States and by comparable health authorities worldwide. In the United States, we are not permitted to market a product candidate until we receive approval of a BLA or NDA from the FDA. The process of obtaining BLA and NDA approval is expensive, often takes many years and can vary substantially based upon the type, complexity and novelty of the products involved. Approval policies or regulations may change and the FDA has substantial discretion in the pharmaceutical approval process, including the ability to delay, limit or deny approval of a product candidate for many reasons. In addition, the FDA may require post-approval clinical trials or studies which also may be costly. The FDA approval for a limited indication or approval with required warning language, such as a boxed warning, could significantly impact our ability to successfully market our product candidates. Finally, the FDA may require adoption of a REMS requiring prescriber training, post-market registries, or otherwise restricting the marketing and dissemination of these products. Despite the time and expense invested in the clinical development of product candidates, regulatory approval is never guaranteed. Assuming successful clinical development, we intend to seek product approvals in countries outside the United States. As a result, we would be subject to regulation by the European Medicines Agency (“EMA”), as well as the other regulatory agencies in these countries.</w:t>
      </w:r>
    </w:p>
    <w:p>
      <w:pPr>
        <w:spacing w:after="0" w:line="181" w:lineRule="exact"/>
        <w:rPr>
          <w:sz w:val="20"/>
          <w:szCs w:val="20"/>
          <w:color w:val="auto"/>
        </w:rPr>
      </w:pPr>
    </w:p>
    <w:p>
      <w:pPr>
        <w:ind w:firstLine="527"/>
        <w:spacing w:after="0" w:line="294" w:lineRule="auto"/>
        <w:rPr>
          <w:sz w:val="20"/>
          <w:szCs w:val="20"/>
          <w:color w:val="auto"/>
        </w:rPr>
      </w:pPr>
      <w:r>
        <w:rPr>
          <w:rFonts w:ascii="Arial" w:cs="Arial" w:eastAsia="Arial" w:hAnsi="Arial"/>
          <w:sz w:val="16"/>
          <w:szCs w:val="16"/>
          <w:color w:val="auto"/>
        </w:rPr>
        <w:t>Approval procedures vary among countries and can involve additional product testing and additional administrative review periods. The time required to obtain approval in other countries might differ from that required to obtain FDA approval. Regulatory approval in one country does not ensure regulatory approval in another, but a failure or delay in obtaining regulatory approval in one country may negatively impact the regulatory process in others. As in the United States, the regulatory approval process in Europe and in other countries is a lengthy and challenging process. The FDA, and any other regulatory body around the world can delay, limit or deny approval of a product candidate for many reasons, including:</w:t>
      </w:r>
    </w:p>
    <w:p>
      <w:pPr>
        <w:spacing w:after="0" w:line="170" w:lineRule="exact"/>
        <w:rPr>
          <w:sz w:val="20"/>
          <w:szCs w:val="20"/>
          <w:color w:val="auto"/>
        </w:rPr>
      </w:pPr>
    </w:p>
    <w:p>
      <w:pPr>
        <w:ind w:left="720" w:hanging="22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5" w:lineRule="exact"/>
        <w:rPr>
          <w:rFonts w:ascii="Arial" w:cs="Arial" w:eastAsia="Arial" w:hAnsi="Arial"/>
          <w:sz w:val="18"/>
          <w:szCs w:val="18"/>
          <w:color w:val="auto"/>
        </w:rPr>
      </w:pPr>
    </w:p>
    <w:p>
      <w:pPr>
        <w:ind w:left="720" w:right="20" w:hanging="224"/>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an indication;</w:t>
      </w:r>
    </w:p>
    <w:p>
      <w:pPr>
        <w:ind w:left="720" w:right="20" w:hanging="224"/>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the United States;</w:t>
      </w:r>
    </w:p>
    <w:p>
      <w:pPr>
        <w:ind w:left="720" w:right="20" w:hanging="224"/>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720" w:hanging="224"/>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32" w:lineRule="exact"/>
        <w:rPr>
          <w:rFonts w:ascii="Arial" w:cs="Arial" w:eastAsia="Arial" w:hAnsi="Arial"/>
          <w:sz w:val="16"/>
          <w:szCs w:val="16"/>
          <w:color w:val="auto"/>
        </w:rPr>
      </w:pPr>
    </w:p>
    <w:p>
      <w:pPr>
        <w:ind w:left="720" w:hanging="224"/>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submission or to obtain regulatory approval in the United States or elsewhere;</w:t>
      </w:r>
    </w:p>
    <w:p>
      <w:pPr>
        <w:ind w:left="720" w:hanging="224"/>
        <w:spacing w:after="0" w:line="281" w:lineRule="auto"/>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 or</w:t>
      </w:r>
    </w:p>
    <w:p>
      <w:pPr>
        <w:spacing w:after="0" w:line="1" w:lineRule="exact"/>
        <w:rPr>
          <w:rFonts w:ascii="Arial" w:cs="Arial" w:eastAsia="Arial" w:hAnsi="Arial"/>
          <w:sz w:val="16"/>
          <w:szCs w:val="16"/>
          <w:color w:val="auto"/>
        </w:rPr>
      </w:pPr>
    </w:p>
    <w:p>
      <w:pPr>
        <w:ind w:left="720" w:hanging="224"/>
        <w:spacing w:after="0" w:line="261"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92"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In addition, raising questions about the safety of marketed pharmaceuticals may result in increased cautiousness by the FDA and other regulatory authorities in reviewing new pharmaceuticals based on safety, efficacy or other regulatory considerations and may result in significant delays in obtaining regulatory approvals. Regulatory approvals for our product candidates may not be obtained without lengthy delays, if at all. Any delay in obtaining, or inability to obtain, applicable regulatory approvals would prevent us from commercializing our product candidates.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39" w:name="page40"/>
    <w:bookmarkEnd w:id="39"/>
    <w:p>
      <w:pPr>
        <w:ind w:right="60"/>
        <w:spacing w:after="0" w:line="335" w:lineRule="auto"/>
        <w:rPr>
          <w:sz w:val="20"/>
          <w:szCs w:val="20"/>
          <w:color w:val="auto"/>
        </w:rPr>
      </w:pPr>
      <w:r>
        <w:rPr>
          <w:rFonts w:ascii="Arial" w:cs="Arial" w:eastAsia="Arial" w:hAnsi="Arial"/>
          <w:sz w:val="15"/>
          <w:szCs w:val="15"/>
          <w:b w:val="1"/>
          <w:bCs w:val="1"/>
          <w:i w:val="1"/>
          <w:iCs w:val="1"/>
          <w:color w:val="auto"/>
        </w:rPr>
        <w:t>A breakthrough therapy designation by the FDA for our drug candidates, including umbralisib for the treatment of adult patients with relapsed or refractory Marginal Zone Lymphoma (MZL) who have received at least one prior treatment including an anti-CD20 monoclonal antibody, may not lead to a faster development or regulatory review or approval process, and it does not ensure that our drug candidates will receive marketing approval.</w:t>
      </w:r>
    </w:p>
    <w:p>
      <w:pPr>
        <w:spacing w:after="0" w:line="14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January 2019, the FDA granted breakthrough therapy designation (also referred to as BTD) to umbralisib for the treatment of adult patients with relapsed or refractory MZL who have received at least one prior treatment including an anti-CD20 monoclonal antibody.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Our breakthrough therapy designation was based on interim data from the MZL cohort of the UNITY-NHL clinical trial. No assurance can be given that the full results from the MZL cohort of the UNITY-NHL clinical trial will be positive and support a filing for accelerated approval.</w:t>
      </w:r>
    </w:p>
    <w:p>
      <w:pPr>
        <w:spacing w:after="0" w:line="19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Designation as a breakthrough therapy is wholly within the discretion of the FDA. Accordingly, even if we believe one of our drug candidates meets the criteria for designation as a breakthrough therapy, the FDA may disagree and instead determine not to grant such designation to the drug candidate.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 and rescind the designation.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225" w:lineRule="exact"/>
        <w:rPr>
          <w:sz w:val="20"/>
          <w:szCs w:val="20"/>
          <w:color w:val="auto"/>
        </w:rPr>
      </w:pPr>
    </w:p>
    <w:p>
      <w:pPr>
        <w:ind w:right="180" w:firstLine="692"/>
        <w:spacing w:after="0" w:line="291" w:lineRule="auto"/>
        <w:rPr>
          <w:sz w:val="20"/>
          <w:szCs w:val="20"/>
          <w:color w:val="auto"/>
        </w:rPr>
      </w:pPr>
      <w:r>
        <w:rPr>
          <w:rFonts w:ascii="Arial" w:cs="Arial" w:eastAsia="Arial" w:hAnsi="Arial"/>
          <w:sz w:val="16"/>
          <w:szCs w:val="16"/>
          <w:color w:val="auto"/>
        </w:rPr>
        <w:t>We may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7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While we have received orphan drug designation for umbralisib and ublituximab for specified indications, we may seek additional orphan drug designation for those and some of our other drug candidates. However, we may be unsuccessful in obtaining or may be unable to maintain the benefits associated with orphan drug designation, including the potential for market exclusivity.</w:t>
      </w:r>
    </w:p>
    <w:p>
      <w:pPr>
        <w:spacing w:after="0" w:line="19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Ublituximab received orphan-drug designation from the FDA for the treatment of Marginal Zone Lymphoma (Nodal and Extranodal) in September 2013, for the treatment of CLL in August of 2010, and orphan-drug designation by the EMA for the treatment of CLL in November of 2009. We also obtained orphan drug designation for umbralisib as monotherapy for the treatment of CLL in August 2016 and all three types of MZL (nodal, extranodal and splenic) in April 2019, and in January 2017, we announced that the FDA granted Orphan Drug designation covering the combination of ublituximab and umbralisib for the treatment of patients with CLL and DLBCL. As part of our business strategy, we may seek orphan drug designation for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9" w:right="279" w:bottom="1440" w:gutter="0" w:footer="0" w:header="0"/>
        </w:sectPr>
      </w:pPr>
    </w:p>
    <w:bookmarkStart w:id="40" w:name="page41"/>
    <w:bookmarkEnd w:id="40"/>
    <w:p>
      <w:pPr>
        <w:ind w:right="40" w:firstLine="648"/>
        <w:spacing w:after="0" w:line="309" w:lineRule="auto"/>
        <w:rPr>
          <w:sz w:val="20"/>
          <w:szCs w:val="20"/>
          <w:color w:val="auto"/>
        </w:rPr>
      </w:pPr>
      <w:r>
        <w:rPr>
          <w:rFonts w:ascii="Arial" w:cs="Arial" w:eastAsia="Arial" w:hAnsi="Arial"/>
          <w:sz w:val="15"/>
          <w:szCs w:val="15"/>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w:t>
      </w:r>
    </w:p>
    <w:p>
      <w:pPr>
        <w:spacing w:after="0" w:line="162"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As all of our product candidates are still under development, manufacturing site additions, scale-up and process improvements implemented in the production of those product candidates may affect their ultimate activity or function.</w:t>
      </w:r>
    </w:p>
    <w:p>
      <w:pPr>
        <w:spacing w:after="0" w:line="18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product candidates are in the initial stages of development and are currently manufactured in relatively small batches for use in pre-clinical and clinical studies. Process improvements implemented to date have changed, and process improvements in the future may change, the activity/ and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Phase 3 and material from more than one manufacturing process were utilized in the Phase 3 UNITY-CLL trial.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also can be negatively impacted by such process changes. Given the uncertainty of the impact on product specifications, quality and performance, process improvements made during Phase 3 development carry a higher level of risk then those made prior to Phase 3 development. If there are significant differences in product attributes between the two materials, we may need to adjust our statistical analysis plans of the Phase 3 study to confirm that there is no difference in safety or efficacy between product made by each process in order to and allow us to utilize data from all enrolled patients, as well as be able to integrate clinical safety and/or efficacy results across studies to support any potential marketing application. There can be no assurance given that such analyses will be successful in demonstrating no clinical differences between these drug products, which could substantially impact the approvability of the U2 combination based on the results of the UNITY-CLL study. In such circumstances, that would have a material adverse effect on the Company.</w:t>
      </w:r>
    </w:p>
    <w:p>
      <w:pPr>
        <w:spacing w:after="0" w:line="205"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97"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we have engaged a secondary manufacturer for ublituximab to meet our current clinical and future commercial needs and anticipate engaging additional manufacturing sources for umbralisib to meet expanded clinical trial and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umbralisib as manufactured to date and used in currently available pre-clinical data and or in early clinical trials presented publicly or reported in this or any previous filing, or that the relevant regulatory agencies will agree with our interpretation of comparability.</w:t>
      </w:r>
    </w:p>
    <w:p>
      <w:pPr>
        <w:spacing w:after="0" w:line="17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In addition, as we move closer to commercialization for ublituximab and umbralisib we will need to scale-up production to ensure adequate commercial supply. We are currently in the process of scaling up ublituximab.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94" w:lineRule="exact"/>
        <w:rPr>
          <w:sz w:val="20"/>
          <w:szCs w:val="20"/>
          <w:color w:val="auto"/>
        </w:rPr>
      </w:pPr>
    </w:p>
    <w:p>
      <w:pPr>
        <w:ind w:right="100" w:firstLine="648"/>
        <w:spacing w:after="0" w:line="294" w:lineRule="auto"/>
        <w:rPr>
          <w:sz w:val="20"/>
          <w:szCs w:val="20"/>
          <w:color w:val="auto"/>
        </w:rPr>
      </w:pPr>
      <w:r>
        <w:rPr>
          <w:rFonts w:ascii="Arial" w:cs="Arial" w:eastAsia="Arial" w:hAnsi="Arial"/>
          <w:sz w:val="16"/>
          <w:szCs w:val="16"/>
          <w:color w:val="auto"/>
        </w:rPr>
        <w:t xml:space="preserve">The precise incidence and/or prevalence of CLL, relapsed/refractory MZL, relapsed/refractory FL and MS are unknown. </w:t>
      </w:r>
      <w:r>
        <w:rPr>
          <w:rFonts w:ascii="Arial" w:cs="Arial" w:eastAsia="Arial" w:hAnsi="Arial"/>
          <w:sz w:val="16"/>
          <w:szCs w:val="16"/>
          <w:color w:val="181717"/>
        </w:rPr>
        <w:t>Our projections of both the</w:t>
      </w:r>
      <w:r>
        <w:rPr>
          <w:rFonts w:ascii="Arial" w:cs="Arial" w:eastAsia="Arial" w:hAnsi="Arial"/>
          <w:sz w:val="16"/>
          <w:szCs w:val="16"/>
          <w:color w:val="auto"/>
        </w:rPr>
        <w:t xml:space="preserve"> </w:t>
      </w:r>
      <w:r>
        <w:rPr>
          <w:rFonts w:ascii="Arial" w:cs="Arial" w:eastAsia="Arial" w:hAnsi="Arial"/>
          <w:sz w:val="16"/>
          <w:szCs w:val="16"/>
          <w:color w:val="181717"/>
        </w:rPr>
        <w:t xml:space="preserve">number of people who are affected by disease within our target indications, as well as the subset of these people who have the potential to benefit from treatment with </w:t>
      </w:r>
      <w:r>
        <w:rPr>
          <w:rFonts w:ascii="Arial" w:cs="Arial" w:eastAsia="Arial" w:hAnsi="Arial"/>
          <w:sz w:val="16"/>
          <w:szCs w:val="16"/>
          <w:color w:val="000000"/>
        </w:rPr>
        <w:t>our</w:t>
      </w:r>
      <w:r>
        <w:rPr>
          <w:rFonts w:ascii="Arial" w:cs="Arial" w:eastAsia="Arial" w:hAnsi="Arial"/>
          <w:sz w:val="16"/>
          <w:szCs w:val="16"/>
          <w:color w:val="181717"/>
        </w:rPr>
        <w:t xml:space="preserve"> product candidates, are based on our beliefs and estimates. Our beliefs are typically based on one on one and group interactions with target physicians and our estimates have been derived from a variety of sources, including the scientific literature, healthcare utilization databases and market research, and may prove to be incorrect. Further, new studies may change the estimated incidence or prevalence of these diseases.</w:t>
      </w:r>
    </w:p>
    <w:p>
      <w:pPr>
        <w:spacing w:after="0" w:line="170" w:lineRule="exact"/>
        <w:rPr>
          <w:sz w:val="20"/>
          <w:szCs w:val="20"/>
          <w:color w:val="auto"/>
        </w:rPr>
      </w:pPr>
    </w:p>
    <w:p>
      <w:pPr>
        <w:ind w:right="140" w:firstLine="648"/>
        <w:spacing w:after="0" w:line="294" w:lineRule="auto"/>
        <w:rPr>
          <w:sz w:val="20"/>
          <w:szCs w:val="20"/>
          <w:color w:val="auto"/>
        </w:rPr>
      </w:pPr>
      <w:r>
        <w:rPr>
          <w:rFonts w:ascii="Arial" w:cs="Arial" w:eastAsia="Arial" w:hAnsi="Arial"/>
          <w:sz w:val="16"/>
          <w:szCs w:val="16"/>
          <w:color w:val="auto"/>
        </w:rPr>
        <w:t>The total addressable market opportunity for umbralisib and ublituximab for the treatment of patients with CLL, MZL, FL and MS will ultimately depend upon, among other things, the final label indication, approved for sale for these indications, acceptance by the medical community, patient access, drug pricing and reimbursement. The number of patients in major markets, including the number of addressable patients in those markets, may turn out to be lower than expected, patients may not be otherwise amenable to treatment with our drugs, new patients may become increasingly difficult to identify or gain access to, or patients and physicians may choose to utilize competitive products, all of which would adversely affect our results of operations and our business.</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86" w:lineRule="exact"/>
        <w:rPr>
          <w:sz w:val="20"/>
          <w:szCs w:val="20"/>
          <w:color w:val="auto"/>
        </w:rPr>
      </w:pPr>
    </w:p>
    <w:p>
      <w:pPr>
        <w:ind w:right="300" w:firstLine="702"/>
        <w:spacing w:after="0" w:line="290" w:lineRule="auto"/>
        <w:rPr>
          <w:sz w:val="20"/>
          <w:szCs w:val="20"/>
          <w:color w:val="auto"/>
        </w:rPr>
      </w:pPr>
      <w:r>
        <w:rPr>
          <w:rFonts w:ascii="Arial" w:cs="Arial" w:eastAsia="Arial" w:hAnsi="Arial"/>
          <w:sz w:val="16"/>
          <w:szCs w:val="16"/>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marketing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72"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cancer indications for which we are developing our products there are a number of established therapies with which we will compete:</w:t>
      </w:r>
    </w:p>
    <w:p>
      <w:pPr>
        <w:spacing w:after="0" w:line="248" w:lineRule="exact"/>
        <w:rPr>
          <w:sz w:val="20"/>
          <w:szCs w:val="20"/>
          <w:color w:val="auto"/>
        </w:rPr>
      </w:pPr>
    </w:p>
    <w:p>
      <w:pPr>
        <w:jc w:val="both"/>
        <w:ind w:left="880" w:hanging="222"/>
        <w:spacing w:after="0" w:line="252"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treatment of CLL, if U2 is approved, we expect U2 to compete with recently approved drugs such as ibrutinib (AbbVie and Janssen), venetoclax (AbbVie and Roche), obinutuzumab (Roche), idelalisib (Gilead) and duvelisib (Verastem), and established treatments such as rituximab (Roche), and several generically available chemotherapies. Additionally, there are two second generation BTK inhibitors similar to ibrutinib in late-stage clinical testing for CLL that could enter the market in the next 12-36 months. Each of these agents can be used as monotherapy or in combination with one or more of the other agents.</w:t>
      </w:r>
    </w:p>
    <w:p>
      <w:pPr>
        <w:jc w:val="both"/>
        <w:ind w:left="880" w:hanging="222"/>
        <w:spacing w:after="0" w:line="250"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treatment of Marginal Zone Lymphoma, if approved, we expect umbralisib to compete with ibrutinib (AbbVie and Janssen) and established treatments such as rituximab and several generically available chemotherapies. Additionally, the combination of rituximab and lenalidomide (Celgene) has been studied in MZL and may be approved.</w:t>
      </w:r>
    </w:p>
    <w:p>
      <w:pPr>
        <w:spacing w:after="0" w:line="1" w:lineRule="exact"/>
        <w:rPr>
          <w:rFonts w:ascii="Arial" w:cs="Arial" w:eastAsia="Arial" w:hAnsi="Arial"/>
          <w:sz w:val="18"/>
          <w:szCs w:val="18"/>
          <w:color w:val="auto"/>
        </w:rPr>
      </w:pPr>
    </w:p>
    <w:p>
      <w:pPr>
        <w:jc w:val="both"/>
        <w:ind w:left="880" w:hanging="222"/>
        <w:spacing w:after="0" w:line="250"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treatment of Follicular Lymphoma, if approved, we expect umbralisib to compete with recently approved drugs such as obinutuzumab (Roche), idelalisib (Gilead), copanlisib (Bayer), and duvelisib (Verastem), and established treatments such as rituximab (Roche), and several generically available chemotherapies. Each of these agents can be used as monotherapy or in combination with one or more of the other agents. The combination of rituximab and lenalidomide (Celgene) has also been studied in FL and may be approved. There are also several PI3K delta inhibitors in earlier stages of development.</w:t>
      </w:r>
    </w:p>
    <w:p>
      <w:pPr>
        <w:spacing w:after="0" w:line="2" w:lineRule="exact"/>
        <w:rPr>
          <w:rFonts w:ascii="Arial" w:cs="Arial" w:eastAsia="Arial" w:hAnsi="Arial"/>
          <w:sz w:val="18"/>
          <w:szCs w:val="18"/>
          <w:color w:val="auto"/>
        </w:rPr>
      </w:pPr>
    </w:p>
    <w:p>
      <w:pPr>
        <w:jc w:val="both"/>
        <w:ind w:left="880" w:hanging="222"/>
        <w:spacing w:after="0" w:line="255"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addition, a number of pharmaceutical companies are developing antibodies and bispecific antibodies targeting CD20, CD19, CD47 and other B-cell associated targets, chimeric antigen receptor T-cell (“CAR-T”) immunotherapy, and other B-cell ablative therapy which, if approved, would potentially compete with U2 and umbralisib.</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225" w:lineRule="exact"/>
        <w:rPr>
          <w:sz w:val="20"/>
          <w:szCs w:val="20"/>
          <w:color w:val="auto"/>
        </w:rPr>
      </w:pPr>
    </w:p>
    <w:p>
      <w:pPr>
        <w:jc w:val="both"/>
        <w:ind w:left="880" w:hanging="222"/>
        <w:spacing w:after="0" w:line="25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is one anti-CD20 monoclonal antibody approved, ocrelizumab (Roche), and another in Phase 3 development, ofatumumab (Novartis), which is expected to enter the market in the next 12-24 months.</w:t>
      </w:r>
    </w:p>
    <w:p>
      <w:pPr>
        <w:spacing w:after="0" w:line="197"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TG-1501, TG-1701 and TG-1801 if approved will also face competition from drugs on the market and under development that have the same mechanism of action as each of those drugs.</w:t>
      </w:r>
    </w:p>
    <w:p>
      <w:pPr>
        <w:spacing w:after="0" w:line="18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94" w:lineRule="exact"/>
        <w:rPr>
          <w:sz w:val="20"/>
          <w:szCs w:val="20"/>
          <w:color w:val="auto"/>
        </w:rPr>
      </w:pPr>
    </w:p>
    <w:p>
      <w:pPr>
        <w:ind w:left="880" w:hanging="22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46" w:lineRule="exact"/>
        <w:rPr>
          <w:sz w:val="20"/>
          <w:szCs w:val="20"/>
          <w:color w:val="auto"/>
        </w:rPr>
      </w:pPr>
    </w:p>
    <w:p>
      <w:pPr>
        <w:ind w:right="140" w:firstLine="648"/>
        <w:spacing w:after="0" w:line="268" w:lineRule="auto"/>
        <w:rPr>
          <w:sz w:val="20"/>
          <w:szCs w:val="20"/>
          <w:color w:val="auto"/>
        </w:rPr>
      </w:pPr>
      <w:r>
        <w:rPr>
          <w:rFonts w:ascii="Arial" w:cs="Arial" w:eastAsia="Arial" w:hAnsi="Arial"/>
          <w:sz w:val="18"/>
          <w:szCs w:val="18"/>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8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86"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We will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97" w:lineRule="exact"/>
        <w:rPr>
          <w:sz w:val="20"/>
          <w:szCs w:val="20"/>
          <w:color w:val="auto"/>
        </w:rPr>
      </w:pPr>
    </w:p>
    <w:p>
      <w:pPr>
        <w:ind w:left="880" w:hanging="22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246" w:lineRule="exact"/>
        <w:rPr>
          <w:sz w:val="20"/>
          <w:szCs w:val="20"/>
          <w:color w:val="auto"/>
        </w:rPr>
      </w:pPr>
    </w:p>
    <w:p>
      <w:pPr>
        <w:ind w:right="120" w:firstLine="648"/>
        <w:spacing w:after="0" w:line="306"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if we successfully commercialize any drug candidate. Insurance coverage is increasingly expensive. We may not be able to maintain insurance coverage at a reasonable cost or in an amount adequate to satisfy any liability that may arise.</w:t>
      </w:r>
    </w:p>
    <w:p>
      <w:pPr>
        <w:spacing w:after="0" w:line="16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b w:val="1"/>
          <w:bCs w:val="1"/>
          <w:i w:val="1"/>
          <w:iCs w:val="1"/>
          <w:color w:val="auto"/>
        </w:rPr>
        <w:t>If any product candidate that we successfully develop does not achieve broad market acceptance among physicians, patients, healthcare payors, and the medical community, the revenues that we generate from its sales will be limited.</w:t>
      </w:r>
    </w:p>
    <w:p>
      <w:pPr>
        <w:spacing w:after="0" w:line="186" w:lineRule="exact"/>
        <w:rPr>
          <w:sz w:val="20"/>
          <w:szCs w:val="20"/>
          <w:color w:val="auto"/>
        </w:rPr>
      </w:pPr>
    </w:p>
    <w:p>
      <w:pPr>
        <w:ind w:right="80" w:firstLine="648"/>
        <w:spacing w:after="0" w:line="306" w:lineRule="auto"/>
        <w:rPr>
          <w:sz w:val="20"/>
          <w:szCs w:val="20"/>
          <w:color w:val="auto"/>
        </w:rPr>
      </w:pPr>
      <w:r>
        <w:rPr>
          <w:rFonts w:ascii="Arial" w:cs="Arial" w:eastAsia="Arial" w:hAnsi="Arial"/>
          <w:sz w:val="16"/>
          <w:szCs w:val="16"/>
          <w:color w:val="auto"/>
        </w:rPr>
        <w:t>Even if our product candidates receive regulatory approval, they may not gain market acceptance among physicians, patients, healthcare payors, and the medical community. Coverage and reimbursement of our product candidates by third-party payors, including government payors, generally would also be necessary for commercial success. The degree of market acceptance of any approved product would depend on a number of factors, including:</w:t>
      </w:r>
    </w:p>
    <w:p>
      <w:pPr>
        <w:spacing w:after="0" w:line="161" w:lineRule="exact"/>
        <w:rPr>
          <w:sz w:val="20"/>
          <w:szCs w:val="20"/>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and safety as demonstrated in clinical trials;</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clinics and patients of the product as a safe and effective treatment;</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and perceived advantages of the product candidate over alternative treatments;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of the product candidate in a broader patient group;</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adequate reimbursement and pricing by third parties and government authorities;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the product candidate;</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publicity relating to the product.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3" w:name="page44"/>
    <w:bookmarkEnd w:id="43"/>
    <w:p>
      <w:pPr>
        <w:ind w:right="220" w:firstLine="648"/>
        <w:spacing w:after="0" w:line="268"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sufficient revenue from these products and we may not become or remain profitable.</w:t>
      </w:r>
    </w:p>
    <w:p>
      <w:pPr>
        <w:spacing w:after="0" w:line="18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86"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22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7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subject to new legislation, regulatory proposals and managed care initiatives that may increase our costs of compliance and adversely affect our ability to market our products, obtain collaborators and raise capital.</w:t>
      </w:r>
    </w:p>
    <w:p>
      <w:pPr>
        <w:spacing w:after="0" w:line="186" w:lineRule="exact"/>
        <w:rPr>
          <w:sz w:val="20"/>
          <w:szCs w:val="20"/>
          <w:color w:val="auto"/>
        </w:rPr>
      </w:pPr>
    </w:p>
    <w:p>
      <w:pPr>
        <w:ind w:right="400" w:firstLine="648"/>
        <w:spacing w:after="0" w:line="294" w:lineRule="auto"/>
        <w:rPr>
          <w:sz w:val="20"/>
          <w:szCs w:val="20"/>
          <w:color w:val="auto"/>
        </w:rPr>
      </w:pPr>
      <w:r>
        <w:rPr>
          <w:rFonts w:ascii="Arial" w:cs="Arial" w:eastAsia="Arial" w:hAnsi="Arial"/>
          <w:sz w:val="16"/>
          <w:szCs w:val="16"/>
          <w:color w:val="auto"/>
        </w:rPr>
        <w:t>In both the United States and certain foreign countries, there have been a number of legislative and regulatory changes to the healthcare system that could impact our ability to sell our products profitably. In particular, the Medicare Modernization Act of 2003 revised the payment methodology for many products reimbursed by Medicare, resulting in lower rates of reimbursement for many types of drugs, and added a prescription drug benefit to the Medicare program that involves commercial plans negotiating drug prices for their members. Since 2003, there have been a number of other legislative and regulatory changes to the coverage and reimbursement landscape for pharmaceuticals.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4" w:name="page45"/>
    <w:bookmarkEnd w:id="44"/>
    <w:p>
      <w:pPr>
        <w:ind w:firstLine="648"/>
        <w:spacing w:after="0" w:line="306"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of 2010, collectively, the “ACA,” was enacted in 2010 and made significant changes to the United States’ healthcare system. The ACA and any revisions or replacements of that Act, any substitute legislation, and other changes in the law or regulatory framework could have a material adverse effect on our business.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the provisions of the ACA, those of importance to our potential product candidates are:</w:t>
      </w:r>
    </w:p>
    <w:p>
      <w:pPr>
        <w:spacing w:after="0" w:line="225" w:lineRule="exact"/>
        <w:rPr>
          <w:sz w:val="20"/>
          <w:szCs w:val="20"/>
          <w:color w:val="auto"/>
        </w:rPr>
      </w:pPr>
    </w:p>
    <w:p>
      <w:pPr>
        <w:ind w:left="880" w:hanging="222"/>
        <w:spacing w:after="0" w:line="25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ind w:left="880" w:hanging="222"/>
        <w:spacing w:after="0" w:line="25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ind w:left="880" w:right="20" w:hanging="222"/>
        <w:spacing w:after="0" w:line="25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new government investigative powers and enhanced penalties for non-compliance;</w:t>
      </w:r>
    </w:p>
    <w:p>
      <w:pPr>
        <w:jc w:val="both"/>
        <w:ind w:left="880" w:hanging="222"/>
        <w:spacing w:after="0" w:line="25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1"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jc w:val="both"/>
        <w:ind w:left="880" w:hanging="222"/>
        <w:spacing w:after="0" w:line="25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138% of the federal poverty level, thereby potentially increasing a manufacturer’s Medicaid rebate liability;</w:t>
      </w:r>
    </w:p>
    <w:p>
      <w:pPr>
        <w:spacing w:after="0" w:line="1" w:lineRule="exact"/>
        <w:rPr>
          <w:rFonts w:ascii="Arial" w:cs="Arial" w:eastAsia="Arial" w:hAnsi="Arial"/>
          <w:sz w:val="18"/>
          <w:szCs w:val="18"/>
          <w:color w:val="auto"/>
        </w:rPr>
      </w:pPr>
    </w:p>
    <w:p>
      <w:pPr>
        <w:ind w:left="880" w:hanging="22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340B Drug Pricing Program;</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9"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regulatory pathway for the approval of biosimilar biological products, all of which will impact existing government healthcare programs and will result in the development of new programs; and</w:t>
      </w:r>
    </w:p>
    <w:p>
      <w:pPr>
        <w:ind w:left="880" w:right="20" w:hanging="222"/>
        <w:spacing w:after="0" w:line="261"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92" w:lineRule="exact"/>
        <w:rPr>
          <w:sz w:val="20"/>
          <w:szCs w:val="20"/>
          <w:color w:val="auto"/>
        </w:rPr>
      </w:pPr>
    </w:p>
    <w:p>
      <w:pPr>
        <w:jc w:val="both"/>
        <w:ind w:firstLine="746"/>
        <w:spacing w:after="0" w:line="255" w:lineRule="auto"/>
        <w:rPr>
          <w:sz w:val="20"/>
          <w:szCs w:val="20"/>
          <w:color w:val="auto"/>
        </w:rPr>
      </w:pPr>
      <w:r>
        <w:rPr>
          <w:rFonts w:ascii="Arial" w:cs="Arial" w:eastAsia="Arial" w:hAnsi="Arial"/>
          <w:sz w:val="18"/>
          <w:szCs w:val="18"/>
          <w:color w:val="auto"/>
        </w:rPr>
        <w:t>President Trump ran for office on a platform that supported the repeal of the ACA, and one of his first actions after his inauguration was to sign an Executive Order instructing federal agencies to waive or delay requirements of the ACA that impose economic or regulatory burdens on states, families, the health-care industry and others. Modifications to or repeal of all or certain provisions of the ACA have been attempted in Congress as a result of the outcome of the recent presidential and congressional elections, consistent with statements made by the incoming administration and members of Congress during the presidential and congressional campaigns and following the election.</w:t>
      </w:r>
    </w:p>
    <w:p>
      <w:pPr>
        <w:spacing w:after="0" w:line="197"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In January 2017, Congress voted to adopt a budget resolution for fiscal year 2017, or the Budget Resolution, that authorizes the implementation of legislation that would repeal portions of the ACA. The Budget Resolution is not a law. However, it is widely viewed as the first step toward the passage of legislation that would repeal certain aspects of the ACA. In March 2017, following the passage of the budget resolution for fiscal year 2017, the United States House of Representatives passed legislation known as the American Health Care Act of 2017, which, if enacted, would amend or repeal significant portions of the ACA. Attempts in the Senate in 2017 to pass ACA repeal legislation, including the Better Care Reconciliation Act of 2017, so far have been unsuccessful. At the end of 2017, Congress passed the Tax Cuts and Jobs Act, which repealed the penalty for individuals who fail to maintain minimum essential health coverage as required by the ACA. Following this legislation, Texas and 19 other states filed a lawsuit alleging that the ACA is unconstitutional as the individual mandate was repealed, undermining the legal basis for the Supreme Court’s prior decision. On December 14, 2018, Texas federal district court judge Reed O’Connor issued a ruling declaring that the ACA in it is entirety is unconstitutional. While this decision has no immediate legal effect on the ACA and its provisions, this lawsuit is ongoing and the outcome through the appeals process may have a significant impact on our business.</w:t>
      </w:r>
    </w:p>
    <w:p>
      <w:pPr>
        <w:spacing w:after="0" w:line="17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Most recently, the Bipartisan Budget Act of 2018, the “BBA,” which set government spending levels for Fiscal Years 2018 and 2019, revised certain provisions of the ACA. Specifically, beginning in 2019, the BBA increased manufacturer point-of-sale discounts off negotiated prices of applicable brand drugs in the Medicare Part D coverage gap from 50% to 70%, ultimately increasing the liability for brand drug manufacturers. Further, this mandatory manufacturer discount applies to biosimilars beginning in 2019.</w:t>
      </w:r>
    </w:p>
    <w:p>
      <w:pPr>
        <w:spacing w:after="0" w:line="197" w:lineRule="exact"/>
        <w:rPr>
          <w:sz w:val="20"/>
          <w:szCs w:val="20"/>
          <w:color w:val="auto"/>
        </w:rPr>
      </w:pPr>
    </w:p>
    <w:p>
      <w:pPr>
        <w:ind w:right="260" w:firstLine="486"/>
        <w:spacing w:after="0" w:line="256" w:lineRule="auto"/>
        <w:rPr>
          <w:sz w:val="20"/>
          <w:szCs w:val="20"/>
          <w:color w:val="auto"/>
        </w:rPr>
      </w:pPr>
      <w:r>
        <w:rPr>
          <w:rFonts w:ascii="Arial" w:cs="Arial" w:eastAsia="Arial" w:hAnsi="Arial"/>
          <w:sz w:val="18"/>
          <w:szCs w:val="18"/>
          <w:color w:val="auto"/>
        </w:rPr>
        <w:t>The Trump Administration has also taken several regulatory steps to redirect ACA implementation. The Department of Health and Human Services (“HHS”) finalized Medicare fee-for-service hospital payment reductions for Part B drugs acquired through the 340B Drug Pricing Program, which has been overturned by the courts. HHS also has signaled its intent to continue to pursue reimbursement policy changes for Medicare Part B drugs as a whole that likely would reduce hospital and physician reimbursement for these drugs.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5" w:name="page46"/>
    <w:bookmarkEnd w:id="45"/>
    <w:p>
      <w:pPr>
        <w:ind w:right="240" w:firstLine="486"/>
        <w:spacing w:after="0" w:line="298" w:lineRule="auto"/>
        <w:rPr>
          <w:sz w:val="20"/>
          <w:szCs w:val="20"/>
          <w:color w:val="auto"/>
        </w:rPr>
      </w:pPr>
      <w:r>
        <w:rPr>
          <w:rFonts w:ascii="Arial" w:cs="Arial" w:eastAsia="Arial" w:hAnsi="Arial"/>
          <w:sz w:val="16"/>
          <w:szCs w:val="16"/>
          <w:color w:val="auto"/>
        </w:rPr>
        <w:t>HHS has made numerous other proposals aimed at lowering drug prices for Medicare beneficiaries and increasing price transparency. These proposals include giving Medicare Advantage and Part D plans flexibility in the availability of drugs in “protected classes,” more transparency in the cost of drugs, including the beneficiary’s financial liability, and less costly alternatives and permitting the use of step therapy as a means of prior authorization. HHS has also proposed requiring pharmaceutical manufacturers disclose the prices of certain drugs in direct-to-consumer television advertisements.</w:t>
      </w:r>
    </w:p>
    <w:p>
      <w:pPr>
        <w:spacing w:after="0" w:line="167" w:lineRule="exact"/>
        <w:rPr>
          <w:sz w:val="20"/>
          <w:szCs w:val="20"/>
          <w:color w:val="auto"/>
        </w:rPr>
      </w:pPr>
    </w:p>
    <w:p>
      <w:pPr>
        <w:ind w:right="540" w:firstLine="486"/>
        <w:spacing w:after="0" w:line="259" w:lineRule="auto"/>
        <w:rPr>
          <w:sz w:val="20"/>
          <w:szCs w:val="20"/>
          <w:color w:val="auto"/>
        </w:rPr>
      </w:pPr>
      <w:r>
        <w:rPr>
          <w:rFonts w:ascii="Arial" w:cs="Arial" w:eastAsia="Arial" w:hAnsi="Arial"/>
          <w:sz w:val="18"/>
          <w:szCs w:val="18"/>
          <w:color w:val="auto"/>
        </w:rPr>
        <w:t>HHS also has taken steps to increase the availability of cheaper health insurance options, typically with fewer benefits and less generous. The Administration has also signaled its intention to address drug prices and to increase competition, including by increasing the availability of biosimilars and generic drugs. As these are regulatory actions, a new administration could undo or modify these efforts.</w:t>
      </w:r>
    </w:p>
    <w:p>
      <w:pPr>
        <w:spacing w:after="0" w:line="194" w:lineRule="exact"/>
        <w:rPr>
          <w:sz w:val="20"/>
          <w:szCs w:val="20"/>
          <w:color w:val="auto"/>
        </w:rPr>
      </w:pPr>
    </w:p>
    <w:p>
      <w:pPr>
        <w:ind w:right="140" w:firstLine="486"/>
        <w:spacing w:after="0" w:line="298"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more rigorous coverage criteria and in additional downward pressure on the price that we receive for any approved drug.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94" w:lineRule="exact"/>
        <w:rPr>
          <w:sz w:val="20"/>
          <w:szCs w:val="20"/>
          <w:color w:val="auto"/>
        </w:rPr>
      </w:pPr>
    </w:p>
    <w:p>
      <w:pPr>
        <w:ind w:right="200" w:firstLine="527"/>
        <w:spacing w:after="0" w:line="255"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97" w:lineRule="exact"/>
        <w:rPr>
          <w:sz w:val="20"/>
          <w:szCs w:val="20"/>
          <w:color w:val="auto"/>
        </w:rPr>
      </w:pPr>
    </w:p>
    <w:p>
      <w:pPr>
        <w:jc w:val="both"/>
        <w:ind w:right="80" w:firstLine="486"/>
        <w:spacing w:after="0" w:line="256" w:lineRule="auto"/>
        <w:rPr>
          <w:sz w:val="20"/>
          <w:szCs w:val="20"/>
          <w:color w:val="auto"/>
        </w:rPr>
      </w:pPr>
      <w:r>
        <w:rPr>
          <w:rFonts w:ascii="Arial" w:cs="Arial" w:eastAsia="Arial" w:hAnsi="Arial"/>
          <w:sz w:val="18"/>
          <w:szCs w:val="18"/>
          <w:color w:val="auto"/>
        </w:rPr>
        <w:t>There likely will continue to be, legislative and regulatory proposals at the federal and state levels directed at broadening the availability of healthcare and containing or lowering the cost of healthcare products and services. We cannot predict the initiatives that may be adopted in the future. The continuing efforts of the government, insurance companies, managed care organizations and other payors of healthcare services to contain or reduce costs of healthcare may adversely affect:</w:t>
      </w:r>
    </w:p>
    <w:p>
      <w:pPr>
        <w:spacing w:after="0" w:line="197" w:lineRule="exact"/>
        <w:rPr>
          <w:sz w:val="20"/>
          <w:szCs w:val="20"/>
          <w:color w:val="auto"/>
        </w:rPr>
      </w:pPr>
    </w:p>
    <w:p>
      <w:pPr>
        <w:ind w:left="720" w:hanging="22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15" w:lineRule="exact"/>
        <w:rPr>
          <w:rFonts w:ascii="Arial" w:cs="Arial" w:eastAsia="Arial" w:hAnsi="Arial"/>
          <w:sz w:val="18"/>
          <w:szCs w:val="18"/>
          <w:color w:val="auto"/>
        </w:rPr>
      </w:pPr>
    </w:p>
    <w:p>
      <w:pPr>
        <w:ind w:left="720" w:hanging="22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cannot predict the likelihood, nature or extent of government regulation that may arise from future legislation or administrative or executive action, either in the United States or abroad.</w:t>
      </w:r>
    </w:p>
    <w:p>
      <w:pPr>
        <w:spacing w:after="0" w:line="1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cannot predict the likelihood, nature or extent of how government regulation that may arise from future legislation or administrative or executive action taken by the U.S. presidential administration may impact our business and industry. In particular, the U.S. President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23, 2017, President Trump ordered a civilian hiring freeze for all executive departments and agencies, including the FDA, which prohibits the FDA from filling employee vacancies or creating new positions. Under the terms of the order, the freeze was to remain in effect until implementation of a plan to be recommended by the Director for the Office of Management and Budget (“OMB”) in consultation with the Director of the Office of Personnel Management, to reduce the size of the federal workforce through attrition. An under-staffed FDA could result in delays in FDA’s responsiveness or in its ability to review submissions or applications, issue regulations or guidance or implement or enforce regulatory requirements in a timely fashion or at all. This hiring freeze was lifted later in 2017. Moreover,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It is difficult to predict how these requirements will be implemented, and the extent to which they will impact the FDA’s ability to exercise its regulatory authority. If these executive actions impose constraints on the FDA’s ability to engage in oversight and implementation activities in the normal course, our business may be negatively impacted.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6" w:name="page47"/>
    <w:bookmarkEnd w:id="46"/>
    <w:p>
      <w:pPr>
        <w:ind w:right="640"/>
        <w:spacing w:after="0" w:line="259"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94" w:lineRule="exact"/>
        <w:rPr>
          <w:sz w:val="20"/>
          <w:szCs w:val="20"/>
          <w:color w:val="auto"/>
        </w:rPr>
      </w:pPr>
    </w:p>
    <w:p>
      <w:pPr>
        <w:ind w:right="160" w:firstLine="648"/>
        <w:spacing w:after="0" w:line="298" w:lineRule="auto"/>
        <w:rPr>
          <w:sz w:val="20"/>
          <w:szCs w:val="20"/>
          <w:color w:val="auto"/>
        </w:rPr>
      </w:pPr>
      <w:r>
        <w:rPr>
          <w:rFonts w:ascii="Arial" w:cs="Arial" w:eastAsia="Arial" w:hAnsi="Arial"/>
          <w:sz w:val="16"/>
          <w:szCs w:val="16"/>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advance of FDA approval of our first product, we will need to make significant investments to build a commercial organization and infrastructure. We will need to hire a sales force and commercial support personnel, in order to build processes and systems to support a commercial launch prior to knowing whether our product will receive FDA approval. It is possible that the FDA approval is unexpectedly delayed or our product is not approved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97" w:lineRule="exact"/>
        <w:rPr>
          <w:sz w:val="20"/>
          <w:szCs w:val="20"/>
          <w:color w:val="auto"/>
        </w:rPr>
      </w:pPr>
    </w:p>
    <w:p>
      <w:pPr>
        <w:ind w:right="20" w:firstLine="692"/>
        <w:spacing w:after="0" w:line="255"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225" w:lineRule="exact"/>
        <w:rPr>
          <w:sz w:val="20"/>
          <w:szCs w:val="20"/>
          <w:color w:val="auto"/>
        </w:rPr>
      </w:pPr>
    </w:p>
    <w:p>
      <w:pPr>
        <w:ind w:left="880" w:hanging="22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32" w:lineRule="exact"/>
        <w:rPr>
          <w:rFonts w:ascii="Arial" w:cs="Arial" w:eastAsia="Arial" w:hAnsi="Arial"/>
          <w:sz w:val="16"/>
          <w:szCs w:val="16"/>
          <w:color w:val="auto"/>
        </w:rPr>
      </w:pPr>
    </w:p>
    <w:p>
      <w:pPr>
        <w:ind w:left="880" w:hanging="222"/>
        <w:spacing w:after="0" w:line="250"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ind w:left="880" w:hanging="222"/>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4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7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47" w:name="page48"/>
    <w:bookmarkEnd w:id="47"/>
    <w:p>
      <w:pPr>
        <w:ind w:right="60" w:firstLine="702"/>
        <w:spacing w:after="0" w:line="291"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74" w:lineRule="exact"/>
        <w:rPr>
          <w:sz w:val="20"/>
          <w:szCs w:val="20"/>
          <w:color w:val="auto"/>
        </w:rPr>
      </w:pPr>
    </w:p>
    <w:p>
      <w:pPr>
        <w:jc w:val="both"/>
        <w:ind w:left="880" w:hanging="222"/>
        <w:spacing w:after="0" w:line="252"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jc w:val="both"/>
        <w:ind w:left="880" w:hanging="222"/>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2" w:lineRule="exact"/>
        <w:rPr>
          <w:rFonts w:ascii="Arial" w:cs="Arial" w:eastAsia="Arial" w:hAnsi="Arial"/>
          <w:sz w:val="18"/>
          <w:szCs w:val="18"/>
          <w:color w:val="auto"/>
        </w:rPr>
      </w:pPr>
    </w:p>
    <w:p>
      <w:pPr>
        <w:jc w:val="both"/>
        <w:ind w:left="880" w:hanging="222"/>
        <w:spacing w:after="0" w:line="281"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6"/>
          <w:szCs w:val="16"/>
          <w:color w:val="auto"/>
        </w:rPr>
      </w:pPr>
    </w:p>
    <w:p>
      <w:pPr>
        <w:jc w:val="both"/>
        <w:ind w:left="880" w:hanging="222"/>
        <w:spacing w:after="0" w:line="281"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2" w:lineRule="exact"/>
        <w:rPr>
          <w:rFonts w:ascii="Arial" w:cs="Arial" w:eastAsia="Arial" w:hAnsi="Arial"/>
          <w:sz w:val="16"/>
          <w:szCs w:val="16"/>
          <w:color w:val="auto"/>
        </w:rPr>
      </w:pPr>
    </w:p>
    <w:p>
      <w:pPr>
        <w:jc w:val="both"/>
        <w:ind w:left="880" w:hanging="222"/>
        <w:spacing w:after="0" w:line="281"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6"/>
          <w:szCs w:val="16"/>
          <w:color w:val="auto"/>
        </w:rPr>
      </w:pPr>
    </w:p>
    <w:p>
      <w:pPr>
        <w:ind w:left="880" w:hanging="222"/>
        <w:spacing w:after="0" w:line="250"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jc w:val="both"/>
        <w:ind w:left="880" w:hanging="222"/>
        <w:spacing w:after="0" w:line="312" w:lineRule="auto"/>
        <w:tabs>
          <w:tab w:leader="none" w:pos="8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1" w:lineRule="exact"/>
        <w:rPr>
          <w:sz w:val="20"/>
          <w:szCs w:val="20"/>
          <w:color w:val="auto"/>
        </w:rPr>
      </w:pPr>
    </w:p>
    <w:p>
      <w:pPr>
        <w:ind w:firstLine="702"/>
        <w:spacing w:after="0" w:line="253"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8" w:name="page49"/>
    <w:bookmarkEnd w:id="48"/>
    <w:p>
      <w:pPr>
        <w:ind w:right="360"/>
        <w:spacing w:after="0" w:line="268" w:lineRule="auto"/>
        <w:rPr>
          <w:sz w:val="20"/>
          <w:szCs w:val="20"/>
          <w:color w:val="auto"/>
        </w:rPr>
      </w:pPr>
      <w:r>
        <w:rPr>
          <w:rFonts w:ascii="Arial" w:cs="Arial" w:eastAsia="Arial" w:hAnsi="Arial"/>
          <w:sz w:val="18"/>
          <w:szCs w:val="18"/>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86" w:lineRule="exact"/>
        <w:rPr>
          <w:sz w:val="20"/>
          <w:szCs w:val="20"/>
          <w:color w:val="auto"/>
        </w:rPr>
      </w:pPr>
    </w:p>
    <w:p>
      <w:pPr>
        <w:ind w:right="20" w:firstLine="648"/>
        <w:spacing w:after="0" w:line="282" w:lineRule="auto"/>
        <w:rPr>
          <w:sz w:val="20"/>
          <w:szCs w:val="20"/>
          <w:color w:val="auto"/>
        </w:rPr>
      </w:pPr>
      <w:r>
        <w:rPr>
          <w:rFonts w:ascii="Arial" w:cs="Arial" w:eastAsia="Arial" w:hAnsi="Arial"/>
          <w:sz w:val="16"/>
          <w:szCs w:val="16"/>
          <w:color w:val="auto"/>
        </w:rPr>
        <w:t>We expect to operate a portion of our business in certain countries through subsidiaries or through supply and marketing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we are exposed to liability risks under the Foreign Corrupt Practices Act or similar anti-bribery laws.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 quality control, quality assurance and corresponding maintenance of records and documents, requirements regarding the distribution of samples to physicians and recordkeeping, and requirements regarding company presentations and interactions with healthcare professionals. Even if we obtain regulatory approval of a product, the approval may be subject to limitations on the indicated uses for which the product may be marketed, be subject to conditions of approval, or contain requirements for costly post-marketing testing and surveillance to monitor the safety and/or efficacy of the product. We also may be subject to state laws and registration requirements covering the distribution of drug products. Later discovery of previously unknown problems with products, manufacturers or manufacturing processes, or failure to comply with regulatory requirements, may result in actions such as:</w:t>
      </w:r>
    </w:p>
    <w:p>
      <w:pPr>
        <w:spacing w:after="0" w:line="177" w:lineRule="exact"/>
        <w:rPr>
          <w:sz w:val="20"/>
          <w:szCs w:val="20"/>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suspension or withdrawal of marketing or regulatory approvals;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219" w:lineRule="exact"/>
        <w:rPr>
          <w:sz w:val="20"/>
          <w:szCs w:val="20"/>
          <w:color w:val="auto"/>
        </w:rPr>
      </w:pPr>
    </w:p>
    <w:p>
      <w:pPr>
        <w:jc w:val="both"/>
        <w:ind w:right="240" w:firstLine="648"/>
        <w:spacing w:after="0" w:line="306"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6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181717"/>
        </w:rPr>
        <w:t>We will need to obtain FDA approval of any proposed product brand names, and any failure or delay associated with such approval may adversely impact our business.</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181717"/>
        </w:rPr>
        <w:t xml:space="preserve">A pharmaceutical product candidate cannot be marketed in the United States or other countries until we have completed a rigorous and extensive regulatory review processes, including approval of a brand name. Any brand names we intend to use for </w:t>
      </w:r>
      <w:r>
        <w:rPr>
          <w:rFonts w:ascii="Arial" w:cs="Arial" w:eastAsia="Arial" w:hAnsi="Arial"/>
          <w:sz w:val="16"/>
          <w:szCs w:val="16"/>
          <w:color w:val="000000"/>
        </w:rPr>
        <w:t>ublituximab, umbralisib</w:t>
      </w:r>
      <w:r>
        <w:rPr>
          <w:rFonts w:ascii="Arial" w:cs="Arial" w:eastAsia="Arial" w:hAnsi="Arial"/>
          <w:sz w:val="16"/>
          <w:szCs w:val="16"/>
          <w:color w:val="181717"/>
        </w:rPr>
        <w:t xml:space="preserve"> or any future product candidates will require approval from the FDA regardless of whether we have secured a formal trademark registration from the United States Patent and Trademark Office (“USPTO”).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w:t>
      </w:r>
      <w:r>
        <w:rPr>
          <w:rFonts w:ascii="Arial" w:cs="Arial" w:eastAsia="Arial" w:hAnsi="Arial"/>
          <w:sz w:val="16"/>
          <w:szCs w:val="16"/>
          <w:color w:val="000000"/>
        </w:rPr>
        <w:t>required</w:t>
      </w:r>
      <w:r>
        <w:rPr>
          <w:rFonts w:ascii="Arial" w:cs="Arial" w:eastAsia="Arial" w:hAnsi="Arial"/>
          <w:sz w:val="16"/>
          <w:szCs w:val="16"/>
          <w:color w:val="181717"/>
        </w:rPr>
        <w:t xml:space="preserve"> to adopt an alternative brand name for </w:t>
      </w:r>
      <w:r>
        <w:rPr>
          <w:rFonts w:ascii="Arial" w:cs="Arial" w:eastAsia="Arial" w:hAnsi="Arial"/>
          <w:sz w:val="16"/>
          <w:szCs w:val="16"/>
          <w:color w:val="000000"/>
        </w:rPr>
        <w:t>ublituximab, umbralisib</w:t>
      </w:r>
      <w:r>
        <w:rPr>
          <w:rFonts w:ascii="Arial" w:cs="Arial" w:eastAsia="Arial" w:hAnsi="Arial"/>
          <w:sz w:val="16"/>
          <w:szCs w:val="16"/>
          <w:color w:val="181717"/>
        </w:rPr>
        <w:t xml:space="preserve"> or any future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w:t>
      </w:r>
      <w:r>
        <w:rPr>
          <w:rFonts w:ascii="Arial" w:cs="Arial" w:eastAsia="Arial" w:hAnsi="Arial"/>
          <w:sz w:val="16"/>
          <w:szCs w:val="16"/>
          <w:color w:val="000000"/>
        </w:rPr>
        <w:t>ublituximab, umbralisib,</w:t>
      </w:r>
      <w:r>
        <w:rPr>
          <w:rFonts w:ascii="Arial" w:cs="Arial" w:eastAsia="Arial" w:hAnsi="Arial"/>
          <w:sz w:val="16"/>
          <w:szCs w:val="16"/>
          <w:color w:val="181717"/>
        </w:rPr>
        <w:t xml:space="preserve"> or any future product candidates. We do not currently have an agreed upon brand name for umbralisib, and no assurance can be given that we will obtain one in a timely fashion. Any delay in obtaining a brand name for umbralisib or any other of our drug candidates could delay approval and/or commercialization and have a negative impact on our launch and future prospects for umbralisib or any other such drug candidates.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3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b w:val="1"/>
          <w:bCs w:val="1"/>
          <w:i w:val="1"/>
          <w:iCs w:val="1"/>
          <w:color w:val="auto"/>
        </w:rPr>
        <w:t>We rely on third parties to generate clinical, preclinical and quality data necessary to support the regulatory applications needed to conduct clinical trials and file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61"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In order to submit and maintain an Investigational New Drug application (“IND”), BLA, or NDA to the FDA, it is necessary to submit all information on the clinical, non-clinical, chemistry, manufacturing, controls and quality aspects of the product candidate. We rely on our third party contractors and our licensing partners to provide portions of this data. If we are unable to obtain this data, or the data is not sufficient to meet the regulatory requirements, we may experience significant delays in our development programs. While we maintain an active IND for ublituximab and umbralisib enabling the conduct of studies in the FDA’s Division of Hematology and Oncology, and an active IND for ublituximab under the FDA’s Division of Neurology, there can be no assurance that the FDA will allow us to continue the development of our product candidates in those divisions where we maintain an active IND.</w:t>
      </w:r>
    </w:p>
    <w:p>
      <w:pPr>
        <w:spacing w:after="0" w:line="174"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qualified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are required by the FDA or IRB to close down due to data management or patient management or any other issues we may lose patients. In our MS Phase 2 trial, during routine monitoring and site audits, significant Good Clinical Practice (GCP) violations and other noncompliance issues were identified at one of our US-based large academic sites. The investigator left the institution; shortly thereafter the site terminated their participation in our study, before all data could be source document verified. While we do not believe this will have any effect on the overall results of the MS Phase 2 trial, sensitivity analyses excluding data from this site will be performed and no assurance can be given that the results were not affected.</w:t>
      </w:r>
    </w:p>
    <w:p>
      <w:pPr>
        <w:spacing w:after="0" w:line="180" w:lineRule="exact"/>
        <w:rPr>
          <w:sz w:val="20"/>
          <w:szCs w:val="20"/>
          <w:color w:val="auto"/>
        </w:rPr>
      </w:pPr>
    </w:p>
    <w:p>
      <w:pPr>
        <w:ind w:firstLine="527"/>
        <w:spacing w:after="0" w:line="285"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are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50" w:name="page51"/>
    <w:bookmarkEnd w:id="50"/>
    <w:p>
      <w:pPr>
        <w:ind w:right="20" w:firstLine="486"/>
        <w:spacing w:after="0" w:line="294" w:lineRule="auto"/>
        <w:rPr>
          <w:sz w:val="20"/>
          <w:szCs w:val="20"/>
          <w:color w:val="auto"/>
        </w:rPr>
      </w:pPr>
      <w:r>
        <w:rPr>
          <w:rFonts w:ascii="Arial" w:cs="Arial" w:eastAsia="Arial" w:hAnsi="Arial"/>
          <w:sz w:val="16"/>
          <w:szCs w:val="16"/>
          <w:color w:val="auto"/>
        </w:rPr>
        <w:t>Although we intend to design the clinical trials for our drug candidates, 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0" w:lineRule="exact"/>
        <w:rPr>
          <w:sz w:val="20"/>
          <w:szCs w:val="20"/>
          <w:color w:val="auto"/>
        </w:rPr>
      </w:pPr>
    </w:p>
    <w:p>
      <w:pPr>
        <w:ind w:left="720" w:hanging="22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5" w:lineRule="exact"/>
        <w:rPr>
          <w:rFonts w:ascii="Arial" w:cs="Arial" w:eastAsia="Arial" w:hAnsi="Arial"/>
          <w:sz w:val="18"/>
          <w:szCs w:val="18"/>
          <w:color w:val="auto"/>
        </w:rPr>
      </w:pPr>
    </w:p>
    <w:p>
      <w:pPr>
        <w:ind w:left="720" w:hanging="22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720" w:hanging="224"/>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9"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7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2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81" w:lineRule="exact"/>
        <w:rPr>
          <w:sz w:val="20"/>
          <w:szCs w:val="20"/>
          <w:color w:val="auto"/>
        </w:rPr>
      </w:pPr>
    </w:p>
    <w:p>
      <w:pPr>
        <w:ind w:firstLine="648"/>
        <w:spacing w:after="0" w:line="318" w:lineRule="auto"/>
        <w:rPr>
          <w:sz w:val="20"/>
          <w:szCs w:val="20"/>
          <w:color w:val="auto"/>
        </w:rPr>
      </w:pPr>
      <w:r>
        <w:rPr>
          <w:rFonts w:ascii="Arial" w:cs="Arial" w:eastAsia="Arial" w:hAnsi="Arial"/>
          <w:sz w:val="15"/>
          <w:szCs w:val="15"/>
          <w:color w:val="auto"/>
        </w:rPr>
        <w:t>We do not have any long-term supply agreements with all our contract manufacturers, and in those instances where we do not, we purchase our required drug supply, including the drug product and drug substance on a purchase order basis. In addition, we may be unable to establish or maintain any agreements with third-party manufacturers or to do so on acceptable terms. No assurance can be given that a long-term, scalable manufacturer can be identified or that they can make clinical and commercial supplies of our product candidates that meets the product specifications of previously manufactured batches, or is of a sufficient quality, or at an appropriate scale and cost to make it commercially feasible. If they are unable to do so, it could have a material adverse impact on our business.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51" w:name="page52"/>
    <w:bookmarkEnd w:id="51"/>
    <w:p>
      <w:pPr>
        <w:ind w:right="200" w:firstLine="648"/>
        <w:spacing w:after="0" w:line="268"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86" w:lineRule="exact"/>
        <w:rPr>
          <w:sz w:val="20"/>
          <w:szCs w:val="20"/>
          <w:color w:val="auto"/>
        </w:rPr>
      </w:pPr>
    </w:p>
    <w:p>
      <w:pPr>
        <w:ind w:left="880" w:hanging="22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9" w:lineRule="exact"/>
        <w:rPr>
          <w:sz w:val="20"/>
          <w:szCs w:val="20"/>
          <w:color w:val="auto"/>
        </w:rPr>
      </w:pPr>
    </w:p>
    <w:p>
      <w:pPr>
        <w:ind w:right="100" w:firstLine="648"/>
        <w:spacing w:after="0" w:line="298" w:lineRule="auto"/>
        <w:rPr>
          <w:sz w:val="20"/>
          <w:szCs w:val="20"/>
          <w:color w:val="auto"/>
        </w:rPr>
      </w:pPr>
      <w:r>
        <w:rPr>
          <w:rFonts w:ascii="Arial" w:cs="Arial" w:eastAsia="Arial" w:hAnsi="Arial"/>
          <w:sz w:val="16"/>
          <w:szCs w:val="16"/>
          <w:color w:val="auto"/>
        </w:rPr>
        <w:t>Moreover, our current long-term supply agreements and, we would expect all future long-term supply agreements would, contain certain minimum purchases in what are commonly referred to as “take or pay”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67" w:lineRule="exact"/>
        <w:rPr>
          <w:sz w:val="20"/>
          <w:szCs w:val="20"/>
          <w:color w:val="auto"/>
        </w:rPr>
      </w:pPr>
    </w:p>
    <w:p>
      <w:pPr>
        <w:jc w:val="both"/>
        <w:ind w:right="480" w:firstLine="658"/>
        <w:spacing w:after="0" w:line="370" w:lineRule="auto"/>
        <w:rPr>
          <w:sz w:val="20"/>
          <w:szCs w:val="20"/>
          <w:color w:val="auto"/>
        </w:rPr>
      </w:pPr>
      <w:r>
        <w:rPr>
          <w:rFonts w:ascii="Arial" w:cs="Arial" w:eastAsia="Arial" w:hAnsi="Arial"/>
          <w:sz w:val="15"/>
          <w:szCs w:val="15"/>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16" w:lineRule="exact"/>
        <w:rPr>
          <w:sz w:val="20"/>
          <w:szCs w:val="20"/>
          <w:color w:val="auto"/>
        </w:rPr>
      </w:pPr>
    </w:p>
    <w:p>
      <w:pPr>
        <w:jc w:val="both"/>
        <w:ind w:right="460" w:firstLine="648"/>
        <w:spacing w:after="0" w:line="25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causing additional costs and delays in identifying and qualifying any such replacement.</w:t>
      </w:r>
    </w:p>
    <w:p>
      <w:pPr>
        <w:spacing w:after="0" w:line="19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9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181717"/>
        </w:rPr>
        <w:t>We also expect to rely on other third parties to store and distribute drug supplies for our clinical trials.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94"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In addition, we do not have the capability to package finished products for distribution to hospitals and other customers. Prior to commercial launch, we intend to enter into agreements with one or more alternate fill/finish pharmaceutical product suppliers so that we can ensure proper supply chain management once we are authorized to make commercial sales of our product candidates. If we receive marketing approval from the FDA, we intend to sell pharmaceutical product finished and packaged by such suppliers. We have not entered into long-term agreements with our fill/finish suppliers, and we may be unable to enter into such an agreement or do so on commercially reasonable terms, which could have a material adverse impact upon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("API"), drug product, regulatory starting materials and intermediates for drug substance and other materials used in our drug candidates are our sole source of supply, and the loss of any of these suppliers could significantly harm our business.</w:t>
      </w:r>
    </w:p>
    <w:p>
      <w:pPr>
        <w:spacing w:after="0" w:line="194"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color w:val="auto"/>
        </w:rPr>
        <w:t>The API, drug product and drug substance used in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If any of our suppliers ceases its operations for any reason or is unable or unwilling to supply API, drug product, drug substance and other materials in sufficient quantities or on the timelines necessary to meet our needs, it could significantly and adversely affect our business, the supply of our drug candidates and our financial condition.</w:t>
      </w:r>
    </w:p>
    <w:p>
      <w:pPr>
        <w:spacing w:after="0" w:line="17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most cases, our manufacturing partners are single source suppliers. It is expected that our manufacturing partners will be sole source suppliers from single site locations for the foreseeable future. Various raw materials, components, and testing services required for our products may also be single sourced. Given this, any disruption of supply from these partners could have a material, long-term impact on our ability to supply products for clinical trials or commercial sale. If our suppliers do not deliver sufficient quantities of our product candidates on a timely basis, or at all, and in accordance with applicable specifications, there could be a significant interruption of our supply, which would adversely affect clinical development and commercialization of our products. In addition, if our current or future supply of any or our product candidates should fail to meet specifications during its stability program there could be a significant interruption of our supply of drug, which would adversely affect the clinical development and commercialization of the product.</w:t>
      </w:r>
    </w:p>
    <w:p>
      <w:pPr>
        <w:spacing w:after="0" w:line="17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For all of our drug candidates, we plan to identify and qualify additional manufacturers and other suppliers to provide such API, drug product and drug substance prior to or following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2" w:name="page53"/>
    <w:bookmarkEnd w:id="52"/>
    <w:p>
      <w:pPr>
        <w:ind w:right="80" w:firstLine="692"/>
        <w:spacing w:after="0" w:line="291"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or at all. If we are able to find a replacement supplier, such replacement supplier would need to be qualified and may require additional regulatory approval, which could result in further delay. 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7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have in-licensed our product candidates from third parties, any dispute with or non-performance by our licensors will adversely affect our ability to develop and commercialize the applicable product candidates.</w:t>
      </w:r>
    </w:p>
    <w:p>
      <w:pPr>
        <w:spacing w:after="0" w:line="186" w:lineRule="exact"/>
        <w:rPr>
          <w:sz w:val="20"/>
          <w:szCs w:val="20"/>
          <w:color w:val="auto"/>
        </w:rPr>
      </w:pPr>
    </w:p>
    <w:p>
      <w:pPr>
        <w:jc w:val="both"/>
        <w:ind w:right="120" w:firstLine="648"/>
        <w:spacing w:after="0" w:line="306" w:lineRule="auto"/>
        <w:rPr>
          <w:sz w:val="20"/>
          <w:szCs w:val="20"/>
          <w:color w:val="auto"/>
        </w:rPr>
      </w:pPr>
      <w:r>
        <w:rPr>
          <w:rFonts w:ascii="Arial" w:cs="Arial" w:eastAsia="Arial" w:hAnsi="Arial"/>
          <w:sz w:val="16"/>
          <w:szCs w:val="16"/>
          <w:color w:val="181717"/>
        </w:rPr>
        <w:t xml:space="preserve">Because we license our intellectual property from third parties and we expect to continue to in-license additional intellectual property rights, if there is any dispute between us and our licensor regarding our rights under a </w:t>
      </w:r>
      <w:r>
        <w:rPr>
          <w:rFonts w:ascii="Arial" w:cs="Arial" w:eastAsia="Arial" w:hAnsi="Arial"/>
          <w:sz w:val="16"/>
          <w:szCs w:val="16"/>
          <w:color w:val="000000"/>
        </w:rPr>
        <w:t>license</w:t>
      </w:r>
      <w:r>
        <w:rPr>
          <w:rFonts w:ascii="Arial" w:cs="Arial" w:eastAsia="Arial" w:hAnsi="Arial"/>
          <w:sz w:val="16"/>
          <w:szCs w:val="16"/>
          <w:color w:val="181717"/>
        </w:rPr>
        <w:t xml:space="preserve"> agreement, our ability to develop and commercialize our product candidates may be adversely affected. Disputes may arise with the third parties from whom we license our intellectual property rights from for a variety of reasons, including:</w:t>
      </w:r>
    </w:p>
    <w:p>
      <w:pPr>
        <w:spacing w:after="0" w:line="161" w:lineRule="exact"/>
        <w:rPr>
          <w:sz w:val="20"/>
          <w:szCs w:val="20"/>
          <w:color w:val="auto"/>
        </w:rPr>
      </w:pPr>
    </w:p>
    <w:p>
      <w:pPr>
        <w:ind w:left="880" w:hanging="222"/>
        <w:spacing w:after="0"/>
        <w:tabs>
          <w:tab w:leader="none" w:pos="880" w:val="left"/>
        </w:tabs>
        <w:numPr>
          <w:ilvl w:val="0"/>
          <w:numId w:val="34"/>
        </w:numPr>
        <w:rPr>
          <w:rFonts w:ascii="Arial" w:cs="Arial" w:eastAsia="Arial" w:hAnsi="Arial"/>
          <w:sz w:val="18"/>
          <w:szCs w:val="18"/>
          <w:color w:val="181717"/>
        </w:rPr>
      </w:pPr>
      <w:r>
        <w:rPr>
          <w:rFonts w:ascii="Arial" w:cs="Arial" w:eastAsia="Arial" w:hAnsi="Arial"/>
          <w:sz w:val="18"/>
          <w:szCs w:val="18"/>
          <w:color w:val="181717"/>
        </w:rPr>
        <w:t>the scope of rights granted under the license agreement and other interpretation-related issues;</w:t>
      </w:r>
    </w:p>
    <w:p>
      <w:pPr>
        <w:spacing w:after="0" w:line="15" w:lineRule="exact"/>
        <w:rPr>
          <w:rFonts w:ascii="Arial" w:cs="Arial" w:eastAsia="Arial" w:hAnsi="Arial"/>
          <w:sz w:val="18"/>
          <w:szCs w:val="18"/>
          <w:color w:val="181717"/>
        </w:rPr>
      </w:pPr>
    </w:p>
    <w:p>
      <w:pPr>
        <w:ind w:left="880" w:hanging="222"/>
        <w:spacing w:after="0"/>
        <w:tabs>
          <w:tab w:leader="none" w:pos="880" w:val="left"/>
        </w:tabs>
        <w:numPr>
          <w:ilvl w:val="0"/>
          <w:numId w:val="34"/>
        </w:numPr>
        <w:rPr>
          <w:rFonts w:ascii="Arial" w:cs="Arial" w:eastAsia="Arial" w:hAnsi="Arial"/>
          <w:sz w:val="16"/>
          <w:szCs w:val="16"/>
          <w:color w:val="181717"/>
        </w:rPr>
      </w:pPr>
      <w:r>
        <w:rPr>
          <w:rFonts w:ascii="Arial" w:cs="Arial" w:eastAsia="Arial" w:hAnsi="Arial"/>
          <w:sz w:val="16"/>
          <w:szCs w:val="16"/>
          <w:color w:val="181717"/>
        </w:rPr>
        <w:t>the extent to which our technology and processes infringe on intellectual property of the licensor that is not subject to the license agreement;</w:t>
      </w:r>
    </w:p>
    <w:p>
      <w:pPr>
        <w:spacing w:after="0" w:line="32" w:lineRule="exact"/>
        <w:rPr>
          <w:rFonts w:ascii="Arial" w:cs="Arial" w:eastAsia="Arial" w:hAnsi="Arial"/>
          <w:sz w:val="16"/>
          <w:szCs w:val="16"/>
          <w:color w:val="181717"/>
        </w:rPr>
      </w:pPr>
    </w:p>
    <w:p>
      <w:pPr>
        <w:ind w:left="880" w:hanging="222"/>
        <w:spacing w:after="0"/>
        <w:tabs>
          <w:tab w:leader="none" w:pos="880" w:val="left"/>
        </w:tabs>
        <w:numPr>
          <w:ilvl w:val="0"/>
          <w:numId w:val="34"/>
        </w:numPr>
        <w:rPr>
          <w:rFonts w:ascii="Arial" w:cs="Arial" w:eastAsia="Arial" w:hAnsi="Arial"/>
          <w:sz w:val="16"/>
          <w:szCs w:val="16"/>
          <w:color w:val="181717"/>
        </w:rPr>
      </w:pPr>
      <w:r>
        <w:rPr>
          <w:rFonts w:ascii="Arial" w:cs="Arial" w:eastAsia="Arial" w:hAnsi="Arial"/>
          <w:sz w:val="16"/>
          <w:szCs w:val="16"/>
          <w:color w:val="181717"/>
        </w:rPr>
        <w:t>the sublicensing of patent and other rights under our collaborative development relationships and obligations associated with sublicensing;</w:t>
      </w:r>
    </w:p>
    <w:p>
      <w:pPr>
        <w:spacing w:after="0" w:line="32" w:lineRule="exact"/>
        <w:rPr>
          <w:rFonts w:ascii="Arial" w:cs="Arial" w:eastAsia="Arial" w:hAnsi="Arial"/>
          <w:sz w:val="16"/>
          <w:szCs w:val="16"/>
          <w:color w:val="181717"/>
        </w:rPr>
      </w:pPr>
    </w:p>
    <w:p>
      <w:pPr>
        <w:ind w:left="880" w:hanging="222"/>
        <w:spacing w:after="0"/>
        <w:tabs>
          <w:tab w:leader="none" w:pos="880" w:val="left"/>
        </w:tabs>
        <w:numPr>
          <w:ilvl w:val="0"/>
          <w:numId w:val="34"/>
        </w:numPr>
        <w:rPr>
          <w:rFonts w:ascii="Arial" w:cs="Arial" w:eastAsia="Arial" w:hAnsi="Arial"/>
          <w:sz w:val="18"/>
          <w:szCs w:val="18"/>
          <w:color w:val="181717"/>
        </w:rPr>
      </w:pPr>
      <w:r>
        <w:rPr>
          <w:rFonts w:ascii="Arial" w:cs="Arial" w:eastAsia="Arial" w:hAnsi="Arial"/>
          <w:sz w:val="18"/>
          <w:szCs w:val="18"/>
          <w:color w:val="181717"/>
        </w:rPr>
        <w:t>our diligence obligations under the license agreement and what activities satisfy those diligence obligations;</w:t>
      </w:r>
    </w:p>
    <w:p>
      <w:pPr>
        <w:spacing w:after="0" w:line="9" w:lineRule="exact"/>
        <w:rPr>
          <w:rFonts w:ascii="Arial" w:cs="Arial" w:eastAsia="Arial" w:hAnsi="Arial"/>
          <w:sz w:val="18"/>
          <w:szCs w:val="18"/>
          <w:color w:val="181717"/>
        </w:rPr>
      </w:pPr>
    </w:p>
    <w:p>
      <w:pPr>
        <w:ind w:left="880" w:hanging="222"/>
        <w:spacing w:after="0" w:line="250" w:lineRule="auto"/>
        <w:tabs>
          <w:tab w:leader="none" w:pos="880" w:val="left"/>
        </w:tabs>
        <w:numPr>
          <w:ilvl w:val="0"/>
          <w:numId w:val="34"/>
        </w:numPr>
        <w:rPr>
          <w:rFonts w:ascii="Arial" w:cs="Arial" w:eastAsia="Arial" w:hAnsi="Arial"/>
          <w:sz w:val="18"/>
          <w:szCs w:val="18"/>
          <w:color w:val="181717"/>
        </w:rPr>
      </w:pPr>
      <w:r>
        <w:rPr>
          <w:rFonts w:ascii="Arial" w:cs="Arial" w:eastAsia="Arial" w:hAnsi="Arial"/>
          <w:sz w:val="18"/>
          <w:szCs w:val="18"/>
          <w:color w:val="181717"/>
        </w:rPr>
        <w:t>the ownership of inventions and know-how resulting from the joint creation or use of intellectual property by our licensors and us and our partners; and</w:t>
      </w:r>
    </w:p>
    <w:p>
      <w:pPr>
        <w:ind w:left="880" w:hanging="222"/>
        <w:spacing w:after="0"/>
        <w:tabs>
          <w:tab w:leader="none" w:pos="880" w:val="left"/>
        </w:tabs>
        <w:numPr>
          <w:ilvl w:val="0"/>
          <w:numId w:val="34"/>
        </w:numPr>
        <w:rPr>
          <w:rFonts w:ascii="Arial" w:cs="Arial" w:eastAsia="Arial" w:hAnsi="Arial"/>
          <w:sz w:val="18"/>
          <w:szCs w:val="18"/>
          <w:color w:val="181717"/>
        </w:rPr>
      </w:pPr>
      <w:r>
        <w:rPr>
          <w:rFonts w:ascii="Arial" w:cs="Arial" w:eastAsia="Arial" w:hAnsi="Arial"/>
          <w:sz w:val="18"/>
          <w:szCs w:val="18"/>
          <w:color w:val="181717"/>
        </w:rPr>
        <w:t>the priority of invention of patented technology.</w:t>
      </w:r>
    </w:p>
    <w:p>
      <w:pPr>
        <w:spacing w:after="0" w:line="21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181717"/>
        </w:rPr>
        <w:t xml:space="preserve">In addition, the agreements under which we currently license intellectual property or technology from third parties are </w:t>
      </w:r>
      <w:r>
        <w:rPr>
          <w:rFonts w:ascii="Arial" w:cs="Arial" w:eastAsia="Arial" w:hAnsi="Arial"/>
          <w:sz w:val="16"/>
          <w:szCs w:val="16"/>
          <w:color w:val="000000"/>
        </w:rPr>
        <w:t>complex</w:t>
      </w:r>
      <w:r>
        <w:rPr>
          <w:rFonts w:ascii="Arial" w:cs="Arial" w:eastAsia="Arial" w:hAnsi="Arial"/>
          <w:sz w:val="16"/>
          <w:szCs w:val="16"/>
          <w:color w:val="181717"/>
        </w:rPr>
        <w:t>,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9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181717"/>
        </w:rPr>
        <w:t>If conflicts arise between us and our future collaborators or strategic partners, these parties may act in a manner adverse to us and could limit our ability to implement our strategies.</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181717"/>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17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86"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3" w:name="page54"/>
    <w:bookmarkEnd w:id="53"/>
    <w:p>
      <w:pPr>
        <w:ind w:right="60" w:firstLine="486"/>
        <w:spacing w:after="0" w:line="288"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74"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4"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7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and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94"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Our commercial success in part depends on obtaining and maintaining patent protection and trade secret protection in the United States and other countries with respect to our product candidates or any future product candidate that we may license or acquire,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 by maintenance of our trade secrets through proper procedures.</w:t>
      </w:r>
    </w:p>
    <w:p>
      <w:pPr>
        <w:spacing w:after="0" w:line="197"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drug candidates. In addition, the laws of foreign countries may not protect our rights to the same extent as the laws of the United States.</w:t>
      </w:r>
    </w:p>
    <w:p>
      <w:pPr>
        <w:spacing w:after="0" w:line="198"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4" w:name="page55"/>
    <w:bookmarkEnd w:id="54"/>
    <w:p>
      <w:pPr>
        <w:ind w:right="100" w:firstLine="790"/>
        <w:spacing w:after="0" w:line="288" w:lineRule="auto"/>
        <w:rPr>
          <w:sz w:val="20"/>
          <w:szCs w:val="20"/>
          <w:color w:val="auto"/>
        </w:rPr>
      </w:pPr>
      <w:r>
        <w:rPr>
          <w:rFonts w:ascii="Arial" w:cs="Arial" w:eastAsia="Arial" w:hAnsi="Arial"/>
          <w:sz w:val="16"/>
          <w:szCs w:val="16"/>
          <w:color w:val="auto"/>
        </w:rPr>
        <w:t>Currently, the composition of matter patent for ublituximab and umbralisib are granted in both the United States and EU, among other countries. A method of use patent covering the combination of ublituximab and umbralisib has also been granted in the US, EU, Japan, and several other territories. Additionally, several method of use patents for ublituximab and umbralisib in various indications and settings have also been applied for but have not yet been issued, or have been issued in certain territories but not under all jurisdictions in which such applications have been filed. No patents to date have been issued for TG-1501, TG-1701 and TG-1801 or for our pre-clinical product candidates. There can be no guarantee that any of these patents for which an application has already been filed, nor any patents filed in the future for our product candidates will be granted in any or all jurisdictions in which there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and uncertainties include the following:</w:t>
      </w:r>
    </w:p>
    <w:p>
      <w:pPr>
        <w:spacing w:after="0" w:line="225" w:lineRule="exact"/>
        <w:rPr>
          <w:sz w:val="20"/>
          <w:szCs w:val="20"/>
          <w:color w:val="auto"/>
        </w:rPr>
      </w:pPr>
    </w:p>
    <w:p>
      <w:pPr>
        <w:ind w:left="880" w:hanging="222"/>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 applications that we or our partners file may not result in any patents being issued;</w:t>
      </w:r>
    </w:p>
    <w:p>
      <w:pPr>
        <w:spacing w:after="0" w:line="15" w:lineRule="exact"/>
        <w:rPr>
          <w:rFonts w:ascii="Arial" w:cs="Arial" w:eastAsia="Arial" w:hAnsi="Arial"/>
          <w:sz w:val="18"/>
          <w:szCs w:val="18"/>
          <w:color w:val="auto"/>
        </w:rPr>
      </w:pPr>
    </w:p>
    <w:p>
      <w:pPr>
        <w:ind w:left="880" w:hanging="222"/>
        <w:spacing w:after="0" w:line="250"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880" w:hanging="222"/>
        <w:spacing w:after="0" w:line="250"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880" w:hanging="222"/>
        <w:spacing w:after="0" w:line="281" w:lineRule="auto"/>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spacing w:after="0" w:line="2" w:lineRule="exact"/>
        <w:rPr>
          <w:rFonts w:ascii="Arial" w:cs="Arial" w:eastAsia="Arial" w:hAnsi="Arial"/>
          <w:sz w:val="16"/>
          <w:szCs w:val="16"/>
          <w:color w:val="auto"/>
        </w:rPr>
      </w:pPr>
    </w:p>
    <w:p>
      <w:pPr>
        <w:jc w:val="both"/>
        <w:ind w:left="880" w:hanging="222"/>
        <w:spacing w:after="0" w:line="250"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spacing w:after="0" w:line="1" w:lineRule="exact"/>
        <w:rPr>
          <w:rFonts w:ascii="Arial" w:cs="Arial" w:eastAsia="Arial" w:hAnsi="Arial"/>
          <w:sz w:val="18"/>
          <w:szCs w:val="18"/>
          <w:color w:val="auto"/>
        </w:rPr>
      </w:pPr>
    </w:p>
    <w:p>
      <w:pPr>
        <w:ind w:left="880" w:hanging="222"/>
        <w:spacing w:after="0" w:line="261"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If patents are not issued that protect our product candidates, it could have a material adverse effect on our financial condition and results of operations.</w:t>
      </w:r>
    </w:p>
    <w:p>
      <w:pPr>
        <w:spacing w:after="0" w:line="27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 candidates or any future product candidate we may license or acquire, our ability to develop and commercialize these product candidates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17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5" w:name="page56"/>
    <w:bookmarkEnd w:id="55"/>
    <w:p>
      <w:pPr>
        <w:ind w:right="100" w:firstLine="692"/>
        <w:spacing w:after="0" w:line="294" w:lineRule="auto"/>
        <w:rPr>
          <w:sz w:val="20"/>
          <w:szCs w:val="20"/>
          <w:color w:val="auto"/>
        </w:rPr>
      </w:pPr>
      <w:r>
        <w:rPr>
          <w:rFonts w:ascii="Arial" w:cs="Arial" w:eastAsia="Arial" w:hAnsi="Arial"/>
          <w:sz w:val="16"/>
          <w:szCs w:val="16"/>
          <w:color w:val="auto"/>
        </w:rPr>
        <w:t>In addition, U.S. patent laws may change, which could prevent or limit us or our subsidiaries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170"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United States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2" w:lineRule="exact"/>
        <w:rPr>
          <w:sz w:val="20"/>
          <w:szCs w:val="20"/>
          <w:color w:val="auto"/>
        </w:rPr>
      </w:pPr>
    </w:p>
    <w:p>
      <w:pPr>
        <w:ind w:right="120" w:firstLine="702"/>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products similar or identical to ours.</w:t>
      </w:r>
    </w:p>
    <w:p>
      <w:pPr>
        <w:spacing w:after="0" w:line="20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7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81" w:lineRule="exact"/>
        <w:rPr>
          <w:sz w:val="20"/>
          <w:szCs w:val="20"/>
          <w:color w:val="auto"/>
        </w:rPr>
      </w:pPr>
    </w:p>
    <w:p>
      <w:pPr>
        <w:ind w:right="300" w:firstLine="648"/>
        <w:spacing w:after="0" w:line="268"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186"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ind w:right="20" w:firstLine="648"/>
        <w:spacing w:after="0" w:line="294"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93" w:right="259" w:bottom="1440" w:gutter="0" w:footer="0" w:header="0"/>
        </w:sectPr>
      </w:pPr>
    </w:p>
    <w:bookmarkStart w:id="56" w:name="page57"/>
    <w:bookmarkEnd w:id="56"/>
    <w:p>
      <w:pPr>
        <w:ind w:right="40" w:firstLine="648"/>
        <w:spacing w:after="0" w:line="298" w:lineRule="auto"/>
        <w:rPr>
          <w:sz w:val="20"/>
          <w:szCs w:val="20"/>
          <w:color w:val="auto"/>
        </w:rPr>
      </w:pPr>
      <w:r>
        <w:rPr>
          <w:rFonts w:ascii="Arial" w:cs="Arial" w:eastAsia="Arial" w:hAnsi="Arial"/>
          <w:sz w:val="16"/>
          <w:szCs w:val="16"/>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8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97" w:lineRule="exact"/>
        <w:rPr>
          <w:sz w:val="20"/>
          <w:szCs w:val="20"/>
          <w:color w:val="auto"/>
        </w:rPr>
      </w:pPr>
    </w:p>
    <w:p>
      <w:pPr>
        <w:ind w:firstLine="692"/>
        <w:spacing w:after="0" w:line="287" w:lineRule="auto"/>
        <w:rPr>
          <w:sz w:val="20"/>
          <w:szCs w:val="20"/>
          <w:color w:val="auto"/>
        </w:rPr>
      </w:pPr>
      <w:r>
        <w:rPr>
          <w:rFonts w:ascii="Arial" w:cs="Arial" w:eastAsia="Arial" w:hAnsi="Arial"/>
          <w:sz w:val="16"/>
          <w:szCs w:val="16"/>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7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We are aware of certain patents that may pose issues for our commercialization of our drug candidates. For example, Roche, Biogen Idec, and Genentech hold patents for the use of anti-CD20 antibodies utilized in the treatment of CLL in the United States which are expected to expire in November of 2019. While these patents have been challenged, to the best of our knowledge, those matters were settled in a way that permitted additional anti-CD20 antibodies to be marketed for CLL. If those patents are still valid and enforced at the time we are intending to launch ublituximab, then we will need to either prevail in a litigation to challenge those patents or negotiate a settlement agreement with the patent holders.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 If we are unable to do so, we may be forced to delay the launch of ublituximab or launch at the risk of litigation for patent infringement, which may have a material adverse effect on our business and results of operations.</w:t>
      </w:r>
    </w:p>
    <w:p>
      <w:pPr>
        <w:spacing w:after="0" w:line="177"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If a third 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4"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product candidates that we may in-license or acquire could be subject to similar risks and uncertainties.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57" w:name="page58"/>
    <w:bookmarkEnd w:id="57"/>
    <w:p>
      <w:pPr>
        <w:ind w:right="500"/>
        <w:spacing w:after="0" w:line="268"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8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 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involved in lawsuits to protect or enforce our patents or the patents of our licensors, which could be expensive, time consuming and unsuccessful.</w:t>
      </w:r>
    </w:p>
    <w:p>
      <w:pPr>
        <w:spacing w:after="0" w:line="26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9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72"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94" w:lineRule="exact"/>
        <w:rPr>
          <w:sz w:val="20"/>
          <w:szCs w:val="20"/>
          <w:color w:val="auto"/>
        </w:rPr>
      </w:pPr>
    </w:p>
    <w:p>
      <w:pPr>
        <w:ind w:right="40" w:firstLine="486"/>
        <w:spacing w:after="0" w:line="294"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7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225" w:lineRule="exact"/>
        <w:rPr>
          <w:sz w:val="20"/>
          <w:szCs w:val="20"/>
          <w:color w:val="auto"/>
        </w:rPr>
      </w:pPr>
    </w:p>
    <w:p>
      <w:pPr>
        <w:ind w:right="60" w:firstLine="486"/>
        <w:spacing w:after="0" w:line="286"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20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Employee Matters, Managing Growth and Other Risks Related to Our Business</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we fail to attract and keep key management and clinical development personnel, we may be unable to successfully develop or commercialize our product candidates.</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are highly dependent on the research and development, clinical, business development, financial and legal expertise of our senior management team as well as the other principal members of our management, scientific and clinical team. Although we have entered into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93" w:right="259" w:bottom="1440" w:gutter="0" w:footer="0" w:header="0"/>
        </w:sectPr>
      </w:pPr>
    </w:p>
    <w:bookmarkStart w:id="59" w:name="page60"/>
    <w:bookmarkEnd w:id="59"/>
    <w:p>
      <w:pPr>
        <w:ind w:firstLine="648"/>
        <w:spacing w:after="0" w:line="288"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manufacturing and sales and marketing personnel will be critical to our success. The loss of the services of our chief executive officer or other key employees could impede 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impede significantly the achievement of our development objectives, our ability to raise additional capital, and our ability to implement our business strategy.</w:t>
      </w:r>
    </w:p>
    <w:p>
      <w:pPr>
        <w:spacing w:after="0" w:line="20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8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As of May 3, 2019, we had 102 full-time employees, and we expect to continue to increase our number of employees and expand the scope of our operations. Our management and medical and scientific personnel, systems and facilities currently in place may not be adequate to support our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78"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its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further develop and commercialize our product candidates and, accordingly, may not achieve our research, development and commercialization goals.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0" w:name="page61"/>
    <w:bookmarkEnd w:id="60"/>
    <w:p>
      <w:pPr>
        <w:ind w:right="20" w:firstLine="648"/>
        <w:spacing w:after="0" w:line="253" w:lineRule="auto"/>
        <w:rPr>
          <w:sz w:val="20"/>
          <w:szCs w:val="20"/>
          <w:color w:val="auto"/>
        </w:rPr>
      </w:pPr>
      <w:r>
        <w:rPr>
          <w:rFonts w:ascii="Arial" w:cs="Arial" w:eastAsia="Arial" w:hAnsi="Arial"/>
          <w:sz w:val="18"/>
          <w:szCs w:val="18"/>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86" w:lineRule="exact"/>
        <w:rPr>
          <w:sz w:val="20"/>
          <w:szCs w:val="20"/>
          <w:color w:val="auto"/>
        </w:rPr>
      </w:pPr>
    </w:p>
    <w:p>
      <w:pPr>
        <w:ind w:right="180" w:firstLine="702"/>
        <w:spacing w:after="0" w:line="291"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drug candidates’ development programs.</w:t>
      </w:r>
    </w:p>
    <w:p>
      <w:pPr>
        <w:spacing w:after="0" w:line="186"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72"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 which could have a material adverse effect on our business.</w:t>
      </w:r>
    </w:p>
    <w:p>
      <w:pPr>
        <w:spacing w:after="0" w:line="139" w:lineRule="exact"/>
        <w:rPr>
          <w:sz w:val="20"/>
          <w:szCs w:val="20"/>
          <w:color w:val="auto"/>
        </w:rPr>
      </w:pPr>
    </w:p>
    <w:p>
      <w:pPr>
        <w:ind w:right="60" w:firstLine="648"/>
        <w:spacing w:after="0" w:line="305" w:lineRule="auto"/>
        <w:rPr>
          <w:sz w:val="20"/>
          <w:szCs w:val="20"/>
          <w:color w:val="auto"/>
        </w:rPr>
      </w:pPr>
      <w:r>
        <w:rPr>
          <w:rFonts w:ascii="Arial" w:cs="Arial" w:eastAsia="Arial" w:hAnsi="Arial"/>
          <w:sz w:val="15"/>
          <w:szCs w:val="15"/>
          <w:color w:val="auto"/>
        </w:rPr>
        <w:t xml:space="preserve">We are exposed to the risk that our employees, principal investigators, CROs and consultants may engage in fraudulent conduct or other illegal activity. Misconduct by these parties could include </w:t>
      </w:r>
      <w:r>
        <w:rPr>
          <w:rFonts w:ascii="Arial" w:cs="Arial" w:eastAsia="Arial" w:hAnsi="Arial"/>
          <w:sz w:val="15"/>
          <w:szCs w:val="15"/>
          <w:color w:val="181717"/>
        </w:rPr>
        <w:t>intentional failures to comply with FDA regulations, provide accurate information to the FDA, comply with</w:t>
      </w:r>
      <w:r>
        <w:rPr>
          <w:rFonts w:ascii="Arial" w:cs="Arial" w:eastAsia="Arial" w:hAnsi="Arial"/>
          <w:sz w:val="15"/>
          <w:szCs w:val="15"/>
          <w:color w:val="auto"/>
        </w:rPr>
        <w:t xml:space="preserve"> </w:t>
      </w:r>
      <w:r>
        <w:rPr>
          <w:rFonts w:ascii="Arial" w:cs="Arial" w:eastAsia="Arial" w:hAnsi="Arial"/>
          <w:sz w:val="15"/>
          <w:szCs w:val="15"/>
          <w:color w:val="181717"/>
        </w:rPr>
        <w:t xml:space="preserve">manufacturing standards we have established, comply with federal and state healthcare fraud and abuse laws and regulations, report financial information or data accurately or disclose unauthorized activities to us. </w:t>
      </w:r>
      <w:r>
        <w:rPr>
          <w:rFonts w:ascii="Arial" w:cs="Arial" w:eastAsia="Arial" w:hAnsi="Arial"/>
          <w:sz w:val="15"/>
          <w:szCs w:val="15"/>
          <w:color w:val="000000"/>
        </w:rPr>
        <w:t>In particular, sales, marketing and business arrangements in the healthcare industry are subject to extensive</w:t>
      </w:r>
      <w:r>
        <w:rPr>
          <w:rFonts w:ascii="Arial" w:cs="Arial" w:eastAsia="Arial" w:hAnsi="Arial"/>
          <w:sz w:val="15"/>
          <w:szCs w:val="15"/>
          <w:color w:val="181717"/>
        </w:rPr>
        <w:t xml:space="preserve"> </w:t>
      </w:r>
      <w:r>
        <w:rPr>
          <w:rFonts w:ascii="Arial" w:cs="Arial" w:eastAsia="Arial" w:hAnsi="Arial"/>
          <w:sz w:val="15"/>
          <w:szCs w:val="15"/>
          <w:color w:val="000000"/>
        </w:rPr>
        <w:t>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09" w:right="25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i w:val="1"/>
          <w:iCs w:val="1"/>
          <w:color w:val="auto"/>
        </w:rPr>
        <w:t>We may acquire businesses or drugs, or form strategic alliances, in the future, and we may not realize the benefits of such acquisitions.</w:t>
      </w:r>
    </w:p>
    <w:p>
      <w:pPr>
        <w:spacing w:after="0" w:line="275" w:lineRule="exact"/>
        <w:rPr>
          <w:sz w:val="20"/>
          <w:szCs w:val="20"/>
          <w:color w:val="auto"/>
        </w:rPr>
      </w:pPr>
    </w:p>
    <w:p>
      <w:pPr>
        <w:ind w:right="200" w:firstLine="648"/>
        <w:spacing w:after="0" w:line="318" w:lineRule="auto"/>
        <w:rPr>
          <w:sz w:val="20"/>
          <w:szCs w:val="20"/>
          <w:color w:val="auto"/>
        </w:rPr>
      </w:pPr>
      <w:r>
        <w:rPr>
          <w:rFonts w:ascii="Arial" w:cs="Arial" w:eastAsia="Arial" w:hAnsi="Arial"/>
          <w:sz w:val="15"/>
          <w:szCs w:val="15"/>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adverse legislative or regulatory tax changes that could negatively impact our financial condition.</w:t>
      </w:r>
    </w:p>
    <w:p>
      <w:pPr>
        <w:spacing w:after="0" w:line="22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717"/>
        </w:rPr>
        <w:t>Our tax position could be affected by recent changes in United States federal income tax laws.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181717"/>
        </w:rPr>
        <w:t>On December 22, 2017, legislation commonly referred to as the “Tax Cuts and Jobs Act” was signed into law and is generally effective after December 31, 2017. The Tax Cuts and Jobs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Cuts and Jobs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United States federal income tax base. The Tax Cuts and Jobs Act makes numerous other large and small changes to the federal income tax rules that may affect potential investors and may directly or indirectly affect us. We continue to examine the impact this tax reform legislation may have on our business. However, the effect of the Tax Cuts and Jobs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Cuts and Jobs Act and any other regulatory or administrative developments and proposals, and their potential effects on them based on their unique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and we expect it to remain, volatile, which could limit investors’ ability to sell stock at a profit.</w:t>
      </w:r>
    </w:p>
    <w:p>
      <w:pPr>
        <w:spacing w:after="0" w:line="225" w:lineRule="exact"/>
        <w:rPr>
          <w:sz w:val="20"/>
          <w:szCs w:val="20"/>
          <w:color w:val="auto"/>
        </w:rPr>
      </w:pPr>
    </w:p>
    <w:p>
      <w:pPr>
        <w:ind w:right="340" w:firstLine="648"/>
        <w:spacing w:after="0" w:line="26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price in response to various factors, many of which are beyond our control. These factors include:</w:t>
      </w:r>
    </w:p>
    <w:p>
      <w:pPr>
        <w:spacing w:after="0" w:line="186" w:lineRule="exact"/>
        <w:rPr>
          <w:sz w:val="20"/>
          <w:szCs w:val="20"/>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62" w:name="page63"/>
    <w:bookmarkEnd w:id="62"/>
    <w:p>
      <w:pPr>
        <w:ind w:right="260" w:firstLine="689"/>
        <w:spacing w:after="0" w:line="268"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8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pacing w:after="0" w:line="19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98" w:lineRule="exact"/>
        <w:rPr>
          <w:sz w:val="20"/>
          <w:szCs w:val="20"/>
          <w:color w:val="auto"/>
        </w:rPr>
      </w:pPr>
    </w:p>
    <w:p>
      <w:pPr>
        <w:ind w:left="880" w:hanging="222"/>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5" w:lineRule="exact"/>
        <w:rPr>
          <w:rFonts w:ascii="Arial" w:cs="Arial" w:eastAsia="Arial" w:hAnsi="Arial"/>
          <w:sz w:val="18"/>
          <w:szCs w:val="18"/>
          <w:color w:val="auto"/>
        </w:rPr>
      </w:pPr>
    </w:p>
    <w:p>
      <w:pPr>
        <w:ind w:left="880" w:hanging="222"/>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880" w:hanging="222"/>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4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86"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Certain anti-takeover provisions in our charter documents and Delaware law could make a third-party acquisition of us difficult. This could limit the price investors might be willing to pay in the future for our common stock.</w:t>
      </w:r>
    </w:p>
    <w:p>
      <w:pPr>
        <w:spacing w:after="0" w:line="18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Provisions in our amended and restated certificate of incorporation and restated bylaws could have the effect of making it more difficult for a third party to acquire, or of discouraging a third party from attempting to acquire, or control us. These factors could limit the price that certain investors might be willing to pay in the future for shares of our common stock. Our amended and restated certificate of incorporation allows us to issue preferred stock without the approval of our stockholders. The issuance of preferred stock could decrease the amount of earnings and assets available for distribution to the holders of our common stock or could adversely affect the rights and powers, including voting rights, of such holders. In certain circumstances, such issuance could have the effect of decreasing the market price of our common stock.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72"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 active trading market for our common stock may not be sustained, and investors may not be able to resell their shares at or above the price they paid.</w:t>
      </w:r>
    </w:p>
    <w:p>
      <w:pPr>
        <w:spacing w:after="0" w:line="260" w:lineRule="exact"/>
        <w:rPr>
          <w:sz w:val="20"/>
          <w:szCs w:val="20"/>
          <w:color w:val="auto"/>
        </w:rPr>
      </w:pPr>
    </w:p>
    <w:p>
      <w:pPr>
        <w:ind w:right="80" w:firstLine="648"/>
        <w:spacing w:after="0" w:line="298"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93" w:right="239" w:bottom="1440" w:gutter="0" w:footer="0" w:header="0"/>
        </w:sectPr>
      </w:pPr>
    </w:p>
    <w:bookmarkStart w:id="63" w:name="page64"/>
    <w:bookmarkEnd w:id="63"/>
    <w:p>
      <w:pPr>
        <w:ind w:right="120"/>
        <w:spacing w:after="0" w:line="268"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86"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181717"/>
        </w:rPr>
        <w:t>We incur significant increased costs as a result of operating as a public company, and our management is required to devote substantial time to compliance initiatives.</w:t>
      </w:r>
    </w:p>
    <w:p>
      <w:pPr>
        <w:spacing w:after="0" w:line="186"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181717"/>
        </w:rPr>
        <w:t>As a public company, we incur significant legal, accounting and other expenses under the Sarbanes-Oxley Act of 2002, as well as rules subsequently implemented by the Securities and Exchange Commission (“SEC”), and the rules of any stock exchange on which we may become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172"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181717"/>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which could have an adverse effect on the market price of our sto</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8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181717"/>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 See Part II. Item I. Legal Proceedings above for additional information.</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8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6" w:right="2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2018, we had federal net operating loss carryforwards of approximately $550.6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200" w:lineRule="exact"/>
        <w:rPr>
          <w:sz w:val="20"/>
          <w:szCs w:val="20"/>
          <w:color w:val="auto"/>
        </w:rPr>
      </w:pPr>
    </w:p>
    <w:p>
      <w:pPr>
        <w:spacing w:after="0" w:line="241" w:lineRule="exact"/>
        <w:rPr>
          <w:sz w:val="20"/>
          <w:szCs w:val="20"/>
          <w:color w:val="auto"/>
        </w:rPr>
      </w:pPr>
    </w:p>
    <w:p>
      <w:pPr>
        <w:ind w:left="1200" w:hanging="383"/>
        <w:spacing w:after="0" w:line="268" w:lineRule="auto"/>
        <w:rPr>
          <w:rFonts w:ascii="Arial" w:cs="Arial" w:eastAsia="Arial" w:hAnsi="Arial"/>
          <w:sz w:val="18"/>
          <w:szCs w:val="18"/>
          <w:color w:val="0000FF"/>
        </w:rPr>
      </w:pPr>
      <w:hyperlink w:anchor="page68">
        <w:r>
          <w:rPr>
            <w:rFonts w:ascii="Arial" w:cs="Arial" w:eastAsia="Arial" w:hAnsi="Arial"/>
            <w:sz w:val="18"/>
            <w:szCs w:val="18"/>
            <w:color w:val="0000FF"/>
          </w:rPr>
          <w:t xml:space="preserve">31.1 </w:t>
        </w:r>
      </w:hyperlink>
      <w:r>
        <w:rPr>
          <w:rFonts w:ascii="Arial" w:cs="Arial" w:eastAsia="Arial" w:hAnsi="Arial"/>
          <w:sz w:val="18"/>
          <w:szCs w:val="18"/>
          <w:color w:val="000000"/>
        </w:rPr>
        <w:t>Certification</w:t>
      </w:r>
      <w:r>
        <w:rPr>
          <w:rFonts w:ascii="Arial" w:cs="Arial" w:eastAsia="Arial" w:hAnsi="Arial"/>
          <w:sz w:val="18"/>
          <w:szCs w:val="18"/>
          <w:color w:val="0000FF"/>
        </w:rPr>
        <w:t xml:space="preserve"> </w:t>
      </w:r>
      <w:r>
        <w:rPr>
          <w:rFonts w:ascii="Arial" w:cs="Arial" w:eastAsia="Arial" w:hAnsi="Arial"/>
          <w:sz w:val="18"/>
          <w:szCs w:val="18"/>
          <w:color w:val="000000"/>
        </w:rPr>
        <w:t>of Chief Executive Officer pursuant to Rule 13a-14(a)/15d-14(a), as adopted pursuant to Section 302 of the Sarbanes-Oxley Act</w:t>
      </w:r>
      <w:r>
        <w:rPr>
          <w:rFonts w:ascii="Arial" w:cs="Arial" w:eastAsia="Arial" w:hAnsi="Arial"/>
          <w:sz w:val="18"/>
          <w:szCs w:val="18"/>
          <w:color w:val="0000FF"/>
        </w:rPr>
        <w:t xml:space="preserve"> </w:t>
      </w:r>
      <w:r>
        <w:rPr>
          <w:rFonts w:ascii="Arial" w:cs="Arial" w:eastAsia="Arial" w:hAnsi="Arial"/>
          <w:sz w:val="18"/>
          <w:szCs w:val="18"/>
          <w:color w:val="000000"/>
        </w:rPr>
        <w:t>of 2002, dated May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-287655</wp:posOffset>
            </wp:positionV>
            <wp:extent cx="724662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140335</wp:posOffset>
            </wp:positionV>
            <wp:extent cx="7246620" cy="291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0" w:lineRule="exact"/>
        <w:rPr>
          <w:sz w:val="20"/>
          <w:szCs w:val="20"/>
          <w:color w:val="auto"/>
        </w:rPr>
      </w:pPr>
    </w:p>
    <w:p>
      <w:pPr>
        <w:ind w:left="1200" w:right="60" w:hanging="383"/>
        <w:spacing w:after="0" w:line="268" w:lineRule="auto"/>
        <w:rPr>
          <w:rFonts w:ascii="Arial" w:cs="Arial" w:eastAsia="Arial" w:hAnsi="Arial"/>
          <w:sz w:val="18"/>
          <w:szCs w:val="18"/>
          <w:color w:val="0000EE"/>
        </w:rPr>
      </w:pPr>
      <w:hyperlink w:anchor="page69">
        <w:r>
          <w:rPr>
            <w:rFonts w:ascii="Arial" w:cs="Arial" w:eastAsia="Arial" w:hAnsi="Arial"/>
            <w:sz w:val="18"/>
            <w:szCs w:val="18"/>
            <w:color w:val="0000EE"/>
          </w:rPr>
          <w:t xml:space="preserve">31.2 </w:t>
        </w:r>
      </w:hyperlink>
      <w:r>
        <w:rPr>
          <w:rFonts w:ascii="Arial" w:cs="Arial" w:eastAsia="Arial" w:hAnsi="Arial"/>
          <w:sz w:val="18"/>
          <w:szCs w:val="18"/>
          <w:color w:val="000000"/>
        </w:rPr>
        <w:t>Certification</w:t>
      </w:r>
      <w:r>
        <w:rPr>
          <w:rFonts w:ascii="Arial" w:cs="Arial" w:eastAsia="Arial" w:hAnsi="Arial"/>
          <w:sz w:val="18"/>
          <w:szCs w:val="18"/>
          <w:color w:val="0000EE"/>
        </w:rPr>
        <w:t xml:space="preserve"> </w:t>
      </w:r>
      <w:r>
        <w:rPr>
          <w:rFonts w:ascii="Arial" w:cs="Arial" w:eastAsia="Arial" w:hAnsi="Arial"/>
          <w:sz w:val="18"/>
          <w:szCs w:val="18"/>
          <w:color w:val="000000"/>
        </w:rPr>
        <w:t>of Chief Financial Officer pursuant to Rule 13a-14(a)/15d-14(a), as adopted pursuant to Section 302 of the Sarbanes-Oxley Act</w:t>
      </w:r>
      <w:r>
        <w:rPr>
          <w:rFonts w:ascii="Arial" w:cs="Arial" w:eastAsia="Arial" w:hAnsi="Arial"/>
          <w:sz w:val="18"/>
          <w:szCs w:val="18"/>
          <w:color w:val="0000EE"/>
        </w:rPr>
        <w:t xml:space="preserve"> </w:t>
      </w:r>
      <w:r>
        <w:rPr>
          <w:rFonts w:ascii="Arial" w:cs="Arial" w:eastAsia="Arial" w:hAnsi="Arial"/>
          <w:sz w:val="18"/>
          <w:szCs w:val="18"/>
          <w:color w:val="000000"/>
        </w:rPr>
        <w:t>of 2002, dated May 10, 2019.</w:t>
      </w:r>
    </w:p>
    <w:p>
      <w:pPr>
        <w:spacing w:after="0" w:line="186" w:lineRule="exact"/>
        <w:rPr>
          <w:sz w:val="20"/>
          <w:szCs w:val="20"/>
          <w:color w:val="auto"/>
        </w:rPr>
      </w:pPr>
    </w:p>
    <w:p>
      <w:pPr>
        <w:ind w:left="1200" w:hanging="383"/>
        <w:spacing w:after="0" w:line="268" w:lineRule="auto"/>
        <w:rPr>
          <w:rFonts w:ascii="Arial" w:cs="Arial" w:eastAsia="Arial" w:hAnsi="Arial"/>
          <w:sz w:val="18"/>
          <w:szCs w:val="18"/>
          <w:color w:val="0000FF"/>
        </w:rPr>
      </w:pPr>
      <w:hyperlink w:anchor="page70">
        <w:r>
          <w:rPr>
            <w:rFonts w:ascii="Arial" w:cs="Arial" w:eastAsia="Arial" w:hAnsi="Arial"/>
            <w:sz w:val="18"/>
            <w:szCs w:val="18"/>
            <w:color w:val="0000FF"/>
          </w:rPr>
          <w:t xml:space="preserve">32.1 </w:t>
        </w:r>
      </w:hyperlink>
      <w:r>
        <w:rPr>
          <w:rFonts w:ascii="Arial" w:cs="Arial" w:eastAsia="Arial" w:hAnsi="Arial"/>
          <w:sz w:val="18"/>
          <w:szCs w:val="18"/>
          <w:color w:val="000000"/>
        </w:rPr>
        <w:t>Certification</w:t>
      </w:r>
      <w:r>
        <w:rPr>
          <w:rFonts w:ascii="Arial" w:cs="Arial" w:eastAsia="Arial" w:hAnsi="Arial"/>
          <w:sz w:val="18"/>
          <w:szCs w:val="18"/>
          <w:color w:val="0000FF"/>
        </w:rPr>
        <w:t xml:space="preserve"> </w:t>
      </w:r>
      <w:r>
        <w:rPr>
          <w:rFonts w:ascii="Arial" w:cs="Arial" w:eastAsia="Arial" w:hAnsi="Arial"/>
          <w:sz w:val="18"/>
          <w:szCs w:val="18"/>
          <w:color w:val="000000"/>
        </w:rPr>
        <w:t>of Chief Executive Officer pursuant to 18 U.S.C. §1350, as adopted pursuant to Section 906 of the Sarbanes-Oxley Act of 2002,</w:t>
      </w:r>
      <w:r>
        <w:rPr>
          <w:rFonts w:ascii="Arial" w:cs="Arial" w:eastAsia="Arial" w:hAnsi="Arial"/>
          <w:sz w:val="18"/>
          <w:szCs w:val="18"/>
          <w:color w:val="0000FF"/>
        </w:rPr>
        <w:t xml:space="preserve"> </w:t>
      </w:r>
      <w:r>
        <w:rPr>
          <w:rFonts w:ascii="Arial" w:cs="Arial" w:eastAsia="Arial" w:hAnsi="Arial"/>
          <w:sz w:val="18"/>
          <w:szCs w:val="18"/>
          <w:color w:val="000000"/>
        </w:rPr>
        <w:t>dated May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-287655</wp:posOffset>
            </wp:positionV>
            <wp:extent cx="7246620"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140335</wp:posOffset>
            </wp:positionV>
            <wp:extent cx="724662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20" w:lineRule="exact"/>
        <w:rPr>
          <w:sz w:val="20"/>
          <w:szCs w:val="20"/>
          <w:color w:val="auto"/>
        </w:rPr>
      </w:pPr>
    </w:p>
    <w:p>
      <w:pPr>
        <w:ind w:left="1200" w:right="40" w:hanging="383"/>
        <w:spacing w:after="0" w:line="268" w:lineRule="auto"/>
        <w:rPr>
          <w:rFonts w:ascii="Arial" w:cs="Arial" w:eastAsia="Arial" w:hAnsi="Arial"/>
          <w:sz w:val="18"/>
          <w:szCs w:val="18"/>
          <w:color w:val="0000EE"/>
        </w:rPr>
      </w:pPr>
      <w:hyperlink w:anchor="page71">
        <w:r>
          <w:rPr>
            <w:rFonts w:ascii="Arial" w:cs="Arial" w:eastAsia="Arial" w:hAnsi="Arial"/>
            <w:sz w:val="18"/>
            <w:szCs w:val="18"/>
            <w:color w:val="0000EE"/>
          </w:rPr>
          <w:t xml:space="preserve">32.2 </w:t>
        </w:r>
      </w:hyperlink>
      <w:r>
        <w:rPr>
          <w:rFonts w:ascii="Arial" w:cs="Arial" w:eastAsia="Arial" w:hAnsi="Arial"/>
          <w:sz w:val="18"/>
          <w:szCs w:val="18"/>
          <w:color w:val="000000"/>
        </w:rPr>
        <w:t>Certification</w:t>
      </w:r>
      <w:r>
        <w:rPr>
          <w:rFonts w:ascii="Arial" w:cs="Arial" w:eastAsia="Arial" w:hAnsi="Arial"/>
          <w:sz w:val="18"/>
          <w:szCs w:val="18"/>
          <w:color w:val="0000EE"/>
        </w:rPr>
        <w:t xml:space="preserve"> </w:t>
      </w:r>
      <w:r>
        <w:rPr>
          <w:rFonts w:ascii="Arial" w:cs="Arial" w:eastAsia="Arial" w:hAnsi="Arial"/>
          <w:sz w:val="18"/>
          <w:szCs w:val="18"/>
          <w:color w:val="000000"/>
        </w:rPr>
        <w:t>of Chief Financial Officer pursuant to 18 U.S.C. §1350, as adopted pursuant to Section 906 of the Sarbanes-Oxley Act of 2002,</w:t>
      </w:r>
      <w:r>
        <w:rPr>
          <w:rFonts w:ascii="Arial" w:cs="Arial" w:eastAsia="Arial" w:hAnsi="Arial"/>
          <w:sz w:val="18"/>
          <w:szCs w:val="18"/>
          <w:color w:val="0000EE"/>
        </w:rPr>
        <w:t xml:space="preserve"> </w:t>
      </w:r>
      <w:r>
        <w:rPr>
          <w:rFonts w:ascii="Arial" w:cs="Arial" w:eastAsia="Arial" w:hAnsi="Arial"/>
          <w:sz w:val="18"/>
          <w:szCs w:val="18"/>
          <w:color w:val="000000"/>
        </w:rPr>
        <w:t>dated May 10, 2019.</w:t>
      </w:r>
    </w:p>
    <w:p>
      <w:pPr>
        <w:spacing w:after="0" w:line="186" w:lineRule="exact"/>
        <w:rPr>
          <w:sz w:val="20"/>
          <w:szCs w:val="20"/>
          <w:color w:val="auto"/>
        </w:rPr>
      </w:pPr>
    </w:p>
    <w:p>
      <w:pPr>
        <w:ind w:left="1200" w:right="20"/>
        <w:spacing w:after="0" w:line="303" w:lineRule="auto"/>
        <w:rPr>
          <w:sz w:val="20"/>
          <w:szCs w:val="20"/>
          <w:color w:val="auto"/>
        </w:rPr>
      </w:pPr>
      <w:r>
        <w:rPr>
          <w:rFonts w:ascii="Arial" w:cs="Arial" w:eastAsia="Arial" w:hAnsi="Arial"/>
          <w:sz w:val="15"/>
          <w:szCs w:val="15"/>
          <w:color w:val="auto"/>
        </w:rPr>
        <w:t>The following financial information from the Company’s Quarterly Report on Form 10-Q for the period ended March 31, 2019, formatted in Extensible Business Reporting Language (XBRL): (i) the Condensed Consolidated Balance Sheets, (ii) the Condensed Consolidated Statements of Operations, (iii) the Condensed Consolidated Statements of Stockholders’ Equity, (iv) the Condensed Consolidated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-408940</wp:posOffset>
            </wp:positionV>
            <wp:extent cx="7246620" cy="548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ind w:left="740"/>
        <w:spacing w:after="0"/>
        <w:tabs>
          <w:tab w:leader="none" w:pos="1180" w:val="left"/>
        </w:tabs>
        <w:rPr>
          <w:sz w:val="20"/>
          <w:szCs w:val="20"/>
          <w:color w:val="auto"/>
        </w:rPr>
      </w:pPr>
      <w:r>
        <w:rPr>
          <w:rFonts w:ascii="Arial" w:cs="Arial" w:eastAsia="Arial" w:hAnsi="Arial"/>
          <w:sz w:val="18"/>
          <w:szCs w:val="18"/>
          <w:color w:val="auto"/>
        </w:rPr>
        <w:t>101</w:t>
        <w:tab/>
        <w:t>of Cash Flows, and (v) Notes to the Condensed Consolidated Financial Statements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420" w:top="989"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TG THERAPEUTICS, INC.</w:t>
      </w:r>
    </w:p>
    <w:p>
      <w:pPr>
        <w:spacing w:after="0" w:line="231" w:lineRule="exact"/>
        <w:rPr>
          <w:sz w:val="20"/>
          <w:szCs w:val="20"/>
          <w:color w:val="auto"/>
        </w:rPr>
      </w:pPr>
    </w:p>
    <w:p>
      <w:pPr>
        <w:spacing w:after="0"/>
        <w:tabs>
          <w:tab w:leader="none" w:pos="5240" w:val="left"/>
          <w:tab w:leader="none" w:pos="570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746" w:right="97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left="140" w:right="80" w:hanging="132"/>
        <w:spacing w:after="0" w:line="268" w:lineRule="auto"/>
        <w:tabs>
          <w:tab w:leader="none" w:pos="1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8"/>
          <w:szCs w:val="18"/>
          <w:color w:val="auto"/>
        </w:rPr>
      </w:pPr>
    </w:p>
    <w:p>
      <w:pPr>
        <w:ind w:left="820" w:right="100" w:hanging="592"/>
        <w:spacing w:after="0" w:line="268"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10795</wp:posOffset>
            </wp:positionV>
            <wp:extent cx="4133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3385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CERTIFICATION OF PERIODIC REPORT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quarterly report on Form 10-Q of TG Therapeutics, Inc.;</w:t>
      </w:r>
    </w:p>
    <w:p>
      <w:pPr>
        <w:spacing w:after="0" w:line="225" w:lineRule="exact"/>
        <w:rPr>
          <w:sz w:val="20"/>
          <w:szCs w:val="20"/>
          <w:color w:val="auto"/>
        </w:rPr>
      </w:pPr>
    </w:p>
    <w:p>
      <w:pPr>
        <w:ind w:left="140" w:right="280" w:hanging="134"/>
        <w:spacing w:after="0" w:line="332" w:lineRule="auto"/>
        <w:rPr>
          <w:sz w:val="20"/>
          <w:szCs w:val="20"/>
          <w:color w:val="auto"/>
        </w:rPr>
      </w:pPr>
      <w:r>
        <w:rPr>
          <w:rFonts w:ascii="Arial" w:cs="Arial" w:eastAsia="Arial" w:hAnsi="Arial"/>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sz w:val="20"/>
          <w:szCs w:val="20"/>
          <w:color w:val="auto"/>
        </w:rPr>
      </w:pPr>
    </w:p>
    <w:p>
      <w:pPr>
        <w:ind w:left="140" w:right="360" w:hanging="134"/>
        <w:spacing w:after="0" w:line="268"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sz w:val="20"/>
          <w:szCs w:val="20"/>
          <w:color w:val="auto"/>
        </w:rPr>
      </w:pPr>
    </w:p>
    <w:p>
      <w:pPr>
        <w:jc w:val="both"/>
        <w:ind w:left="140" w:right="180" w:hanging="134"/>
        <w:spacing w:after="0" w:line="259" w:lineRule="auto"/>
        <w:rPr>
          <w:sz w:val="20"/>
          <w:szCs w:val="20"/>
          <w:color w:val="auto"/>
        </w:rPr>
      </w:pPr>
      <w:r>
        <w:rPr>
          <w:rFonts w:ascii="Arial" w:cs="Arial" w:eastAsia="Arial" w:hAnsi="Arial"/>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sz w:val="20"/>
          <w:szCs w:val="20"/>
          <w:color w:val="auto"/>
        </w:rPr>
      </w:pPr>
    </w:p>
    <w:p>
      <w:pPr>
        <w:ind w:left="820" w:right="140" w:hanging="592"/>
        <w:spacing w:after="0" w:line="259"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ind w:left="820" w:right="120" w:hanging="592"/>
        <w:spacing w:after="0" w:line="259"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820" w:right="180" w:hanging="592"/>
        <w:spacing w:after="0" w:line="332" w:lineRule="auto"/>
        <w:tabs>
          <w:tab w:leader="none" w:pos="8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820" w:right="40" w:hanging="592"/>
        <w:spacing w:after="0" w:line="259" w:lineRule="auto"/>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sz w:val="20"/>
          <w:szCs w:val="20"/>
          <w:color w:val="auto"/>
        </w:rPr>
      </w:pPr>
    </w:p>
    <w:p>
      <w:pPr>
        <w:ind w:left="140" w:right="140" w:hanging="134"/>
        <w:spacing w:after="0" w:line="268"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sz w:val="20"/>
          <w:szCs w:val="20"/>
          <w:color w:val="auto"/>
        </w:rPr>
      </w:pPr>
    </w:p>
    <w:p>
      <w:pPr>
        <w:ind w:left="820" w:right="100" w:hanging="592"/>
        <w:spacing w:after="0" w:line="268"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820" w:right="140" w:hanging="592"/>
        <w:spacing w:after="0" w:line="268"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10795</wp:posOffset>
            </wp:positionV>
            <wp:extent cx="41249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24960" cy="17145"/>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2019 as filed with the Securities and Exchange Commission (the “Report”), I, Michael S. Weiss, Chief Executive Officer of the Company, certify, pursuant to 18 U.S.C. § 1350, as adopted pursuant to § 906 of the Sarbanes-Oxley Act of 2002, that, based on my knowledge:</w:t>
      </w:r>
    </w:p>
    <w:p>
      <w:pPr>
        <w:spacing w:after="0" w:line="194" w:lineRule="exact"/>
        <w:rPr>
          <w:sz w:val="20"/>
          <w:szCs w:val="20"/>
          <w:color w:val="auto"/>
        </w:rPr>
      </w:pPr>
    </w:p>
    <w:p>
      <w:pPr>
        <w:ind w:left="560" w:hanging="228"/>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60" w:hanging="228"/>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5"/>
          <w:szCs w:val="15"/>
          <w:color w:val="auto"/>
        </w:rPr>
        <w:t>/s/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10795</wp:posOffset>
            </wp:positionV>
            <wp:extent cx="42538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53865" cy="17145"/>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Michael S. Weiss</w:t>
      </w:r>
    </w:p>
    <w:p>
      <w:pPr>
        <w:spacing w:after="0" w:line="1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Executive Chairman, Chief Executive Officer and President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March 31, 2019 as filed with the Securities and Exchange Commission (the “Report”), I, Sean A. Power, Chief Financial Officer of the Company, certify, pursuant to 18 U.S.C. § 1350, as adopted pursuant to § 906 of the Sarbanes-Oxley Act of 2002, that, based on my knowledge:</w:t>
      </w:r>
    </w:p>
    <w:p>
      <w:pPr>
        <w:spacing w:after="0" w:line="194" w:lineRule="exact"/>
        <w:rPr>
          <w:sz w:val="20"/>
          <w:szCs w:val="20"/>
          <w:color w:val="auto"/>
        </w:rPr>
      </w:pPr>
    </w:p>
    <w:p>
      <w:pPr>
        <w:ind w:left="520" w:hanging="188"/>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780" w:val="left"/>
        </w:tabs>
        <w:rPr>
          <w:sz w:val="20"/>
          <w:szCs w:val="20"/>
          <w:color w:val="auto"/>
        </w:rPr>
      </w:pPr>
      <w:r>
        <w:rPr>
          <w:rFonts w:ascii="Arial" w:cs="Arial" w:eastAsia="Arial" w:hAnsi="Arial"/>
          <w:sz w:val="18"/>
          <w:szCs w:val="18"/>
          <w:color w:val="auto"/>
        </w:rPr>
        <w:t>Date: May 10, 2019</w:t>
      </w:r>
      <w:r>
        <w:rPr>
          <w:sz w:val="20"/>
          <w:szCs w:val="20"/>
          <w:color w:val="auto"/>
        </w:rPr>
        <w:tab/>
      </w:r>
      <w:r>
        <w:rPr>
          <w:rFonts w:ascii="Arial" w:cs="Arial" w:eastAsia="Arial" w:hAnsi="Arial"/>
          <w:sz w:val="15"/>
          <w:szCs w:val="15"/>
          <w:color w:val="auto"/>
        </w:rPr>
        <w:t>/s/ Sean 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10795</wp:posOffset>
            </wp:positionV>
            <wp:extent cx="420243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202430" cy="17145"/>
                    </a:xfrm>
                    <a:prstGeom prst="rect">
                      <a:avLst/>
                    </a:prstGeom>
                    <a:noFill/>
                  </pic:spPr>
                </pic:pic>
              </a:graphicData>
            </a:graphic>
          </wp:anchor>
        </w:drawing>
      </w:r>
    </w:p>
    <w:p>
      <w:pPr>
        <w:spacing w:after="0" w:line="16"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Sean A. Power</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7"/>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lvl w:ilvl="1">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5"/>
    </w:lvl>
    <w:lvl w:ilvl="1">
      <w:lvlJc w:val="left"/>
      <w:lvlText w:val="%2)"/>
      <w:numFmt w:val="lowerLetter"/>
      <w:start w:val="1"/>
    </w:lvl>
  </w:abstractNum>
  <w:abstractNum w:abstractNumId="39">
    <w:nsid w:val="3855585C"/>
    <w:multiLevelType w:val="hybridMultilevel"/>
    <w:lvl w:ilvl="0">
      <w:lvlJc w:val="left"/>
      <w:lvlText w:val="%1)"/>
      <w:numFmt w:val="lowerLetter"/>
      <w:start w:val="1"/>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2019-12-28T12:15:46Z</dcterms:created>
  <dcterms:modified xsi:type="dcterms:W3CDTF">2019-12-28T12:15:46Z</dcterms:modified>
</cp:coreProperties>
</file>