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80" w:right="2700" w:hanging="1318"/>
        <w:spacing w:after="0" w:line="275" w:lineRule="auto"/>
        <w:tabs>
          <w:tab w:leader="none" w:pos="30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80" w:right="2700" w:hanging="1324"/>
        <w:spacing w:after="0" w:line="275" w:lineRule="auto"/>
        <w:tabs>
          <w:tab w:leader="none" w:pos="305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___________________</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287" w:right="2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1287" w:right="239" w:bottom="1440" w:gutter="0" w:footer="0" w:header="0"/>
          <w:type w:val="continuous"/>
        </w:sectPr>
      </w:pPr>
    </w:p>
    <w:p>
      <w:pPr>
        <w:spacing w:after="0" w:line="36"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 Gansevoort Street, 9th Floor</w:t>
      </w:r>
    </w:p>
    <w:p>
      <w:pPr>
        <w:spacing w:after="0" w:line="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 554-4484</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8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5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432"/>
        </w:trPr>
        <w:tc>
          <w:tcPr>
            <w:tcW w:w="88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5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3"/>
        </w:trPr>
        <w:tc>
          <w:tcPr>
            <w:tcW w:w="8860" w:type="dxa"/>
            <w:vAlign w:val="bottom"/>
          </w:tcPr>
          <w:p>
            <w:pPr>
              <w:spacing w:after="0"/>
              <w:rPr>
                <w:sz w:val="20"/>
                <w:szCs w:val="20"/>
                <w:color w:val="auto"/>
              </w:rPr>
            </w:pPr>
            <w:r>
              <w:rPr>
                <w:rFonts w:ascii="Arial" w:cs="Arial" w:eastAsia="Arial" w:hAnsi="Arial"/>
                <w:sz w:val="18"/>
                <w:szCs w:val="18"/>
                <w:color w:val="auto"/>
                <w:w w:val="98"/>
              </w:rPr>
              <w:t>Indicate by checkmark whether the registrant is a shell company (as defined in Rule 12b-2 of the Exchange Act).</w:t>
            </w:r>
          </w:p>
        </w:tc>
        <w:tc>
          <w:tcPr>
            <w:tcW w:w="2560" w:type="dxa"/>
            <w:vAlign w:val="bottom"/>
          </w:tcPr>
          <w:p>
            <w:pPr>
              <w:spacing w:after="0"/>
              <w:rPr>
                <w:sz w:val="24"/>
                <w:szCs w:val="24"/>
                <w:color w:val="auto"/>
              </w:rPr>
            </w:pPr>
          </w:p>
        </w:tc>
      </w:tr>
      <w:tr>
        <w:trPr>
          <w:trHeight w:val="275"/>
        </w:trPr>
        <w:tc>
          <w:tcPr>
            <w:tcW w:w="88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560" w:type="dxa"/>
            <w:vAlign w:val="bottom"/>
          </w:tcPr>
          <w:p>
            <w:pPr>
              <w:spacing w:after="0"/>
              <w:rPr>
                <w:sz w:val="23"/>
                <w:szCs w:val="23"/>
                <w:color w:val="auto"/>
              </w:rPr>
            </w:pPr>
          </w:p>
        </w:tc>
      </w:tr>
      <w:tr>
        <w:trPr>
          <w:trHeight w:val="412"/>
        </w:trPr>
        <w:tc>
          <w:tcPr>
            <w:tcW w:w="8860" w:type="dxa"/>
            <w:vAlign w:val="bottom"/>
          </w:tcPr>
          <w:p>
            <w:pPr>
              <w:spacing w:after="0"/>
              <w:rPr>
                <w:sz w:val="20"/>
                <w:szCs w:val="20"/>
                <w:color w:val="auto"/>
              </w:rPr>
            </w:pPr>
            <w:r>
              <w:rPr>
                <w:rFonts w:ascii="Arial" w:cs="Arial" w:eastAsia="Arial" w:hAnsi="Arial"/>
                <w:sz w:val="18"/>
                <w:szCs w:val="18"/>
                <w:color w:val="auto"/>
                <w:w w:val="92"/>
              </w:rPr>
              <w:t>There were 54,731,109 shares of the registrant’s common stock, $0.001 par value, outstanding as of November 1, 2016.</w:t>
            </w:r>
          </w:p>
        </w:tc>
        <w:tc>
          <w:tcPr>
            <w:tcW w:w="2560" w:type="dxa"/>
            <w:vAlign w:val="bottom"/>
          </w:tcPr>
          <w:p>
            <w:pPr>
              <w:spacing w:after="0"/>
              <w:rPr>
                <w:sz w:val="24"/>
                <w:szCs w:val="24"/>
                <w:color w:val="auto"/>
              </w:rPr>
            </w:pPr>
          </w:p>
        </w:tc>
      </w:tr>
      <w:tr>
        <w:trPr>
          <w:trHeight w:val="596"/>
        </w:trPr>
        <w:tc>
          <w:tcPr>
            <w:tcW w:w="8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87"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 CAUTIONARY NOTICE REGARDING FORWARD-LOOKING STATEMENTS</w:t>
            </w:r>
          </w:p>
        </w:tc>
        <w:tc>
          <w:tcPr>
            <w:tcW w:w="11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 I</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Statements: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Balance Sheets as of September 30, 2016 (unaudited) and December 31, 2015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8"/>
        </w:trPr>
        <w:tc>
          <w:tcPr>
            <w:tcW w:w="1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Condensed Consolidated Statements of Operations for the three and nine months ended September 30, 2016 and 2015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24"/>
        </w:trPr>
        <w:tc>
          <w:tcPr>
            <w:tcW w:w="1040" w:type="dxa"/>
            <w:vAlign w:val="bottom"/>
            <w:shd w:val="clear" w:color="auto" w:fill="CCEEFF"/>
          </w:tcPr>
          <w:p>
            <w:pPr>
              <w:spacing w:after="0"/>
              <w:rPr>
                <w:sz w:val="19"/>
                <w:szCs w:val="19"/>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(unaudited)</w:t>
            </w:r>
          </w:p>
        </w:tc>
        <w:tc>
          <w:tcPr>
            <w:tcW w:w="1180" w:type="dxa"/>
            <w:vAlign w:val="bottom"/>
            <w:shd w:val="clear" w:color="auto" w:fill="CCEEFF"/>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Condensed Consolidated Statement of Stockholders’ Equity for the nine months ended September 30, 2016 (unaudited)</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Condensed Consolidated Statements of Cash Flows for the nine months ended September 30, 2016 and 2015 (unaudited)</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to Condensed Consolidated Financial Statements (unaudited)</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2</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18</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3</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27</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4</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Controls and Procedures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28</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 II</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INFORMATION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28</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Legal Proceedings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28</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1A</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 Factors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28</w:t>
            </w:r>
          </w:p>
        </w:tc>
      </w:tr>
      <w:tr>
        <w:trPr>
          <w:trHeight w:val="216"/>
        </w:trPr>
        <w:tc>
          <w:tcPr>
            <w:tcW w:w="10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6</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r>
      <w:tr>
        <w:trPr>
          <w:trHeight w:val="862"/>
        </w:trPr>
        <w:tc>
          <w:tcPr>
            <w:tcW w:w="1040" w:type="dxa"/>
            <w:vAlign w:val="bottom"/>
          </w:tcPr>
          <w:p>
            <w:pPr>
              <w:spacing w:after="0"/>
              <w:rPr>
                <w:sz w:val="24"/>
                <w:szCs w:val="24"/>
                <w:color w:val="auto"/>
              </w:rPr>
            </w:pPr>
          </w:p>
        </w:tc>
        <w:tc>
          <w:tcPr>
            <w:tcW w:w="9200" w:type="dxa"/>
            <w:vAlign w:val="bottom"/>
          </w:tcPr>
          <w:p>
            <w:pPr>
              <w:ind w:left="47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r>
      <w:tr>
        <w:trPr>
          <w:trHeight w:val="164"/>
        </w:trPr>
        <w:tc>
          <w:tcPr>
            <w:tcW w:w="1040" w:type="dxa"/>
            <w:vAlign w:val="bottom"/>
            <w:tcBorders>
              <w:bottom w:val="single" w:sz="8" w:color="auto"/>
            </w:tcBorders>
          </w:tcPr>
          <w:p>
            <w:pPr>
              <w:spacing w:after="0"/>
              <w:rPr>
                <w:sz w:val="14"/>
                <w:szCs w:val="14"/>
                <w:color w:val="auto"/>
              </w:rPr>
            </w:pPr>
          </w:p>
        </w:tc>
        <w:tc>
          <w:tcPr>
            <w:tcW w:w="9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19" w:right="239" w:bottom="1440" w:gutter="0" w:footer="0" w:header="0"/>
        </w:sectPr>
      </w:pPr>
    </w:p>
    <w:bookmarkStart w:id="2" w:name="page3"/>
    <w:bookmarkEnd w:id="2"/>
    <w:p>
      <w:pPr>
        <w:ind w:left="18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648"/>
        <w:spacing w:after="0" w:line="308"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6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 FINANCIAL STATEMENTS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8"/>
              </w:rPr>
              <w:t>September 30</w:t>
            </w:r>
            <w:r>
              <w:rPr>
                <w:rFonts w:ascii="Arial" w:cs="Arial" w:eastAsia="Arial" w:hAnsi="Arial"/>
                <w:sz w:val="18"/>
                <w:szCs w:val="18"/>
                <w:color w:val="auto"/>
                <w:w w:val="88"/>
              </w:rPr>
              <w:t>,</w:t>
            </w:r>
            <w:r>
              <w:rPr>
                <w:rFonts w:ascii="Arial" w:cs="Arial" w:eastAsia="Arial" w:hAnsi="Arial"/>
                <w:sz w:val="18"/>
                <w:szCs w:val="18"/>
                <w:b w:val="1"/>
                <w:bCs w:val="1"/>
                <w:color w:val="auto"/>
                <w:w w:val="88"/>
              </w:rPr>
              <w:t xml:space="preserve"> 2016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(Note 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29,156,521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55,061,329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31,445,616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22,166,512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Prepaid research and development</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10,121,215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9,151,142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500,564</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308,327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71,332,374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86,873,331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25,003,032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2,517,771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Equipment, net</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327,674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47,122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799,391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75,687,094</w:t>
            </w:r>
          </w:p>
        </w:tc>
        <w:tc>
          <w:tcPr>
            <w:tcW w:w="2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113,473,201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15,550,129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1,061,626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818,472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117,126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16,881,262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793,968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1,257,143</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1,371,429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18,932,373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11,899,899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5"/>
              </w:rPr>
              <w:t>Preferred stock, $0.001 par value per share (10,000,000 shares authorized, none issued and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2016 and December 31, 2015)</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5"/>
              </w:rPr>
              <w:t>Common stock, $0.001 par value per share (150,000,000 shares authorized, 54,765,890 and</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0"/>
              </w:rPr>
              <w:t>54,095,110 shares issued, 54,724,581 and 54,053,801 shares outstanding at September 30, 2016</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and December 31, 2015, respectively)</w:t>
            </w:r>
          </w:p>
        </w:tc>
        <w:tc>
          <w:tcPr>
            <w:tcW w:w="14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54,766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54,095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Contingently issuable shares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269,646,963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259,887,464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September 30, 2016 and December 31, 2015</w:t>
            </w:r>
          </w:p>
        </w:tc>
        <w:tc>
          <w:tcPr>
            <w:tcW w:w="1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(212,712,677)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(158,133,926)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56,754,721</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101,573,302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75,687,094</w:t>
            </w:r>
          </w:p>
        </w:tc>
        <w:tc>
          <w:tcPr>
            <w:tcW w:w="24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113,473,201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7"/>
              </w:rPr>
              <w:t>Three months ended September</w:t>
            </w: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38,096</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38,096</w:t>
            </w:r>
          </w:p>
        </w:tc>
        <w:tc>
          <w:tcPr>
            <w:tcW w:w="2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114,286</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919,648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1,873,730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20,878,108</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11,538,246</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45,075,097</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29,719,891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21,797,756</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11,574,002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46,948,827</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32,453,001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4,307,670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10,106,938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1,251,421</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1,085,400</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3,798,859</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3,094,362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3,165,811</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2,289,678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8,106,529</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13,201,300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24,963,567</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13,863,680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55,055,356</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45,654,301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(24,925,471)</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(13,825,584)</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(54,941,070)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(45,540,015)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(87,965)</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(55,977)</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(265,456)</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211,538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246,527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674,699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730,710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notes payable</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(184,975)</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(360,218)</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(738,520)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(824,231)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other income</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(94,444)</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(169,668)</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(362,319)</w:t>
            </w: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(203,181)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(24,831,027)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(13,655,916)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(54,578,751)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(45,336,834)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0"/>
              </w:rPr>
              <w:t>Weighted average shares used in computing basic and diluted net loss per common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share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49,203,277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47,946,309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48,961,582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44,810,352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40" w:type="dxa"/>
            <w:vAlign w:val="bottom"/>
            <w:gridSpan w:val="6"/>
            <w:shd w:val="clear" w:color="auto" w:fill="CCEEFF"/>
          </w:tcPr>
          <w:p>
            <w:pPr>
              <w:jc w:val="right"/>
              <w:ind w:right="520"/>
              <w:spacing w:after="0"/>
              <w:rPr>
                <w:sz w:val="20"/>
                <w:szCs w:val="20"/>
                <w:color w:val="auto"/>
              </w:rPr>
            </w:pPr>
            <w:r>
              <w:rPr>
                <w:rFonts w:ascii="Arial" w:cs="Arial" w:eastAsia="Arial" w:hAnsi="Arial"/>
                <w:sz w:val="15"/>
                <w:szCs w:val="15"/>
                <w:b w:val="1"/>
                <w:bCs w:val="1"/>
                <w:color w:val="auto"/>
              </w:rPr>
              <w:t>Common Stock</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40" w:type="dxa"/>
            <w:vAlign w:val="bottom"/>
            <w:gridSpan w:val="5"/>
            <w:shd w:val="clear" w:color="auto" w:fill="CCEEFF"/>
          </w:tcPr>
          <w:p>
            <w:pPr>
              <w:jc w:val="right"/>
              <w:ind w:right="920"/>
              <w:spacing w:after="0"/>
              <w:rPr>
                <w:sz w:val="20"/>
                <w:szCs w:val="20"/>
                <w:color w:val="auto"/>
              </w:rPr>
            </w:pPr>
            <w:r>
              <w:rPr>
                <w:rFonts w:ascii="Arial" w:cs="Arial" w:eastAsia="Arial" w:hAnsi="Arial"/>
                <w:sz w:val="15"/>
                <w:szCs w:val="15"/>
                <w:b w:val="1"/>
                <w:bCs w:val="1"/>
                <w:color w:val="auto"/>
              </w:rPr>
              <w:t>Treasury Stock</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Contingently</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center"/>
              <w:ind w:right="340"/>
              <w:spacing w:after="0" w:line="149" w:lineRule="exact"/>
              <w:rPr>
                <w:sz w:val="20"/>
                <w:szCs w:val="20"/>
                <w:color w:val="auto"/>
              </w:rPr>
            </w:pPr>
            <w:r>
              <w:rPr>
                <w:rFonts w:ascii="Arial" w:cs="Arial" w:eastAsia="Arial" w:hAnsi="Arial"/>
                <w:sz w:val="15"/>
                <w:szCs w:val="15"/>
                <w:b w:val="1"/>
                <w:bCs w:val="1"/>
                <w:color w:val="auto"/>
                <w:w w:val="92"/>
              </w:rPr>
              <w:t>Additional</w:t>
            </w: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66"/>
              <w:spacing w:after="0" w:line="162" w:lineRule="exact"/>
              <w:rPr>
                <w:sz w:val="20"/>
                <w:szCs w:val="20"/>
                <w:color w:val="auto"/>
              </w:rPr>
            </w:pPr>
            <w:r>
              <w:rPr>
                <w:rFonts w:ascii="Arial" w:cs="Arial" w:eastAsia="Arial" w:hAnsi="Arial"/>
                <w:sz w:val="15"/>
                <w:szCs w:val="15"/>
                <w:b w:val="1"/>
                <w:bCs w:val="1"/>
                <w:color w:val="auto"/>
                <w:w w:val="83"/>
              </w:rPr>
              <w:t>issuable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3"/>
              </w:rPr>
              <w:t>paid-in</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1"/>
              </w:rPr>
              <w:t>Amount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82"/>
              </w:rPr>
              <w:t>shares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2"/>
              </w:rPr>
              <w:t>capital</w:t>
            </w:r>
          </w:p>
        </w:tc>
        <w:tc>
          <w:tcPr>
            <w:tcW w:w="240" w:type="dxa"/>
            <w:vAlign w:val="bottom"/>
          </w:tcPr>
          <w:p>
            <w:pPr>
              <w:spacing w:after="0"/>
              <w:rPr>
                <w:sz w:val="15"/>
                <w:szCs w:val="15"/>
                <w:color w:val="auto"/>
              </w:rPr>
            </w:pPr>
          </w:p>
        </w:tc>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91"/>
              </w:rPr>
              <w:t>Deficit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January 1, 2016</w:t>
            </w:r>
          </w:p>
        </w:tc>
        <w:tc>
          <w:tcPr>
            <w:tcW w:w="8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5"/>
              </w:rPr>
              <w:t>54,095,110</w:t>
            </w:r>
          </w:p>
        </w:tc>
        <w:tc>
          <w:tcPr>
            <w:tcW w:w="1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54,095</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3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259,887,464</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41,309</w:t>
            </w:r>
          </w:p>
        </w:tc>
        <w:tc>
          <w:tcPr>
            <w:tcW w:w="4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(234,337)</w:t>
            </w:r>
          </w:p>
        </w:tc>
        <w:tc>
          <w:tcPr>
            <w:tcW w:w="2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(158,133,926)</w:t>
            </w:r>
          </w:p>
        </w:tc>
        <w:tc>
          <w:tcPr>
            <w:tcW w:w="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1"/>
              </w:rPr>
              <w:t>101,573,302</w:t>
            </w:r>
          </w:p>
        </w:tc>
        <w:tc>
          <w:tcPr>
            <w:tcW w:w="1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20" w:type="dxa"/>
            <w:vAlign w:val="bottom"/>
          </w:tcPr>
          <w:p>
            <w:pPr>
              <w:spacing w:after="0" w:line="153" w:lineRule="exact"/>
              <w:rPr>
                <w:sz w:val="20"/>
                <w:szCs w:val="20"/>
                <w:color w:val="auto"/>
              </w:rPr>
            </w:pPr>
            <w:r>
              <w:rPr>
                <w:rFonts w:ascii="Arial" w:cs="Arial" w:eastAsia="Arial" w:hAnsi="Arial"/>
                <w:sz w:val="15"/>
                <w:szCs w:val="15"/>
                <w:color w:val="auto"/>
                <w:w w:val="98"/>
              </w:rPr>
              <w:t>Issuance of common stock in</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940" w:type="dxa"/>
            <w:vAlign w:val="bottom"/>
            <w:gridSpan w:val="2"/>
          </w:tcPr>
          <w:p>
            <w:pPr>
              <w:spacing w:after="0" w:line="162" w:lineRule="exact"/>
              <w:rPr>
                <w:sz w:val="20"/>
                <w:szCs w:val="20"/>
                <w:color w:val="auto"/>
              </w:rPr>
            </w:pPr>
            <w:r>
              <w:rPr>
                <w:rFonts w:ascii="Arial" w:cs="Arial" w:eastAsia="Arial" w:hAnsi="Arial"/>
                <w:sz w:val="15"/>
                <w:szCs w:val="15"/>
                <w:color w:val="auto"/>
              </w:rPr>
              <w:t>connection with exercise of</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40" w:type="dxa"/>
            <w:vAlign w:val="bottom"/>
            <w:gridSpan w:val="2"/>
          </w:tcPr>
          <w:p>
            <w:pPr>
              <w:spacing w:after="0" w:line="172" w:lineRule="exact"/>
              <w:rPr>
                <w:sz w:val="20"/>
                <w:szCs w:val="20"/>
                <w:color w:val="auto"/>
              </w:rPr>
            </w:pPr>
            <w:r>
              <w:rPr>
                <w:rFonts w:ascii="Arial" w:cs="Arial" w:eastAsia="Arial" w:hAnsi="Arial"/>
                <w:sz w:val="15"/>
                <w:szCs w:val="15"/>
                <w:color w:val="auto"/>
              </w:rPr>
              <w:t>warrants</w:t>
            </w:r>
          </w:p>
        </w:tc>
        <w:tc>
          <w:tcPr>
            <w:tcW w:w="84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44,541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45</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100,851</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100,896</w:t>
            </w:r>
          </w:p>
        </w:tc>
        <w:tc>
          <w:tcPr>
            <w:tcW w:w="10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8"/>
              </w:rPr>
              <w:t>Issuance of common stock in</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6"/>
              </w:rPr>
              <w:t>connection with conversion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9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notes payable</w:t>
            </w:r>
          </w:p>
        </w:tc>
        <w:tc>
          <w:tcPr>
            <w:tcW w:w="84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3,201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30,598</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30,601</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8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261,000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261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(261)</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8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(34,773)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20" w:type="dxa"/>
            <w:vAlign w:val="bottom"/>
          </w:tcPr>
          <w:p>
            <w:pPr>
              <w:spacing w:after="0" w:line="153" w:lineRule="exact"/>
              <w:rPr>
                <w:sz w:val="20"/>
                <w:szCs w:val="20"/>
                <w:color w:val="auto"/>
              </w:rPr>
            </w:pPr>
            <w:r>
              <w:rPr>
                <w:rFonts w:ascii="Arial" w:cs="Arial" w:eastAsia="Arial" w:hAnsi="Arial"/>
                <w:sz w:val="15"/>
                <w:szCs w:val="15"/>
                <w:color w:val="auto"/>
                <w:w w:val="98"/>
              </w:rPr>
              <w:t>Issuance of common stock in</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940" w:type="dxa"/>
            <w:vAlign w:val="bottom"/>
            <w:gridSpan w:val="2"/>
          </w:tcPr>
          <w:p>
            <w:pPr>
              <w:spacing w:after="0" w:line="162" w:lineRule="exact"/>
              <w:rPr>
                <w:sz w:val="20"/>
                <w:szCs w:val="20"/>
                <w:color w:val="auto"/>
              </w:rPr>
            </w:pPr>
            <w:r>
              <w:rPr>
                <w:rFonts w:ascii="Arial" w:cs="Arial" w:eastAsia="Arial" w:hAnsi="Arial"/>
                <w:sz w:val="15"/>
                <w:szCs w:val="15"/>
                <w:color w:val="auto"/>
              </w:rPr>
              <w:t>At-the-Market offering (net of</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40" w:type="dxa"/>
            <w:vAlign w:val="bottom"/>
            <w:gridSpan w:val="2"/>
          </w:tcPr>
          <w:p>
            <w:pPr>
              <w:spacing w:after="0" w:line="172" w:lineRule="exact"/>
              <w:rPr>
                <w:sz w:val="20"/>
                <w:szCs w:val="20"/>
                <w:color w:val="auto"/>
              </w:rPr>
            </w:pPr>
            <w:r>
              <w:rPr>
                <w:rFonts w:ascii="Arial" w:cs="Arial" w:eastAsia="Arial" w:hAnsi="Arial"/>
                <w:sz w:val="15"/>
                <w:szCs w:val="15"/>
                <w:color w:val="auto"/>
              </w:rPr>
              <w:t>offering costs of $122,497)</w:t>
            </w:r>
          </w:p>
        </w:tc>
        <w:tc>
          <w:tcPr>
            <w:tcW w:w="84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396,811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397</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3,446,876</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3,447,273</w:t>
            </w:r>
          </w:p>
        </w:tc>
        <w:tc>
          <w:tcPr>
            <w:tcW w:w="10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Compensation in respect of</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restricted stock granted to</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employees, directors and</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9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consultants</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6,181,400</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6,181,400</w:t>
            </w:r>
          </w:p>
        </w:tc>
        <w:tc>
          <w:tcPr>
            <w:tcW w:w="100" w:type="dxa"/>
            <w:vAlign w:val="bottom"/>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5"/>
                <w:szCs w:val="15"/>
                <w:color w:val="auto"/>
              </w:rPr>
              <w:t>Net loss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(54,578,751)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(54,578,751)</w:t>
            </w:r>
          </w:p>
        </w:tc>
      </w:tr>
      <w:tr>
        <w:trPr>
          <w:trHeight w:val="153"/>
        </w:trPr>
        <w:tc>
          <w:tcPr>
            <w:tcW w:w="20" w:type="dxa"/>
            <w:vAlign w:val="bottom"/>
          </w:tcPr>
          <w:p>
            <w:pPr>
              <w:spacing w:after="0"/>
              <w:rPr>
                <w:sz w:val="13"/>
                <w:szCs w:val="13"/>
                <w:color w:val="auto"/>
              </w:rPr>
            </w:pPr>
          </w:p>
        </w:tc>
        <w:tc>
          <w:tcPr>
            <w:tcW w:w="19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Balance at September 30,</w:t>
            </w: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19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2016</w:t>
            </w:r>
          </w:p>
        </w:tc>
        <w:tc>
          <w:tcPr>
            <w:tcW w:w="84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w w:val="95"/>
              </w:rPr>
              <w:t>54,765,890</w:t>
            </w:r>
          </w:p>
        </w:tc>
        <w:tc>
          <w:tcPr>
            <w:tcW w:w="16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54,766</w:t>
            </w:r>
          </w:p>
        </w:tc>
        <w:tc>
          <w:tcPr>
            <w:tcW w:w="160" w:type="dxa"/>
            <w:vAlign w:val="bottom"/>
            <w:shd w:val="clear" w:color="auto" w:fill="CCEEFF"/>
          </w:tcPr>
          <w:p>
            <w:pPr>
              <w:jc w:val="right"/>
              <w:ind w:right="6"/>
              <w:spacing w:after="0" w:line="172"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6</w:t>
            </w:r>
          </w:p>
        </w:tc>
        <w:tc>
          <w:tcPr>
            <w:tcW w:w="32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w w:val="95"/>
              </w:rPr>
              <w:t>269,646,963</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41,309</w:t>
            </w:r>
          </w:p>
        </w:tc>
        <w:tc>
          <w:tcPr>
            <w:tcW w:w="460" w:type="dxa"/>
            <w:vAlign w:val="bottom"/>
            <w:gridSpan w:val="2"/>
            <w:shd w:val="clear" w:color="auto" w:fill="CCEEFF"/>
          </w:tcPr>
          <w:p>
            <w:pPr>
              <w:jc w:val="right"/>
              <w:ind w:right="120"/>
              <w:spacing w:after="0" w:line="172"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20"/>
              <w:spacing w:after="0" w:line="172" w:lineRule="exact"/>
              <w:rPr>
                <w:sz w:val="20"/>
                <w:szCs w:val="20"/>
                <w:color w:val="auto"/>
              </w:rPr>
            </w:pPr>
            <w:r>
              <w:rPr>
                <w:rFonts w:ascii="Arial" w:cs="Arial" w:eastAsia="Arial" w:hAnsi="Arial"/>
                <w:sz w:val="15"/>
                <w:szCs w:val="15"/>
                <w:color w:val="auto"/>
              </w:rPr>
              <w:t>(234,337)</w:t>
            </w:r>
          </w:p>
        </w:tc>
        <w:tc>
          <w:tcPr>
            <w:tcW w:w="2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120"/>
              <w:spacing w:after="0" w:line="172" w:lineRule="exact"/>
              <w:rPr>
                <w:sz w:val="20"/>
                <w:szCs w:val="20"/>
                <w:color w:val="auto"/>
              </w:rPr>
            </w:pPr>
            <w:r>
              <w:rPr>
                <w:rFonts w:ascii="Arial" w:cs="Arial" w:eastAsia="Arial" w:hAnsi="Arial"/>
                <w:sz w:val="15"/>
                <w:szCs w:val="15"/>
                <w:color w:val="auto"/>
              </w:rPr>
              <w:t>(212,712,677)</w:t>
            </w:r>
          </w:p>
        </w:tc>
        <w:tc>
          <w:tcPr>
            <w:tcW w:w="24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56,754,721</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(54,578,751)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(45,336,834)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Gain on sale of long-term securities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(33,042)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12,840,048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Depreciation</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investment securities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377,770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Change in fair value of notes payable and accrued interest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(63,822)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prepaid research and development and other current assets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(1,162,310)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Increase in leasehold interest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(2,517,771)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accrued interest receivable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Increase in other assets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(3,523)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accounts payable and accrued expenses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6,447,215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4,658,128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Increase in deferred rent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793,968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revenue</w:t>
            </w: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(114,286)</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(114,286)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(44,566,263)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(31,789,611)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(323,015)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Investment in held-to-maturity securities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(15,199,922)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(40,955,137)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short-term securities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from the sale of long-term securities</w:t>
            </w:r>
          </w:p>
        </w:tc>
        <w:tc>
          <w:tcPr>
            <w:tcW w:w="1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12,589,219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15,066,282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(27,164,331)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100,896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1,009,985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67,760,517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Financing costs</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(9,984)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(68,404)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3,595,173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68,702,098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(25,904,808)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9,748,156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55,061,329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55,713,784</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29,156,521</w:t>
            </w:r>
          </w:p>
        </w:tc>
        <w:tc>
          <w:tcPr>
            <w:tcW w:w="2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65,461,940</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(56,988)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payable to common stock</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30,601</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to develop IRAK4 (interleukin-1 receptor-associated kinase 4) inhibitors, BET (Bromodomain and Extra Terminal) inhibitors, and anti-PD-L1 and anti-GITR antibodies.</w:t>
      </w:r>
    </w:p>
    <w:p>
      <w:pPr>
        <w:spacing w:after="0" w:line="172"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2015. The accompanying condensed December 31, 2015 balance sheet has been derived from these statements. The results of operations for the three and nine months ended September 30, 2016 are not necessarily indicative of the results that may be expected for the entire fiscal year or any other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300" w:firstLine="810"/>
        <w:spacing w:after="0" w:line="268" w:lineRule="auto"/>
        <w:rPr>
          <w:sz w:val="20"/>
          <w:szCs w:val="20"/>
          <w:color w:val="auto"/>
        </w:rPr>
      </w:pPr>
      <w:r>
        <w:rPr>
          <w:rFonts w:ascii="Arial" w:cs="Arial" w:eastAsia="Arial" w:hAnsi="Arial"/>
          <w:sz w:val="18"/>
          <w:szCs w:val="18"/>
          <w:color w:val="auto"/>
        </w:rPr>
        <w:t>We have incurred operating losses since our inception, expect to continue to incur operating losses for the foreseeable future, and may never attain profitable operations. As of September 30, 2016, we have an accumulated deficit of approximately $212.7 million.</w:t>
      </w:r>
    </w:p>
    <w:p>
      <w:pPr>
        <w:spacing w:after="0" w:line="186" w:lineRule="exact"/>
        <w:rPr>
          <w:sz w:val="20"/>
          <w:szCs w:val="20"/>
          <w:color w:val="auto"/>
        </w:rPr>
      </w:pPr>
    </w:p>
    <w:p>
      <w:pPr>
        <w:ind w:right="20" w:firstLine="810"/>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with one or more partners. We may continue to incur substantial operating losses even if we begin to generate revenues from our drug candidates.</w:t>
      </w:r>
    </w:p>
    <w:p>
      <w:pPr>
        <w:spacing w:after="0" w:line="170" w:lineRule="exact"/>
        <w:rPr>
          <w:sz w:val="20"/>
          <w:szCs w:val="20"/>
          <w:color w:val="auto"/>
        </w:rPr>
      </w:pPr>
    </w:p>
    <w:p>
      <w:pPr>
        <w:ind w:right="60" w:firstLine="810"/>
        <w:spacing w:after="0" w:line="298" w:lineRule="auto"/>
        <w:rPr>
          <w:sz w:val="20"/>
          <w:szCs w:val="20"/>
          <w:color w:val="auto"/>
        </w:rPr>
      </w:pPr>
      <w:r>
        <w:rPr>
          <w:rFonts w:ascii="Arial" w:cs="Arial" w:eastAsia="Arial" w:hAnsi="Arial"/>
          <w:sz w:val="16"/>
          <w:szCs w:val="16"/>
          <w:color w:val="auto"/>
        </w:rPr>
        <w:t>As of September 30, 2016, we had approximately $60.7 million in cash, cash equivalents, investment securities, and interest receivable, which we believe will be sufficient to fund the company’s planned operations into the first half of 2018.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No. 2016-15, “Classification of Certain Cash Receipts and Cash Payments” (“ASU 2016-15”). ASU 2016-15 amends the guidance in Accounting Standards Codification (“ASC” or “Codification”) 230 on the classification of certain cash receipts and payments in the statement of cash flows. The primary purpose of ASU 2016-15 is to reduce the diversity in practice that has resulted from the lack of consistent principles on this topic. The amendments in ASU 2016-15 add or clarify guidance on eight cash flow issues:</w:t>
      </w:r>
    </w:p>
    <w:p>
      <w:pPr>
        <w:spacing w:after="0" w:line="19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prepayment or debt extinguishment costs.</w:t>
      </w:r>
    </w:p>
    <w:p>
      <w:pPr>
        <w:spacing w:after="0" w:line="15"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Settlement of zero-coupon debt instruments or other debt instruments with coupon interest rates that are insignificant in relation to the effective interest rate of the borrowing.</w:t>
      </w:r>
    </w:p>
    <w:p>
      <w:pPr>
        <w:spacing w:after="0" w:line="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Proceeds from the settlement of insurance claims.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Separately identifiable cash flows and application of the predominance principle.</w:t>
      </w:r>
    </w:p>
    <w:p>
      <w:pPr>
        <w:spacing w:after="0" w:line="252" w:lineRule="exact"/>
        <w:rPr>
          <w:sz w:val="20"/>
          <w:szCs w:val="20"/>
          <w:color w:val="auto"/>
        </w:rPr>
      </w:pPr>
    </w:p>
    <w:p>
      <w:pPr>
        <w:jc w:val="both"/>
        <w:ind w:firstLine="810"/>
        <w:spacing w:after="0" w:line="306" w:lineRule="auto"/>
        <w:rPr>
          <w:sz w:val="20"/>
          <w:szCs w:val="20"/>
          <w:color w:val="auto"/>
        </w:rPr>
      </w:pPr>
      <w:r>
        <w:rPr>
          <w:rFonts w:ascii="Arial" w:cs="Arial" w:eastAsia="Arial" w:hAnsi="Arial"/>
          <w:sz w:val="16"/>
          <w:szCs w:val="16"/>
          <w:color w:val="auto"/>
        </w:rPr>
        <w:t>ASU 2016-15 is effective for annual and interim periods beginning after December 15, 2017, and early adoption is permitted for all entities. Entities must apply the guidance retrospectively to all periods presented but may apply it prospectively from the earliest date practicable if retrospective application would be impracticable. The provisions of this standard are not expected to significantly impact the Company.</w:t>
      </w:r>
    </w:p>
    <w:p>
      <w:pPr>
        <w:spacing w:after="0" w:line="161"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8"/>
          <w:szCs w:val="18"/>
          <w:color w:val="auto"/>
        </w:rPr>
        <w:t xml:space="preserve">In May 2016, the FASB issued ASU No. 2016-11, “Rescission of SEC Guidance Because of Accounting Standards Update 2014-09 and 2014-16 Pursuant to Staff Announcements at the March 3, 2016 EITF Meeting” (“ASU 2016-11”). ASU 2016-11 rescinds certain SEC guidance from the </w:t>
      </w:r>
      <w:r>
        <w:rPr>
          <w:rFonts w:ascii="Arial" w:cs="Arial" w:eastAsia="Arial" w:hAnsi="Arial"/>
          <w:sz w:val="18"/>
          <w:szCs w:val="18"/>
          <w:i w:val="1"/>
          <w:iCs w:val="1"/>
          <w:color w:val="auto"/>
        </w:rPr>
        <w:t>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Codification </w:t>
      </w:r>
      <w:r>
        <w:rPr>
          <w:rFonts w:ascii="Arial" w:cs="Arial" w:eastAsia="Arial" w:hAnsi="Arial"/>
          <w:sz w:val="18"/>
          <w:szCs w:val="18"/>
          <w:color w:val="auto"/>
        </w:rPr>
        <w:t>in response to announcements made by the SEC staff at the Emerging Issues Task Force’s March 3, 2016 meeting. Specifically, ASU 2016-11</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SEC observer comments on the following topics:</w:t>
      </w:r>
    </w:p>
    <w:p>
      <w:pPr>
        <w:spacing w:after="0" w:line="197"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adoption of ASU 2014-09:</w:t>
      </w:r>
    </w:p>
    <w:p>
      <w:pPr>
        <w:spacing w:after="0" w:line="15" w:lineRule="exact"/>
        <w:rPr>
          <w:sz w:val="20"/>
          <w:szCs w:val="20"/>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 and expense recognition for freight services in process (ASC 605-20-S99-2)</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Accounting for shipping and handling fees and costs (ASC 605-45-S99-1)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Accounting for consideration given by a vendor to a customer (ASC 605-50-S99-1)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Accounting for gas-balancing arrangements (ASC 932-10-S99-5).</w:t>
      </w:r>
    </w:p>
    <w:p>
      <w:pPr>
        <w:spacing w:after="0" w:line="218"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adoption of ASU 2014-16:</w:t>
      </w:r>
    </w:p>
    <w:p>
      <w:pPr>
        <w:spacing w:after="0" w:line="15" w:lineRule="exact"/>
        <w:rPr>
          <w:rFonts w:ascii="Arial" w:cs="Arial" w:eastAsia="Arial" w:hAnsi="Arial"/>
          <w:sz w:val="18"/>
          <w:szCs w:val="18"/>
          <w:color w:val="auto"/>
        </w:rPr>
      </w:pPr>
    </w:p>
    <w:p>
      <w:pPr>
        <w:ind w:left="1960" w:hanging="331"/>
        <w:spacing w:after="0" w:line="261"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Determining the nature of a host contract related to a hybrid financial instrument issued in the form of a share under ASC 815 (ASC 815-10-S99-3).</w:t>
      </w:r>
    </w:p>
    <w:p>
      <w:pPr>
        <w:spacing w:after="0" w:line="192" w:lineRule="exact"/>
        <w:rPr>
          <w:sz w:val="20"/>
          <w:szCs w:val="20"/>
          <w:color w:val="auto"/>
        </w:rPr>
      </w:pPr>
    </w:p>
    <w:p>
      <w:pPr>
        <w:ind w:right="340" w:firstLine="810"/>
        <w:spacing w:after="0" w:line="268" w:lineRule="auto"/>
        <w:rPr>
          <w:sz w:val="20"/>
          <w:szCs w:val="20"/>
          <w:color w:val="auto"/>
        </w:rPr>
      </w:pPr>
      <w:r>
        <w:rPr>
          <w:rFonts w:ascii="Arial" w:cs="Arial" w:eastAsia="Arial" w:hAnsi="Arial"/>
          <w:sz w:val="18"/>
          <w:szCs w:val="18"/>
          <w:color w:val="auto"/>
        </w:rPr>
        <w:t>ASU 2016-11 is effective upon the adoption of ASU 2014-09 and ASU 2014-16. The adoption of ASU 2016-11 is not expected to have a material impact on the Company’s condensed consolidated financial statements.</w:t>
      </w:r>
    </w:p>
    <w:p>
      <w:pPr>
        <w:spacing w:after="0" w:line="186"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In March 2016, the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97" w:lineRule="exact"/>
        <w:rPr>
          <w:sz w:val="20"/>
          <w:szCs w:val="20"/>
          <w:color w:val="auto"/>
        </w:rPr>
      </w:pPr>
    </w:p>
    <w:p>
      <w:pPr>
        <w:ind w:right="260" w:firstLine="810"/>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81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9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20" w:firstLine="810"/>
        <w:spacing w:after="0" w:line="268" w:lineRule="auto"/>
        <w:rPr>
          <w:sz w:val="20"/>
          <w:szCs w:val="20"/>
          <w:color w:val="auto"/>
        </w:rPr>
      </w:pPr>
      <w:r>
        <w:rPr>
          <w:rFonts w:ascii="Arial" w:cs="Arial" w:eastAsia="Arial" w:hAnsi="Arial"/>
          <w:sz w:val="18"/>
          <w:szCs w:val="18"/>
          <w:color w:val="auto"/>
        </w:rPr>
        <w:t>We record cash pledged or held in trust as restricted cash. As of September 30, 2016 and December 31, 2015, we have approximately $0.6 million of restricted cash pledged to secure a line of credit as a security deposit for an Office Agreement (see Note 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right="100" w:firstLine="810"/>
        <w:spacing w:after="0" w:line="298" w:lineRule="auto"/>
        <w:rPr>
          <w:sz w:val="20"/>
          <w:szCs w:val="20"/>
          <w:color w:val="auto"/>
        </w:rPr>
      </w:pPr>
      <w:r>
        <w:rPr>
          <w:rFonts w:ascii="Arial" w:cs="Arial" w:eastAsia="Arial" w:hAnsi="Arial"/>
          <w:sz w:val="16"/>
          <w:szCs w:val="16"/>
          <w:color w:val="auto"/>
        </w:rPr>
        <w:t>Investment securities at September 30, 2016 and December 31, 2015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ind w:right="200" w:firstLine="810"/>
        <w:spacing w:after="0" w:line="306"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60" w:firstLine="810"/>
        <w:spacing w:after="0" w:line="30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short-term investments and long-term investments. The Company maintains its cash and cash equivalents, short-term investments and long-term investments with high-credit quality financial institutions. At times, such amounts may exceed federally-insured limits.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We recognize license revenue in accordance with the revenue recognition guidance of the FASB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jc w:val="both"/>
        <w:ind w:right="680" w:firstLine="878"/>
        <w:spacing w:after="0" w:line="298" w:lineRule="auto"/>
        <w:rPr>
          <w:sz w:val="20"/>
          <w:szCs w:val="20"/>
          <w:color w:val="auto"/>
        </w:rPr>
      </w:pPr>
      <w:r>
        <w:rPr>
          <w:rFonts w:ascii="Arial" w:cs="Arial" w:eastAsia="Arial" w:hAnsi="Arial"/>
          <w:sz w:val="16"/>
          <w:szCs w:val="16"/>
          <w:color w:val="auto"/>
        </w:rPr>
        <w:t>Prepaid research and development in our consolidated balance sheets includes, among other things, certain costs related to development and manufacturing services. These development and manufacturing agreements often require payments in advance of services performed or goods received. Accordingly, as of September 30, 2016 and December 31, 2015, we recorded approximately $10.1 million and $9.2 million of prepaid development and manufacturing services, respectively, in prepaid research and development related to such advance agreements.</w:t>
      </w:r>
    </w:p>
    <w:p>
      <w:pPr>
        <w:spacing w:after="0" w:line="16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100" w:firstLine="810"/>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jc w:val="both"/>
        <w:ind w:right="60" w:firstLine="810"/>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 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6,664,591 and 5,634,005 for the three and nine months ended September 30, 2016 and 2015, respectively. The following outstanding shares of potentially dilutive securities were excluded from the computation of net loss per share attributable to common stockholders for the periods presented because including them would have been antidilutive:</w:t>
      </w:r>
    </w:p>
    <w:p>
      <w:pPr>
        <w:spacing w:after="0" w:line="166"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Three and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291465"/>
                    </a:xfrm>
                    <a:prstGeom prst="rect">
                      <a:avLst/>
                    </a:prstGeom>
                    <a:noFill/>
                  </pic:spPr>
                </pic:pic>
              </a:graphicData>
            </a:graphic>
          </wp:anchor>
        </w:drawing>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Ended September 30,</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5,507,250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4,404,805</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Warrants</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1,142,208</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1,211,177</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note conversion</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15,133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18,023</w:t>
            </w:r>
          </w:p>
        </w:tc>
      </w:tr>
      <w:tr>
        <w:trPr>
          <w:trHeight w:val="250"/>
        </w:trPr>
        <w:tc>
          <w:tcPr>
            <w:tcW w:w="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6,664,591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5,634,005</w:t>
            </w: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120" w:firstLine="810"/>
        <w:spacing w:after="0" w:line="255" w:lineRule="auto"/>
        <w:rPr>
          <w:sz w:val="20"/>
          <w:szCs w:val="20"/>
          <w:color w:val="auto"/>
        </w:rPr>
      </w:pPr>
      <w:r>
        <w:rPr>
          <w:rFonts w:ascii="Arial" w:cs="Arial" w:eastAsia="Arial" w:hAnsi="Arial"/>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97" w:lineRule="exact"/>
        <w:rPr>
          <w:sz w:val="20"/>
          <w:szCs w:val="20"/>
          <w:color w:val="auto"/>
        </w:rPr>
      </w:pPr>
    </w:p>
    <w:p>
      <w:pPr>
        <w:ind w:right="40" w:firstLine="810"/>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NOTE 2 – CASH AND CASH EQUIVALENTS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360" w:type="dxa"/>
            <w:vAlign w:val="bottom"/>
            <w:gridSpan w:val="3"/>
          </w:tcPr>
          <w:p>
            <w:pPr>
              <w:jc w:val="right"/>
              <w:ind w:right="232"/>
              <w:spacing w:after="0"/>
              <w:rPr>
                <w:sz w:val="20"/>
                <w:szCs w:val="20"/>
                <w:color w:val="auto"/>
              </w:rPr>
            </w:pPr>
            <w:r>
              <w:rPr>
                <w:rFonts w:ascii="Arial" w:cs="Arial" w:eastAsia="Arial" w:hAnsi="Arial"/>
                <w:sz w:val="18"/>
                <w:szCs w:val="18"/>
                <w:color w:val="auto"/>
                <w:w w:val="89"/>
              </w:rPr>
              <w:t>The following tables summarize our cash and cash equivalents at September 30, 2016 and December 31, 2015: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September 30,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24,316,496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8,265,583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4,840,025</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46,795,746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29,156,521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55,061,329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1" w:lineRule="exact"/>
        <w:rPr>
          <w:sz w:val="20"/>
          <w:szCs w:val="20"/>
          <w:color w:val="auto"/>
        </w:rPr>
      </w:pPr>
    </w:p>
    <w:p>
      <w:pPr>
        <w:ind w:right="80" w:firstLine="810"/>
        <w:spacing w:after="0" w:line="298" w:lineRule="auto"/>
        <w:rPr>
          <w:sz w:val="20"/>
          <w:szCs w:val="20"/>
          <w:color w:val="auto"/>
        </w:rPr>
      </w:pPr>
      <w:r>
        <w:rPr>
          <w:rFonts w:ascii="Arial" w:cs="Arial" w:eastAsia="Arial" w:hAnsi="Arial"/>
          <w:sz w:val="16"/>
          <w:szCs w:val="16"/>
          <w:color w:val="auto"/>
        </w:rPr>
        <w:t>Our investments as of September 30, 2016 and December 31, 2015 are classified as held-to-maturity. Held-to-maturity investments are recorded at amortized cost. During the three months ended September 30, 2016, we liquidated our long-term investment securities with a net carrying amount of approximately $12.6 million, realizing a gain of approximately $33,000 on the sale. The decision to sell our long-term securities was made due to market rate conditions on long-term securities coupled with the recognized gain we were able to yield on the sale of the securities.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tables summarize our investment securities at September 30, 2016 and December 31, 2015:</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20"/>
              <w:spacing w:after="0" w:line="20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cost,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holding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holding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Estimated</w:t>
            </w: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gains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4"/>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fair value</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0"/>
              </w:rPr>
              <w:t>Obligations of domestic governmental agencies (maturing between October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2016 and September 2017) (held-to-maturity)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31,445,616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19,363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31,464,979</w:t>
            </w:r>
          </w:p>
        </w:tc>
        <w:tc>
          <w:tcPr>
            <w:tcW w:w="1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short-term investment securities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31,445,616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19,363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31,464,979</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December 31, 2015</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20"/>
              <w:spacing w:after="0" w:line="20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cost,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holding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holding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Estimated</w:t>
            </w: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gains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4"/>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fair value</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0"/>
              </w:rPr>
              <w:t>Obligations of domestic governmental agencies (maturing between January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2016 and December 2016) (held-to-maturity)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22,166,512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22,822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22,143,690</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00"/>
          </w:cols>
          <w:pgMar w:left="240" w:top="503" w:right="459" w:bottom="1440" w:gutter="0" w:footer="0" w:header="0"/>
        </w:sectPr>
      </w:pPr>
    </w:p>
    <w:p>
      <w:pPr>
        <w:ind w:left="580"/>
        <w:spacing w:after="0"/>
        <w:rPr>
          <w:sz w:val="20"/>
          <w:szCs w:val="20"/>
          <w:color w:val="auto"/>
        </w:rPr>
      </w:pPr>
      <w:r>
        <w:rPr>
          <w:rFonts w:ascii="Arial" w:cs="Arial" w:eastAsia="Arial" w:hAnsi="Arial"/>
          <w:sz w:val="18"/>
          <w:szCs w:val="18"/>
          <w:color w:val="auto"/>
        </w:rPr>
        <w:t>Long-term investments:</w:t>
      </w:r>
    </w:p>
    <w:p>
      <w:pPr>
        <w:spacing w:after="0" w:line="7" w:lineRule="exact"/>
        <w:rPr>
          <w:sz w:val="20"/>
          <w:szCs w:val="20"/>
          <w:color w:val="auto"/>
        </w:rPr>
      </w:pPr>
    </w:p>
    <w:p>
      <w:pPr>
        <w:ind w:left="580"/>
        <w:spacing w:after="0" w:line="261" w:lineRule="auto"/>
        <w:rPr>
          <w:sz w:val="20"/>
          <w:szCs w:val="20"/>
          <w:color w:val="auto"/>
        </w:rPr>
      </w:pPr>
      <w:r>
        <w:rPr>
          <w:rFonts w:ascii="Arial" w:cs="Arial" w:eastAsia="Arial" w:hAnsi="Arial"/>
          <w:sz w:val="18"/>
          <w:szCs w:val="18"/>
          <w:color w:val="auto"/>
        </w:rPr>
        <w:t>Obligations of domestic governmental agencies (maturing between January 2017 and December 2017)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-283845</wp:posOffset>
            </wp:positionV>
            <wp:extent cx="651764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308610"/>
                    </a:xfrm>
                    <a:prstGeom prst="rect">
                      <a:avLst/>
                    </a:prstGeom>
                    <a:noFill/>
                  </pic:spPr>
                </pic:pic>
              </a:graphicData>
            </a:graphic>
          </wp:anchor>
        </w:drawing>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short-term and long-term investment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25,003,032</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85,846</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24,917,186</w:t>
            </w:r>
          </w:p>
        </w:tc>
      </w:tr>
      <w:tr>
        <w:trPr>
          <w:trHeight w:val="216"/>
        </w:trPr>
        <w:tc>
          <w:tcPr>
            <w:tcW w:w="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$ 47,169,544</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$ 47,060,876</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80" w:space="180"/>
            <w:col w:w="5140"/>
          </w:cols>
          <w:pgMar w:left="240" w:top="503" w:right="45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4"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503" w:right="459" w:bottom="1440" w:gutter="0" w:footer="0" w:header="0"/>
          <w:type w:val="continuous"/>
        </w:sectPr>
      </w:pPr>
    </w:p>
    <w:bookmarkStart w:id="12" w:name="page13"/>
    <w:bookmarkEnd w:id="12"/>
    <w:p>
      <w:pPr>
        <w:ind w:right="720" w:firstLine="648"/>
        <w:spacing w:after="0" w:line="268" w:lineRule="auto"/>
        <w:rPr>
          <w:sz w:val="20"/>
          <w:szCs w:val="20"/>
          <w:color w:val="auto"/>
        </w:rPr>
      </w:pPr>
      <w:r>
        <w:rPr>
          <w:rFonts w:ascii="Arial" w:cs="Arial" w:eastAsia="Arial" w:hAnsi="Arial"/>
          <w:sz w:val="18"/>
          <w:szCs w:val="18"/>
          <w:color w:val="auto"/>
        </w:rPr>
        <w:t>As of September 30, 2016 and December 31, 2015, the fair values of cash and cash equivalents, restricted cash, and notes and interest payable, approximate their carrying value.</w:t>
      </w:r>
    </w:p>
    <w:p>
      <w:pPr>
        <w:spacing w:after="0" w:line="18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100" w:firstLine="648"/>
        <w:spacing w:after="0" w:line="332" w:lineRule="auto"/>
        <w:rPr>
          <w:sz w:val="20"/>
          <w:szCs w:val="20"/>
          <w:color w:val="auto"/>
        </w:rPr>
      </w:pPr>
      <w:r>
        <w:rPr>
          <w:rFonts w:ascii="Arial" w:cs="Arial" w:eastAsia="Arial" w:hAnsi="Arial"/>
          <w:sz w:val="16"/>
          <w:szCs w:val="16"/>
          <w:color w:val="auto"/>
        </w:rPr>
        <w:t>The cumulative liability to the Ariston subsidiary including accrued and unpaid interest of the 5% Notes was approximately $17.0 million at September 30, 2016 and $19.9 million at December 31, 2015. No payments have been made on the 5% Notes as of September 30, 2016.</w:t>
      </w:r>
    </w:p>
    <w:p>
      <w:pPr>
        <w:spacing w:after="0" w:line="139"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September 30, 2016 and December 31, 2015.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September 30, 2016 and December 31, 2015:</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080" w:type="dxa"/>
            <w:vAlign w:val="bottom"/>
            <w:tcBorders>
              <w:bottom w:val="single" w:sz="8" w:color="auto"/>
            </w:tcBorders>
            <w:gridSpan w:val="11"/>
          </w:tcPr>
          <w:p>
            <w:pPr>
              <w:jc w:val="right"/>
              <w:ind w:right="312"/>
              <w:spacing w:after="0"/>
              <w:rPr>
                <w:sz w:val="20"/>
                <w:szCs w:val="20"/>
                <w:color w:val="auto"/>
              </w:rPr>
            </w:pPr>
            <w:r>
              <w:rPr>
                <w:rFonts w:ascii="Arial" w:cs="Arial" w:eastAsia="Arial" w:hAnsi="Arial"/>
                <w:sz w:val="18"/>
                <w:szCs w:val="18"/>
                <w:b w:val="1"/>
                <w:bCs w:val="1"/>
                <w:color w:val="auto"/>
                <w:w w:val="96"/>
              </w:rPr>
              <w:t>Financial liabilities at fair value as of September 30, 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5% Notes</w:t>
            </w: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117,126</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117,126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117,126</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117,126</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080" w:type="dxa"/>
            <w:vAlign w:val="bottom"/>
            <w:tcBorders>
              <w:bottom w:val="single" w:sz="8" w:color="auto"/>
            </w:tcBorders>
            <w:gridSpan w:val="11"/>
          </w:tcPr>
          <w:p>
            <w:pPr>
              <w:jc w:val="right"/>
              <w:ind w:right="332"/>
              <w:spacing w:after="0"/>
              <w:rPr>
                <w:sz w:val="20"/>
                <w:szCs w:val="20"/>
                <w:color w:val="auto"/>
              </w:rPr>
            </w:pPr>
            <w:r>
              <w:rPr>
                <w:rFonts w:ascii="Arial" w:cs="Arial" w:eastAsia="Arial" w:hAnsi="Arial"/>
                <w:sz w:val="18"/>
                <w:szCs w:val="18"/>
                <w:b w:val="1"/>
                <w:bCs w:val="1"/>
                <w:color w:val="auto"/>
                <w:w w:val="96"/>
              </w:rPr>
              <w:t>Financial liabilities at fair value as of December 31, 2015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5% Notes</w:t>
            </w: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211,549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w w:val="91"/>
              </w:rPr>
              <w:t>The following table summarizes the changes in Level 3 instruments during the nine months ended September 30, 2016: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674,699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5% notes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(30,601)</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fair value of Level 3 liabilities</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(738,521)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September 30, 2016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$175.0 million, from time to time through MLV &amp; Co. LLC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7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April and May of 2016, we sold a total of 396,811 shares of common stock under the 2015 ATM for aggregate total gross proceeds of approximately $3.6 million at an average selling price of $9.00 per share, resulting in net proceeds of approximately $3.5 million after deducting commissions and other transaction costs.</w:t>
      </w:r>
    </w:p>
    <w:p>
      <w:pPr>
        <w:spacing w:after="0" w:line="194"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The 2015 S-3 is currently our only active shelf registration statement. After deducting shares already sold, including under the 2015 ATM, there is approximately $178 million of common stock that remains available for sale under the 2015 S-3. We may offer the securities under the 2015 S-3 from time to time in response to market conditions or other circumstances if we believe such a plan of financing is in the best interests of our stockholders. We believe that the 2015 S-3 provides us with the flexibility to raise additional capital to finance our operations as needed.</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480" w:firstLine="648"/>
        <w:spacing w:after="0" w:line="332" w:lineRule="auto"/>
        <w:rPr>
          <w:sz w:val="20"/>
          <w:szCs w:val="20"/>
          <w:color w:val="auto"/>
        </w:rPr>
      </w:pPr>
      <w:r>
        <w:rPr>
          <w:rFonts w:ascii="Arial" w:cs="Arial" w:eastAsia="Arial" w:hAnsi="Arial"/>
          <w:sz w:val="16"/>
          <w:szCs w:val="16"/>
          <w:color w:val="auto"/>
        </w:rPr>
        <w:t>The TG Therapeutics, Inc. Amended and Restated 2012 Incentive Plan (“2012 Incentive Plan”) was approved by stockholders in June 2015. As of September 30, 2016, no options were outstanding and up to an additional 3,938,403 shares may be issued under the 2012 Incentive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nine months ended September 30, 2016:</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0"/>
              </w:rPr>
              <w:t>Average Grant</w:t>
            </w: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Date Fair Value</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1240" w:type="dxa"/>
            <w:vAlign w:val="bottom"/>
          </w:tcPr>
          <w:p>
            <w:pPr>
              <w:jc w:val="right"/>
              <w:spacing w:after="0"/>
              <w:rPr>
                <w:sz w:val="20"/>
                <w:szCs w:val="20"/>
                <w:color w:val="auto"/>
              </w:rPr>
            </w:pPr>
            <w:r>
              <w:rPr>
                <w:rFonts w:ascii="Arial" w:cs="Arial" w:eastAsia="Arial" w:hAnsi="Arial"/>
                <w:sz w:val="18"/>
                <w:szCs w:val="18"/>
                <w:color w:val="auto"/>
              </w:rPr>
              <w:t>7,359,915</w:t>
            </w:r>
          </w:p>
        </w:tc>
        <w:tc>
          <w:tcPr>
            <w:tcW w:w="18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(578,892)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r>
      <w:tr>
        <w:trPr>
          <w:trHeight w:val="250"/>
        </w:trPr>
        <w:tc>
          <w:tcPr>
            <w:tcW w:w="20" w:type="dxa"/>
            <w:vAlign w:val="bottom"/>
          </w:tcPr>
          <w:p>
            <w:pPr>
              <w:spacing w:after="0"/>
              <w:rPr>
                <w:sz w:val="21"/>
                <w:szCs w:val="21"/>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w:t>
            </w:r>
          </w:p>
        </w:tc>
      </w:tr>
      <w:tr>
        <w:trPr>
          <w:trHeight w:val="216"/>
        </w:trPr>
        <w:tc>
          <w:tcPr>
            <w:tcW w:w="20" w:type="dxa"/>
            <w:vAlign w:val="bottom"/>
          </w:tcPr>
          <w:p>
            <w:pPr>
              <w:spacing w:after="0"/>
              <w:rPr>
                <w:sz w:val="18"/>
                <w:szCs w:val="18"/>
                <w:color w:val="auto"/>
              </w:rPr>
            </w:pPr>
          </w:p>
        </w:tc>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September 30, 2016</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7,007,250</w:t>
            </w: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7.82</w:t>
            </w: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Total expense associated with restricted stock grants was approximately $2.8 million and $1.2 million during the three months ended September 30, 2016 and 2015, respectively, and $6.2 million and $12.8 million during the nine months ended September 30, 2016 and 2015, respectively. As of September 30, 2016, there was approximately $15.8 million of total unrecognized compensation cost related to unvested time-based restricted stock, which is expected to be recognized over a weighted average period of 1.64 years. This amount does not include, as of September 30, 2016, 411,172 shares of restricted stock outstanding which are milestone-based and vest upon certain corporate milestones; and 2,306,958 shares of restricted stock outstanding issued to non-employees, the expense for which is determined each reporting period at the measurement date. The expense is recognized over the vesting period of the award. Until the measurement date is reached for milestone awards, the total amount of compensation expense remains uncertain. We record compensation expense based on the fair value of the award at the reporting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2016:</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8"/>
              </w:rPr>
              <w:t>average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37"/>
        </w:trPr>
        <w:tc>
          <w:tcPr>
            <w:tcW w:w="20" w:type="dxa"/>
            <w:vAlign w:val="bottom"/>
          </w:tcPr>
          <w:p>
            <w:pPr>
              <w:spacing w:after="0"/>
              <w:rPr>
                <w:sz w:val="20"/>
                <w:szCs w:val="20"/>
                <w:color w:val="auto"/>
              </w:rPr>
            </w:pPr>
          </w:p>
        </w:tc>
        <w:tc>
          <w:tcPr>
            <w:tcW w:w="6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Warrants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exercise price</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Intrinsic Value</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980" w:type="dxa"/>
            <w:vAlign w:val="bottom"/>
          </w:tcPr>
          <w:p>
            <w:pPr>
              <w:jc w:val="right"/>
              <w:spacing w:after="0"/>
              <w:rPr>
                <w:sz w:val="20"/>
                <w:szCs w:val="20"/>
                <w:color w:val="auto"/>
              </w:rPr>
            </w:pPr>
            <w:r>
              <w:rPr>
                <w:rFonts w:ascii="Arial" w:cs="Arial" w:eastAsia="Arial" w:hAnsi="Arial"/>
                <w:sz w:val="18"/>
                <w:szCs w:val="18"/>
                <w:color w:val="auto"/>
              </w:rPr>
              <w:t>1,186,749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11,341,452</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(44,541)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Outstanding at September 30, 2016</w:t>
            </w:r>
          </w:p>
        </w:tc>
        <w:tc>
          <w:tcPr>
            <w:tcW w:w="980" w:type="dxa"/>
            <w:vAlign w:val="bottom"/>
          </w:tcPr>
          <w:p>
            <w:pPr>
              <w:jc w:val="right"/>
              <w:spacing w:after="0"/>
              <w:rPr>
                <w:sz w:val="20"/>
                <w:szCs w:val="20"/>
                <w:color w:val="auto"/>
              </w:rPr>
            </w:pPr>
            <w:r>
              <w:rPr>
                <w:rFonts w:ascii="Arial" w:cs="Arial" w:eastAsia="Arial" w:hAnsi="Arial"/>
                <w:sz w:val="18"/>
                <w:szCs w:val="18"/>
                <w:color w:val="auto"/>
              </w:rPr>
              <w:t>1,142,208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6,125,109</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grant any stock options during the nine months ended September 30, 2016 and 2015.</w:t>
      </w:r>
    </w:p>
    <w:p>
      <w:pPr>
        <w:spacing w:after="0" w:line="225" w:lineRule="exact"/>
        <w:rPr>
          <w:sz w:val="20"/>
          <w:szCs w:val="20"/>
          <w:color w:val="auto"/>
        </w:rPr>
      </w:pPr>
    </w:p>
    <w:p>
      <w:pPr>
        <w:ind w:right="360" w:firstLine="486"/>
        <w:spacing w:after="0" w:line="268"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and nine months ended September 30, 2016 and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Three months ended September 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60" w:type="dxa"/>
            <w:vAlign w:val="bottom"/>
            <w:gridSpan w:val="5"/>
            <w:shd w:val="clear" w:color="auto" w:fill="CCEEFF"/>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1"/>
              </w:rPr>
              <w:t>Stock-based compensation expense associated</w:t>
            </w:r>
          </w:p>
        </w:tc>
        <w:tc>
          <w:tcPr>
            <w:tcW w:w="3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2,834,038</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1,240,034</w:t>
            </w: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6,181,400</w:t>
            </w:r>
          </w:p>
        </w:tc>
        <w:tc>
          <w:tcPr>
            <w:tcW w:w="30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12,840,048</w:t>
            </w:r>
          </w:p>
        </w:tc>
        <w:tc>
          <w:tcPr>
            <w:tcW w:w="1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5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with restricted stock</w:t>
            </w:r>
          </w:p>
        </w:tc>
        <w:tc>
          <w:tcPr>
            <w:tcW w:w="380" w:type="dxa"/>
            <w:vAlign w:val="bottom"/>
            <w:gridSpan w:val="2"/>
            <w:vMerge w:val="continue"/>
            <w:shd w:val="clear" w:color="auto" w:fill="CCEEFF"/>
          </w:tcPr>
          <w:p>
            <w:pPr>
              <w:spacing w:after="0"/>
              <w:rPr>
                <w:sz w:val="17"/>
                <w:szCs w:val="17"/>
                <w:color w:val="auto"/>
              </w:rPr>
            </w:pPr>
          </w:p>
        </w:tc>
        <w:tc>
          <w:tcPr>
            <w:tcW w:w="1200" w:type="dxa"/>
            <w:vAlign w:val="bottom"/>
            <w:tcBorders>
              <w:right w:val="single" w:sz="8" w:color="CCEEFF"/>
            </w:tcBorders>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2,834,038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1,240,034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6,181,400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12,840,048</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w w:val="89"/>
              </w:rPr>
              <w:t>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304"/>
        </w:trPr>
        <w:tc>
          <w:tcPr>
            <w:tcW w:w="2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gridSpan w:val="6"/>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6"/>
              </w:rPr>
              <w:t>September 30, 2016</w:t>
            </w:r>
          </w:p>
        </w:tc>
        <w:tc>
          <w:tcPr>
            <w:tcW w:w="8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left w:val="single" w:sz="8" w:color="CCEEFF"/>
              <w:bottom w:val="single" w:sz="8" w:color="auto"/>
              <w:right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December 31</w:t>
            </w:r>
            <w:r>
              <w:rPr>
                <w:rFonts w:ascii="Arial" w:cs="Arial" w:eastAsia="Arial" w:hAnsi="Arial"/>
                <w:sz w:val="18"/>
                <w:szCs w:val="18"/>
                <w:color w:val="auto"/>
                <w:w w:val="87"/>
              </w:rPr>
              <w:t>,</w:t>
            </w:r>
            <w:r>
              <w:rPr>
                <w:rFonts w:ascii="Arial" w:cs="Arial" w:eastAsia="Arial" w:hAnsi="Arial"/>
                <w:sz w:val="18"/>
                <w:szCs w:val="18"/>
                <w:b w:val="1"/>
                <w:bCs w:val="1"/>
                <w:color w:val="auto"/>
                <w:w w:val="87"/>
              </w:rPr>
              <w:t xml:space="preserve"> 2015</w:t>
            </w: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2"/>
              <w:spacing w:after="0" w:line="201" w:lineRule="exact"/>
              <w:rPr>
                <w:sz w:val="20"/>
                <w:szCs w:val="20"/>
                <w:color w:val="auto"/>
              </w:rPr>
            </w:pPr>
            <w:r>
              <w:rPr>
                <w:rFonts w:ascii="Arial" w:cs="Arial" w:eastAsia="Arial" w:hAnsi="Arial"/>
                <w:sz w:val="18"/>
                <w:szCs w:val="18"/>
                <w:b w:val="1"/>
                <w:bCs w:val="1"/>
                <w:color w:val="auto"/>
                <w:w w:val="98"/>
              </w:rPr>
              <w:t>Current</w:t>
            </w:r>
          </w:p>
        </w:tc>
        <w:tc>
          <w:tcPr>
            <w:tcW w:w="240" w:type="dxa"/>
            <w:vAlign w:val="bottom"/>
          </w:tcPr>
          <w:p>
            <w:pPr>
              <w:spacing w:after="0"/>
              <w:rPr>
                <w:sz w:val="17"/>
                <w:szCs w:val="17"/>
                <w:color w:val="auto"/>
              </w:rPr>
            </w:pPr>
          </w:p>
        </w:tc>
        <w:tc>
          <w:tcPr>
            <w:tcW w:w="1100" w:type="dxa"/>
            <w:vAlign w:val="bottom"/>
            <w:gridSpan w:val="3"/>
          </w:tcPr>
          <w:p>
            <w:pPr>
              <w:jc w:val="center"/>
              <w:ind w:right="120"/>
              <w:spacing w:after="0" w:line="201" w:lineRule="exact"/>
              <w:rPr>
                <w:sz w:val="20"/>
                <w:szCs w:val="20"/>
                <w:color w:val="auto"/>
              </w:rPr>
            </w:pPr>
            <w:r>
              <w:rPr>
                <w:rFonts w:ascii="Arial" w:cs="Arial" w:eastAsia="Arial" w:hAnsi="Arial"/>
                <w:sz w:val="18"/>
                <w:szCs w:val="18"/>
                <w:b w:val="1"/>
                <w:bCs w:val="1"/>
                <w:color w:val="auto"/>
                <w:w w:val="91"/>
              </w:rPr>
              <w:t>Non-current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95"/>
              </w:rPr>
              <w:t>Current</w:t>
            </w:r>
          </w:p>
        </w:tc>
        <w:tc>
          <w:tcPr>
            <w:tcW w:w="260" w:type="dxa"/>
            <w:vAlign w:val="bottom"/>
          </w:tcPr>
          <w:p>
            <w:pPr>
              <w:spacing w:after="0"/>
              <w:rPr>
                <w:sz w:val="17"/>
                <w:szCs w:val="17"/>
                <w:color w:val="auto"/>
              </w:rPr>
            </w:pPr>
          </w:p>
        </w:tc>
        <w:tc>
          <w:tcPr>
            <w:tcW w:w="1220" w:type="dxa"/>
            <w:vAlign w:val="bottom"/>
            <w:gridSpan w:val="3"/>
          </w:tcPr>
          <w:p>
            <w:pPr>
              <w:jc w:val="center"/>
              <w:ind w:right="260"/>
              <w:spacing w:after="0" w:line="201" w:lineRule="exact"/>
              <w:rPr>
                <w:sz w:val="20"/>
                <w:szCs w:val="20"/>
                <w:color w:val="auto"/>
              </w:rPr>
            </w:pPr>
            <w:r>
              <w:rPr>
                <w:rFonts w:ascii="Arial" w:cs="Arial" w:eastAsia="Arial" w:hAnsi="Arial"/>
                <w:sz w:val="18"/>
                <w:szCs w:val="18"/>
                <w:b w:val="1"/>
                <w:bCs w:val="1"/>
                <w:color w:val="auto"/>
                <w:w w:val="89"/>
              </w:rPr>
              <w:t>Non-current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portion, net</w:t>
            </w:r>
          </w:p>
        </w:tc>
        <w:tc>
          <w:tcPr>
            <w:tcW w:w="24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26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117,126</w:t>
            </w: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760" w:type="dxa"/>
            <w:vAlign w:val="bottom"/>
            <w:tcBorders>
              <w:left w:val="single" w:sz="8" w:color="CCEEFF"/>
            </w:tcBorders>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117,126</w:t>
            </w:r>
          </w:p>
        </w:tc>
        <w:tc>
          <w:tcPr>
            <w:tcW w:w="24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117,126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211,549</w:t>
            </w:r>
          </w:p>
        </w:tc>
        <w:tc>
          <w:tcPr>
            <w:tcW w:w="76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$17.0 million at September 30, 2016 and $19.9 million at December 31, 2015. No payments have been made on the 5% Notes as of September 30, 2016.</w:t>
      </w:r>
    </w:p>
    <w:p>
      <w:pPr>
        <w:spacing w:after="0" w:line="186" w:lineRule="exact"/>
        <w:rPr>
          <w:sz w:val="20"/>
          <w:szCs w:val="20"/>
          <w:color w:val="auto"/>
        </w:rPr>
      </w:pPr>
    </w:p>
    <w:p>
      <w:pPr>
        <w:ind w:right="680" w:firstLine="486"/>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(see Note 8), for the development and commercialization of Jubilant’s novel BET inhibitor program in the field of hematological malignancies.</w:t>
      </w:r>
    </w:p>
    <w:p>
      <w:pPr>
        <w:spacing w:after="0" w:line="19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right="200" w:firstLine="486"/>
        <w:spacing w:after="0" w:line="29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2016 and 2015, and approximately $0.1 million for each of the nine months ended September 30, 2016 and 2015 and, at September 30, 2016 and December 31, 2015, have deferred revenue of approximately $1.4 million and $1.5 million, respectively, associated with this $2.0 million payment (approximately $0.2 million of which has been classified in current liabilities at September 30, 2016 and December 31, 2015).</w:t>
      </w:r>
    </w:p>
    <w:p>
      <w:pPr>
        <w:spacing w:after="0" w:line="172"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20" w:firstLine="486"/>
        <w:spacing w:after="0" w:line="294"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70" w:lineRule="exact"/>
        <w:rPr>
          <w:sz w:val="20"/>
          <w:szCs w:val="20"/>
          <w:color w:val="auto"/>
        </w:rPr>
      </w:pPr>
    </w:p>
    <w:p>
      <w:pPr>
        <w:ind w:right="80" w:firstLine="486"/>
        <w:spacing w:after="0" w:line="312" w:lineRule="auto"/>
        <w:rPr>
          <w:sz w:val="20"/>
          <w:szCs w:val="20"/>
          <w:color w:val="auto"/>
        </w:rPr>
      </w:pPr>
      <w:r>
        <w:rPr>
          <w:rFonts w:ascii="Arial" w:cs="Arial" w:eastAsia="Arial" w:hAnsi="Arial"/>
          <w:sz w:val="15"/>
          <w:szCs w:val="15"/>
          <w:color w:val="auto"/>
        </w:rPr>
        <w:t>Under the terms of the LFB License Agreement, we utilize LFB Group for certain development and manufacturing services. We incurred expenses of $1.9 million and $2.5 million during the three months ended September 30, 2016 and 2015, respectively, and $4.3 million and $4.9 million during the nine months ended September 30, 2016 and 2015, respectively, which have been included in other research and development expenses in the accompanying condensed consolidated statements of operations. As of September 30, 2016 and December 31, 2015, we had approximately $0.3 million and $2.1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September 30, 2016 and December 31, 2015, we recorded approximately $3.1 million and $3.0 million, respectively, in prepaid research and development for such advance payments.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March 2014, we entered into a shared services agreement (the “Opus Shared Services Agreement”) with Opus Point Partners Management, LLC (“Opus”) in which the parties agreed to share the costs of a rented facility and certain other services. Our Executive Chairman and Interim Chief Executive Officer is a Managing Member of Opus. During the three and nine months ended September 30, 2016, we incurred expenses of approximately $0 and $0.1 million, respectively, principally for rent, related to this agreement. The Opus Shared Services Agreement is no longer in effect as we began occupying new space in April 2016.</w:t>
      </w:r>
    </w:p>
    <w:p>
      <w:pPr>
        <w:spacing w:after="0" w:line="19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October 2014, we entered into an agreement (the “Office Agreement”) with Fortress Biotech, Inc. (“Fortress”), to occupy approximately 45% of the 24,000 square feet of New York City office space leased by Fortress,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nine months ended September 30, 2016, we recorded rent expense of approximately $1.0 million and at September 30, 2016, have deferred rent of approximately $0.8 million. Mr. Weiss, our Executive Chairman and Interim CEO, is also Executive Vice Chairman of Fortress.</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ind w:right="180" w:firstLine="648"/>
        <w:spacing w:after="0" w:line="290" w:lineRule="auto"/>
        <w:rPr>
          <w:sz w:val="20"/>
          <w:szCs w:val="20"/>
          <w:color w:val="auto"/>
        </w:rPr>
      </w:pPr>
      <w:r>
        <w:rPr>
          <w:rFonts w:ascii="Arial" w:cs="Arial" w:eastAsia="Arial" w:hAnsi="Arial"/>
          <w:sz w:val="16"/>
          <w:szCs w:val="16"/>
          <w:color w:val="auto"/>
        </w:rPr>
        <w:t>During the nine months ended September 30, 2016, we agreed to pay Fortress $2.7 million for our portion of the build out costs, which have been allocated to us at the 45% rate mentioned above. The allocated build-out costs have been recorded in Leasehold Interest and will be amortized over the 15-year term of the Office Agreement. After an initial commitment period of the 45% rate for a period of three (3) years, we and Fortress will determine actual office space utilization annually and if our utilization differs from the amount we have been billed, we will either receive credits or be assessed incremental utilization charges. As of September 30, 2016, we had approximately $0.4 million recorded in accounts payable related mostly to the upfront leasehold interest. Also in connection with this lease, in October 2014 we pledged $0.6 million to secure a line of credit as a security deposit for the Office Agreement, which has been recorded as restricted cash in the accompanying condensed consolidated balance sheets.</w:t>
      </w:r>
    </w:p>
    <w:p>
      <w:pPr>
        <w:spacing w:after="0" w:line="17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July 2015, we entered into a Shared Services Agreement (the “Shared Services Agreement”) with Fortress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$0.5 million for shared services for the nine months ended September 30, 2016, primarily related to shared personnel.</w:t>
      </w:r>
    </w:p>
    <w:p>
      <w:pPr>
        <w:spacing w:after="0" w:line="197" w:lineRule="exact"/>
        <w:rPr>
          <w:sz w:val="20"/>
          <w:szCs w:val="20"/>
          <w:color w:val="auto"/>
        </w:rPr>
      </w:pPr>
    </w:p>
    <w:p>
      <w:pPr>
        <w:ind w:right="300" w:firstLine="648"/>
        <w:spacing w:after="0" w:line="298" w:lineRule="auto"/>
        <w:rPr>
          <w:sz w:val="20"/>
          <w:szCs w:val="20"/>
          <w:color w:val="auto"/>
        </w:rPr>
      </w:pPr>
      <w:r>
        <w:rPr>
          <w:rFonts w:ascii="Arial" w:cs="Arial" w:eastAsia="Arial" w:hAnsi="Arial"/>
          <w:sz w:val="16"/>
          <w:szCs w:val="16"/>
          <w:color w:val="auto"/>
        </w:rPr>
        <w:t>In May 2016, as part of a broader agreement with Jubilant, an India-based biotechnology company, we entered into the JBET Agreement with Checkpoint, a subsidiary of Fortress, for the development and commercialization of Jubilant’s novel BET inhibitor program in the field of hematological malignancies. We paid Checkpoint an up-front licensing fee of $1.0 million as part of the JBET Agreement. As of September 30, 2016, we had approximately $0.3 million recorded in accounts payable, related to the JBET Agreement. Mr. Weiss is also the Executive Chairman of Checkpoint.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firstLine="648"/>
        <w:spacing w:after="0" w:line="323" w:lineRule="auto"/>
        <w:rPr>
          <w:sz w:val="20"/>
          <w:szCs w:val="20"/>
          <w:color w:val="auto"/>
        </w:rPr>
      </w:pPr>
      <w:r>
        <w:rPr>
          <w:rFonts w:ascii="Arial" w:cs="Arial" w:eastAsia="Arial" w:hAnsi="Arial"/>
          <w:sz w:val="15"/>
          <w:szCs w:val="15"/>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52" w:lineRule="exact"/>
        <w:rPr>
          <w:sz w:val="20"/>
          <w:szCs w:val="20"/>
          <w:color w:val="auto"/>
        </w:rPr>
      </w:pPr>
    </w:p>
    <w:p>
      <w:pPr>
        <w:ind w:right="240" w:firstLine="648"/>
        <w:spacing w:after="0" w:line="306"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to develop IRAK4 (interleukin-1 receptor-associated kinase 4) inhibitors, BET inhibitors, and anti-PD-L1 and anti-GITR antibodies.</w:t>
      </w:r>
    </w:p>
    <w:p>
      <w:pPr>
        <w:spacing w:after="0" w:line="20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97"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3"/>
          <w:szCs w:val="23"/>
          <w:color w:val="auto"/>
          <w:vertAlign w:val="superscript"/>
        </w:rPr>
        <w:t>®</w:t>
      </w:r>
      <w:r>
        <w:rPr>
          <w:rFonts w:ascii="Arial" w:cs="Arial" w:eastAsia="Arial" w:hAnsi="Arial"/>
          <w:sz w:val="17"/>
          <w:szCs w:val="17"/>
          <w:color w:val="auto"/>
        </w:rPr>
        <w:t>, the leading anti-CD20 monoclonal antibody, which had worldwide sales in 2015 of more than $7 billion.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94" w:lineRule="exact"/>
        <w:rPr>
          <w:sz w:val="20"/>
          <w:szCs w:val="20"/>
          <w:color w:val="auto"/>
        </w:rPr>
      </w:pPr>
    </w:p>
    <w:p>
      <w:pPr>
        <w:ind w:left="1300" w:right="20" w:hanging="320"/>
        <w:spacing w:after="0" w:line="25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ind w:left="130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 delta inhibitor, for patients with front line and previously treated CLL;</w:t>
      </w:r>
    </w:p>
    <w:p>
      <w:pPr>
        <w:ind w:left="130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UNITY-DLBCL Trial – registration-directed UNITY-DLBCL Phase 2b clinical study evaluating TG-1101, in combination with TGR-1202, as well as TGR-1202 alone, in patients with previously treated Diffuse Large B-Cell Lymphoma (DLBCL); and</w:t>
      </w:r>
    </w:p>
    <w:p>
      <w:pPr>
        <w:ind w:left="1300" w:hanging="276"/>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1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we have announced our intent of evaluating TG-1101 for the treatment of certain autoimmune diseases. Currently, TG-1101 is being evaluated in a Phase 2 study for the treatment of Multiple Sclerosis (MS) and in an investigator initiated Phase 1 study for the treatment of acute neuromyelitis optica (NMO) relapses, with additional autoimmune related indications planned to be studied. Preliminary data from this Phase 1 study in NMO was presented at the 32nd Congress of the European Committee for Treatment and Research in Multiple Sclerosis (ECTRIMS), in London, UK in September 2016. Data from the poster presentation demonstrated that TG-1101 was well tolerated with minimal adverse events (AEs) observed and rapid and robust B-cell depletion observed following a single 450 mg infusion of TG-1101. In August 2016, it was also announced that TG-1101 received orphan drug designation for the Treatment of Neuromyelitis Optica and Neuromyelitis Optica Spectrum Disorder.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details on our priority ongoing combination trials for TG-1101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 Special Protocol Assessment (SPA) with the U.S. Food and Drug Administration (FDA), and was designed to enroll approximately 330 patients, with a two-part analysis of both overall response rate (ORR) and progression-free survival (PFS). The trial was amended in October 2016 to now enroll approximately 120 patients, with the PFS analysis component removed. The sole primary endpoint of the study is now ORR, and the SPA is no longer in effect. We expect to complete enrollment in the revised trial by year end 2016, and will have topline data available in the first half of 2017. If the results of the study are positive, we plan to request a pre-BLA meeting to discuss the data and a filing strategy with the FDA. We have communicated with the FDA regarding our intention to file a Biologics Licensing Application (BLA) for accelerated approval if the results of the amended study are positive and the FDA has agreed that a pre-BLA meeting can be requested based on ORR data from the GENUINE study.</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280" w:firstLine="648"/>
        <w:spacing w:after="0" w:line="335" w:lineRule="auto"/>
        <w:rPr>
          <w:sz w:val="20"/>
          <w:szCs w:val="20"/>
          <w:color w:val="auto"/>
        </w:rPr>
      </w:pPr>
      <w:r>
        <w:rPr>
          <w:rFonts w:ascii="Arial" w:cs="Arial" w:eastAsia="Arial" w:hAnsi="Arial"/>
          <w:sz w:val="15"/>
          <w:szCs w:val="15"/>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2"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w:t>
      </w:r>
      <w:r>
        <w:rPr>
          <w:rFonts w:ascii="Arial" w:cs="Arial" w:eastAsia="Arial" w:hAnsi="Arial"/>
          <w:sz w:val="22"/>
          <w:szCs w:val="22"/>
          <w:color w:val="auto"/>
          <w:vertAlign w:val="superscript"/>
        </w:rPr>
        <w:t>®</w:t>
      </w:r>
      <w:r>
        <w:rPr>
          <w:rFonts w:ascii="Arial" w:cs="Arial" w:eastAsia="Arial" w:hAnsi="Arial"/>
          <w:sz w:val="16"/>
          <w:szCs w:val="16"/>
          <w:color w:val="auto"/>
        </w:rPr>
        <w:t>)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2b Registration-Directed Program – The UNITY-DLBCL Trial</w:t>
      </w:r>
    </w:p>
    <w:p>
      <w:pPr>
        <w:spacing w:after="0" w:line="225"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In June 2016, we commenced a registration-directed UNITY-DLBCL Phase 2b clinical study evaluating TG-1101 in combination with TGR-1202, as well as TGR-1202 alone, in patients with previously treated DLBCL.</w:t>
      </w:r>
    </w:p>
    <w:p>
      <w:pPr>
        <w:spacing w:after="0" w:line="186" w:lineRule="exact"/>
        <w:rPr>
          <w:sz w:val="20"/>
          <w:szCs w:val="20"/>
          <w:color w:val="auto"/>
        </w:rPr>
      </w:pPr>
    </w:p>
    <w:p>
      <w:pPr>
        <w:ind w:right="40" w:firstLine="601"/>
        <w:spacing w:after="0" w:line="253" w:lineRule="auto"/>
        <w:rPr>
          <w:sz w:val="20"/>
          <w:szCs w:val="20"/>
          <w:color w:val="auto"/>
        </w:rPr>
      </w:pPr>
      <w:r>
        <w:rPr>
          <w:rFonts w:ascii="Arial" w:cs="Arial" w:eastAsia="Arial" w:hAnsi="Arial"/>
          <w:sz w:val="18"/>
          <w:szCs w:val="18"/>
          <w:color w:val="auto"/>
        </w:rPr>
        <w:t>The study, entitled "A Phase 2b Randomized Study to Assess the Efficacy and Safety of the Combination of Ublituximab + TGR-1202 and TGR-1202 alone in Patients with Previously Treated Diffuse Large B-Cell Lymphoma," is being led by Owen A. O'Connor, MD, PhD, Professor of Medicine and Experimental Therapeutics, and Director of the Center for Lymphoid Malignancies at Columbia University Medical Center. The primary objective of the study is to assess the efficacy of TGR-1202 alone and in combination with TG-1101 in patients with previously treated DLBCL as measured by Overall Response Rate (ORR). The study will also provide important information as to the contribution of each agent, TGR-1202 and TG-1101, to the combination regimen of both agents. In addition to monitoring for safety and efficacy this study will analyze the impact of cell of origin (GCB vs. non-GCB), mutational status and select biomarkers of efficacy.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4" w:lineRule="exact"/>
        <w:rPr>
          <w:sz w:val="20"/>
          <w:szCs w:val="20"/>
          <w:color w:val="auto"/>
        </w:rPr>
      </w:pPr>
    </w:p>
    <w:p>
      <w:pPr>
        <w:ind w:right="100" w:firstLine="648"/>
        <w:spacing w:after="0" w:line="33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Updates for TGR-1202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2016, we announced that TGR-1202 had received orphan drug designation for the treatment of CLL.</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 October 2016, a manuscript titled, "Silencing c-Myc Translation as a Therapeutic Strategy through Targeting PI3K Delta and CK1 Epsilon in Hematological Malignancies," was published online in the First Edition section of Blood, the Journal of the American Society of Hematology. The publication presents preclinical data describing the synergy of TGR-1202 with the proteasome inhibitor carfilzomib and the unique effects of the combination to silence c-Myc in various preclinical lymphoma and myeloma models. In addition, the manuscript for the first time reports on TGR-1202's unique complimentary mechanism of inhibiting the protein kinase casein kinase-1 (CK1) epsilon, which may contribute to the silencing of c-Myc and explain TGR-1202's clinical activity in aggressive lymphoma, including Diffuse Large B-cell Lymphoma (DLBCL).</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93"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studies in combination with TG-1101, our current combination clinical trials that are ongoing or have been completed for TGR-1202 are:</w:t>
      </w:r>
    </w:p>
    <w:p>
      <w:pPr>
        <w:spacing w:after="0" w:line="259"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TGR-1202 in combination with the anti-CD20 antibody, obinutuzumab (GAZYVA</w:t>
      </w:r>
      <w:r>
        <w:rPr>
          <w:rFonts w:ascii="Arial" w:cs="Arial" w:eastAsia="Arial" w:hAnsi="Arial"/>
          <w:sz w:val="24"/>
          <w:szCs w:val="24"/>
          <w:color w:val="auto"/>
          <w:vertAlign w:val="superscript"/>
        </w:rPr>
        <w:t>®</w:t>
      </w:r>
      <w:r>
        <w:rPr>
          <w:rFonts w:ascii="Arial" w:cs="Arial" w:eastAsia="Arial" w:hAnsi="Arial"/>
          <w:sz w:val="18"/>
          <w:szCs w:val="18"/>
          <w:color w:val="auto"/>
        </w:rPr>
        <w:t>) and chlorambucil in patients with CLL;</w:t>
      </w:r>
    </w:p>
    <w:p>
      <w:pPr>
        <w:ind w:left="1300" w:hanging="320"/>
        <w:spacing w:after="0" w:line="21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TGR-1202 in combination with the anti-CD30 antibody drug conjugate, brentuximab vedotin (ADCETRIS</w:t>
      </w:r>
      <w:r>
        <w:rPr>
          <w:rFonts w:ascii="Arial" w:cs="Arial" w:eastAsia="Arial" w:hAnsi="Arial"/>
          <w:sz w:val="24"/>
          <w:szCs w:val="24"/>
          <w:color w:val="auto"/>
          <w:vertAlign w:val="superscript"/>
        </w:rPr>
        <w:t>®</w:t>
      </w:r>
      <w:r>
        <w:rPr>
          <w:rFonts w:ascii="Arial" w:cs="Arial" w:eastAsia="Arial" w:hAnsi="Arial"/>
          <w:sz w:val="18"/>
          <w:szCs w:val="18"/>
          <w:color w:val="auto"/>
        </w:rPr>
        <w:t>), in patients with relapsed or refractory Hodgkin’s lymphoma;</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9" w:lineRule="exact"/>
        <w:rPr>
          <w:rFonts w:ascii="Arial" w:cs="Arial" w:eastAsia="Arial" w:hAnsi="Arial"/>
          <w:sz w:val="18"/>
          <w:szCs w:val="18"/>
          <w:color w:val="auto"/>
        </w:rPr>
      </w:pPr>
    </w:p>
    <w:p>
      <w:pPr>
        <w:ind w:left="1300" w:hanging="320"/>
        <w:spacing w:after="0" w:line="21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TGR-1202 in combination with the JAK inhibitor, ruxolitinib (JAKAFI</w:t>
      </w:r>
      <w:r>
        <w:rPr>
          <w:rFonts w:ascii="Arial" w:cs="Arial" w:eastAsia="Arial" w:hAnsi="Arial"/>
          <w:sz w:val="24"/>
          <w:szCs w:val="24"/>
          <w:color w:val="auto"/>
          <w:vertAlign w:val="superscript"/>
        </w:rPr>
        <w:t>®</w:t>
      </w:r>
      <w:r>
        <w:rPr>
          <w:rFonts w:ascii="Arial" w:cs="Arial" w:eastAsia="Arial" w:hAnsi="Arial"/>
          <w:sz w:val="18"/>
          <w:szCs w:val="18"/>
          <w:color w:val="auto"/>
        </w:rPr>
        <w:t>), in patients with previously treated Myelofibrosis or Polycythemia Vera</w:t>
      </w:r>
    </w:p>
    <w:p>
      <w:pPr>
        <w:spacing w:after="0" w:line="238"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In addition, given the favorable safety profile demonstrated to date, a trial of TGR-1202 monotherapy in patients with CLL who were previously intolerant to prior BTK or PI3K inhibitor therapy is also underway.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Data from this ongoing Phase I study was most recently presented at the 57th Annual American Society of Hematology (ASH) meeting held in December 2015, with updated data presented as part of an integrated analysis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June 2016, at the 52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Annual Meeting of the American Society of Clinical Oncology (ASCO) and at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Congress of the European Hematology Association (EHA), the Company presented integrated data with long term follow-up from 165 patients exposed to TGR-1202 monotherapy or the combination of TGR-1202 plus TG-1101, which continued to demonstrate high response rates in CLL, NHL, and DLBCL coupled with a favorable safety profile.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Combination with obinutuzumab and chlorambucil in patients with CLL</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In March 2014, the Company initiated a Phase I/Ib, open label, multi-center, clinical trial of TGR-1202 in combination with obinutuzumab and chlorambucil in patients with CLL, both treatment naïve and relapsed. The study entitled TGR-GA-106, "A Multi-center Phase I/Ib Study Evaluating the Efficacy and Safety of TGR-1202, a Novel PI3K Delta Inhibitor, in Combination with Obinutuzumab and Chlorambucil in Patients with Chronic Lymphocytic Leukemia (CLL)," is being led by Dr. Daruka Mahadevan of the West Clinic in Memphis, TN. As of February 2016, this study has completed enrollment.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from the study was presented at the 57th Annual American Society of Hematology (ASH) meeting held in December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It is anticipated that preliminary results from these studies will be presented at future medical conferences.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We hold global rights to develop and commercialize the IRAK4 program, which was licensed from Ligand Pharmaceuticals. Our IRAK4 program is currently in pre-clinical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a subsidiary of Fortress,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61"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ind w:right="2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and 2015</w:t>
      </w:r>
    </w:p>
    <w:p>
      <w:pPr>
        <w:spacing w:after="0" w:line="23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$38,096 for each of the three months ended September 30, 2016 and 2015.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totaled $919,648 for the three months ended September 30, 2016, as compared to $35,756 during the comparable period in 2015. The increase in noncash compensation expense was primarily related to restricted stock grants to personnel in 2016 and a decrease in the measurement date fair value of certain consultant restricted stock during the period ended September 30, 2015.</w:t>
      </w:r>
    </w:p>
    <w:p>
      <w:pPr>
        <w:spacing w:after="0" w:line="19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$9,339,862 to $20,878,108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2016, as compared to $11,538,246 for the three months ended September 30, 2015. The increase was mainly due to the ongoing clinical development programs and related manufacturing costs for TG-1101 and TGR-1202 during the three months ended September 30, 2016. We expect our other research and development costs to increase for the remainder of 2016 as the enrollment of additional patients in our Phase 3 clinical trials increases and we prepare for launch.</w:t>
      </w:r>
    </w:p>
    <w:p>
      <w:pPr>
        <w:spacing w:after="0" w:line="197"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increased by $710,112 to $1,914,390 for the three months ended September 30, 2016, as compared to $1,204,278 for the three months ended September 30, 2015. The increase in noncash compensation expense was primarily related to restricted stock granted to executive personnel and a decrease in the measurement date fair value of certain consultant restricted stock during the three months ended September 30, 2015.</w:t>
      </w:r>
    </w:p>
    <w:p>
      <w:pPr>
        <w:spacing w:after="0" w:line="16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$166,021 to $1,251,421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as compared to $1,085,400 for the three months ended September 30, 2015. The increase was due primarily to the straight-line rent expense of our new office space, as well as increased personnel and other general and administrative costs. We expect our other general and administrative expenses to remain at a comparable level for the remainder of 2016.</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$75,224 to $94,444 for the three months ended September 30, 2016, as compared to $169,668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2015. The decrease is mainly due to a decrease in the change in fair value of notes payable for the three months ended September 30, 2016.</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Nine months ended September 30, 2016 and 2015</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$114,286 for each of the nine months ended September 30, 2016 and 2015. License revenue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2016 and 2015 was related to the amortization of an upfront payment of $2.0 million received in 2012 associated with our license agreement with Ildong.</w:t>
      </w:r>
    </w:p>
    <w:p>
      <w:pPr>
        <w:spacing w:after="0" w:line="194" w:lineRule="exact"/>
        <w:rPr>
          <w:sz w:val="20"/>
          <w:szCs w:val="20"/>
          <w:color w:val="auto"/>
        </w:rPr>
      </w:pPr>
    </w:p>
    <w:p>
      <w:pPr>
        <w:ind w:right="160" w:firstLine="648"/>
        <w:spacing w:after="0" w:line="323" w:lineRule="auto"/>
        <w:rPr>
          <w:sz w:val="20"/>
          <w:szCs w:val="20"/>
          <w:color w:val="auto"/>
        </w:rPr>
      </w:pPr>
      <w:r>
        <w:rPr>
          <w:rFonts w:ascii="Arial" w:cs="Arial" w:eastAsia="Arial" w:hAnsi="Arial"/>
          <w:sz w:val="15"/>
          <w:szCs w:val="15"/>
          <w:i w:val="1"/>
          <w:iCs w:val="1"/>
          <w:color w:val="auto"/>
        </w:rPr>
        <w:t xml:space="preserve">Noncash Compensation Expense (Research and Development). </w:t>
      </w:r>
      <w:r>
        <w:rPr>
          <w:rFonts w:ascii="Arial" w:cs="Arial" w:eastAsia="Arial" w:hAnsi="Arial"/>
          <w:sz w:val="15"/>
          <w:szCs w:val="15"/>
          <w:color w:val="auto"/>
        </w:rPr>
        <w:t>Noncash compensation expense (research and development) related to equity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grants totaled $1,873,730 for the nine months ended September 30, 2016, as compared to $2,733,110 during the comparable period in 2015. The decrease in noncash compensation expense was primarily related to milestone-based vesting of restricted stock grants to non-executive personnel in the nine months ended September 30, 2015, and a decrease in the measurement date fair value of certain consultant restricted stock during the period ended September 30, 2016.</w:t>
      </w:r>
    </w:p>
    <w:p>
      <w:pPr>
        <w:spacing w:after="0" w:line="15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$15,355,206 to $45,075,097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2016, as compared to $29,719,891 for the nine months ended September 30, 2015. The increase in other research and development expenses was due primarily to a $1.0 million licensing fee for the Jubilant sub-license agreement, as well as the ongoing clinical development programs and related manufacturing costs for TG-1101 and TGR-1202 during the nine months ended September 30, 2016. We expect our other research and development costs to increase for the remainder of 2016 as enrollment of additional patients in our Phase 3 clinical trials increases and we prepare for launch.</w:t>
      </w:r>
    </w:p>
    <w:p>
      <w:pPr>
        <w:spacing w:after="0" w:line="17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decreased by $5,799,268 to $4,307,670 for the nine months ended September 30, 2016, as compared to $10,106,938 for the nine months ended September 30, 2015. The decrease in noncash compensation expense was primarily related to greater measurement date fair values of certain consultant restricted stock during the nine months ended September 30, 2015.</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$704,497 to $3,798,859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as compared to $3,094,362 for the nine months ended September 30, 2015. The increase was due primarily to the straight-line rent expense of our new office space, as well as increased personnel and other general and administrative costs. We expect our other general and administrative expenses to remain at a comparable level for the remainder of 2016.</w:t>
      </w:r>
    </w:p>
    <w:p>
      <w:pPr>
        <w:spacing w:after="0" w:line="197" w:lineRule="exact"/>
        <w:rPr>
          <w:sz w:val="20"/>
          <w:szCs w:val="20"/>
          <w:color w:val="auto"/>
        </w:rPr>
      </w:pPr>
    </w:p>
    <w:p>
      <w:pPr>
        <w:ind w:right="40" w:firstLine="648"/>
        <w:spacing w:after="0" w:line="33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increased by $159,138 to $362,319 for the nine months ended September 30, 2016, as compared to $203,181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2015. The increase is mainly due to an increase in interest income for the nine months ended September 30,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Our primary sources of cash have been from the sale of equity securities, warrant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2016, we had approximately $60.7 million in cash and cash equivalents, investment securities, and interest receivable.</w:t>
      </w:r>
    </w:p>
    <w:p>
      <w:pPr>
        <w:spacing w:after="0" w:line="27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As of September 30, 2016 we anticipate that our cash and cash equivalents and investments will be sufficient to fund the company’s planned operations into the first half of 2018.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used in operating activities for the nine months ended September 30, 2016 was $44,566,263 as compared to $31,789,611 for the nine months ended September 30, 2015.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For the nine months ended September 30, 2016, net cash provided by investing activities was $15,066,282 as compared to net cash used in investing activities of $27,164,331 for the nine months ended September 30, 2015. The increase in net cash provided by investing activities was primarily due to the maturity and sale of treasury securities during the nine months ended September 30, 2016.</w:t>
      </w:r>
    </w:p>
    <w:p>
      <w:pPr>
        <w:spacing w:after="0" w:line="194"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For the nine months ended September 30, 2016 and 2015, net cash provided by financing activities of $3,595,173 and $68,702,098 related to our ATM program, as well as proceeds from the exercise of warrants.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FASB Codification. We analyze each</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7" w:lineRule="exact"/>
        <w:rPr>
          <w:sz w:val="20"/>
          <w:szCs w:val="20"/>
          <w:color w:val="auto"/>
        </w:rPr>
      </w:pPr>
    </w:p>
    <w:p>
      <w:pPr>
        <w:ind w:right="160" w:firstLine="648"/>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5" w:name="page26"/>
    <w:bookmarkEnd w:id="25"/>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September 30, 2016 and December 31, 2015, there was $799,391 of goodwill on our condensed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7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No. 2016-15, “Classification of Certain Cash Receipts and Cash Payments” (“ASU 2016-15”). ASU 2016-15 amends the guidance in Accounting Standards Codification (“ASC” or “Codification”) 230 on the classification of certain cash receipts and payments in the statement of cash flows. The primary purpose of ASU 2016-15 is to reduce the diversity in practice that has resulted from the lack of consistent principles on this topic. The amendments in ASU 2016-15 add or clarify guidance on eight cash flow issues:</w:t>
      </w:r>
    </w:p>
    <w:p>
      <w:pPr>
        <w:spacing w:after="0" w:line="19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prepayment or debt extinguishment costs.</w:t>
      </w:r>
    </w:p>
    <w:p>
      <w:pPr>
        <w:spacing w:after="0" w:line="15"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Settlement of zero-coupon debt instruments or other debt instruments with coupon interest rates that are insignificant in relation to the effective interest rate of the borrowing.</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Proceeds from the settlement of insurance claims.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Separately identifiable cash flows and application of the predominance principle.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ASU 2016-15 is effective for annual and interim periods beginning after December 15, 2017, and early adoption is permitted for all entities. Entities must apply the guidance retrospectively to all periods presented but may apply it prospectively from the earliest date practicable if retrospective application would be impracticable. The provisions of this standard are not expected to significantly impact the Company.</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May 2016, the FASB issued ASU No. 2016-11, “Rescission of SEC Guidance Because of Accounting Standards Update 2014-09 and 2014-16 Pursuant to Staff Announcements at the March 3, 2016 EITF Meeting” (“ASU 2016-11”). ASU 2016-11 rescinds certain SEC guidance from the </w:t>
      </w:r>
      <w:r>
        <w:rPr>
          <w:rFonts w:ascii="Arial" w:cs="Arial" w:eastAsia="Arial" w:hAnsi="Arial"/>
          <w:sz w:val="18"/>
          <w:szCs w:val="18"/>
          <w:i w:val="1"/>
          <w:iCs w:val="1"/>
          <w:color w:val="auto"/>
        </w:rPr>
        <w:t>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Codification </w:t>
      </w:r>
      <w:r>
        <w:rPr>
          <w:rFonts w:ascii="Arial" w:cs="Arial" w:eastAsia="Arial" w:hAnsi="Arial"/>
          <w:sz w:val="18"/>
          <w:szCs w:val="18"/>
          <w:color w:val="auto"/>
        </w:rPr>
        <w:t>in response to announcements made by the SEC staff at the Emerging Issues Task Force’s March 3, 2016 meeting. Specifically, ASU 2016-11</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SEC observer comments on the following topics: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Upon the adoption of ASU 2014-09:</w:t>
      </w:r>
    </w:p>
    <w:p>
      <w:pPr>
        <w:spacing w:after="0" w:line="15" w:lineRule="exact"/>
        <w:rPr>
          <w:sz w:val="20"/>
          <w:szCs w:val="20"/>
          <w:color w:val="auto"/>
        </w:rPr>
      </w:pPr>
    </w:p>
    <w:p>
      <w:pPr>
        <w:ind w:left="1300" w:hanging="191"/>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Revenue and expense recognition for freight services in process (ASC 605-20-S99-2)</w:t>
      </w:r>
    </w:p>
    <w:p>
      <w:pPr>
        <w:spacing w:after="0" w:line="9" w:lineRule="exact"/>
        <w:rPr>
          <w:rFonts w:ascii="Arial" w:cs="Arial" w:eastAsia="Arial" w:hAnsi="Arial"/>
          <w:sz w:val="18"/>
          <w:szCs w:val="18"/>
          <w:color w:val="auto"/>
        </w:rPr>
      </w:pPr>
    </w:p>
    <w:p>
      <w:pPr>
        <w:ind w:left="1300" w:hanging="191"/>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Accounting for shipping and handling fees and costs (ASC 605-45-S99-1)</w:t>
      </w:r>
    </w:p>
    <w:p>
      <w:pPr>
        <w:spacing w:after="0" w:line="9" w:lineRule="exact"/>
        <w:rPr>
          <w:rFonts w:ascii="Arial" w:cs="Arial" w:eastAsia="Arial" w:hAnsi="Arial"/>
          <w:sz w:val="18"/>
          <w:szCs w:val="18"/>
          <w:color w:val="auto"/>
        </w:rPr>
      </w:pPr>
    </w:p>
    <w:p>
      <w:pPr>
        <w:ind w:left="1300" w:hanging="191"/>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Accounting for consideration given by a vendor to a customer (ASC 605-50-S99-1)</w:t>
      </w:r>
    </w:p>
    <w:p>
      <w:pPr>
        <w:spacing w:after="0" w:line="9" w:lineRule="exact"/>
        <w:rPr>
          <w:rFonts w:ascii="Arial" w:cs="Arial" w:eastAsia="Arial" w:hAnsi="Arial"/>
          <w:sz w:val="18"/>
          <w:szCs w:val="18"/>
          <w:color w:val="auto"/>
        </w:rPr>
      </w:pPr>
    </w:p>
    <w:p>
      <w:pPr>
        <w:ind w:left="1300" w:hanging="191"/>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Accounting for gas-balancing arrangements (ASC 932-10-S99-5).</w:t>
      </w:r>
    </w:p>
    <w:p>
      <w:pPr>
        <w:spacing w:after="0" w:line="218" w:lineRule="exact"/>
        <w:rPr>
          <w:rFonts w:ascii="Arial" w:cs="Arial" w:eastAsia="Arial" w:hAnsi="Arial"/>
          <w:sz w:val="18"/>
          <w:szCs w:val="18"/>
          <w:color w:val="auto"/>
        </w:rPr>
      </w:pPr>
    </w:p>
    <w:p>
      <w:pPr>
        <w:ind w:left="820" w:hanging="21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adoption of ASU 2014-16:</w:t>
      </w:r>
    </w:p>
    <w:p>
      <w:pPr>
        <w:spacing w:after="0" w:line="15" w:lineRule="exact"/>
        <w:rPr>
          <w:rFonts w:ascii="Arial" w:cs="Arial" w:eastAsia="Arial" w:hAnsi="Arial"/>
          <w:sz w:val="18"/>
          <w:szCs w:val="18"/>
          <w:color w:val="auto"/>
        </w:rPr>
      </w:pPr>
    </w:p>
    <w:p>
      <w:pPr>
        <w:ind w:left="1300" w:hanging="191"/>
        <w:spacing w:after="0" w:line="261"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Determining the nature of a host contract related to a hybrid financial instrument issued in the form of a share under ASC 815 (ASC 815-10-S99-3).</w:t>
      </w:r>
    </w:p>
    <w:p>
      <w:pPr>
        <w:spacing w:after="0" w:line="192"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ASU 2016-11 is effective upon the adoption of ASU 2014-09 and ASU 2014-16. The adoption of ASU 2016-11 is not expected to have a material impact on the Company’s condensed consolidated financial statements.</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2016, the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97"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2016,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September 30, 2016,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2016,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2016 that have materially affected, or are reasonably likely to materially affect, our internal control over financial reporting.</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120" w:firstLine="648"/>
        <w:spacing w:after="0" w:line="332" w:lineRule="auto"/>
        <w:rPr>
          <w:sz w:val="20"/>
          <w:szCs w:val="20"/>
          <w:color w:val="auto"/>
        </w:rPr>
      </w:pPr>
      <w:r>
        <w:rPr>
          <w:rFonts w:ascii="Arial" w:cs="Arial" w:eastAsia="Arial" w:hAnsi="Arial"/>
          <w:sz w:val="16"/>
          <w:szCs w:val="16"/>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or BET inhibitors, nor for our anti-PD-L1 and anti-GITR antibodies. Additionally, there can be no assurance given that any of the molecules under development in our IRAK4 or BET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ind w:right="70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BET, anti-PD-L1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9" w:name="page30"/>
    <w:bookmarkEnd w:id="29"/>
    <w:p>
      <w:pPr>
        <w:ind w:right="80" w:firstLine="648"/>
        <w:spacing w:after="0" w:line="288" w:lineRule="auto"/>
        <w:rPr>
          <w:sz w:val="20"/>
          <w:szCs w:val="20"/>
          <w:color w:val="auto"/>
        </w:rPr>
      </w:pPr>
      <w:r>
        <w:rPr>
          <w:rFonts w:ascii="Arial" w:cs="Arial" w:eastAsia="Arial" w:hAnsi="Arial"/>
          <w:sz w:val="16"/>
          <w:szCs w:val="16"/>
          <w:color w:val="auto"/>
        </w:rPr>
        <w:t>In September 2014, we announced a Phase 3 clinical trial for TG-1101 in previously treated patients with high-risk CLL, and in September 2015 we announced a Phase 3 clinical trial for the combination of TG-1101 + TGR-1202 for patients with CLL, each of which are being conducted pursuant to SPAs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174"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For example, we recently announced the filing of an amended protocol for the GENUINE Phase 3 (TG-1101 in previously treated patients with high-risk CLL) trial to evaluate the effect of the addition of TG-1101 to ibrutinib on overall response rate, which reduced the enrollment target from approximately 330 to 120 randomized patients and eliminated the progression free survival component of the study. Given that this change to the protocol, this study is no longer being conducted pursuant to the SPA and there can be no assurance given that the FDA’s review of the results achieved from the amended protocol will lead to the granting of a pre-BLA meeting, or an accelerated approval for TG-1101.</w:t>
      </w:r>
    </w:p>
    <w:p>
      <w:pPr>
        <w:spacing w:after="0" w:line="17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39"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jc w:val="both"/>
        <w:ind w:right="140" w:firstLine="648"/>
        <w:spacing w:after="0" w:line="298"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more than 300 patients have been dosed amongst all ongoing TGR-1202 studies, the full adverse effect profile of TGR-1202 is not known. It is unknown as the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48"/>
        <w:spacing w:after="0" w:line="254"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980" w:hanging="21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21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hanging="21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21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32" w:lineRule="exact"/>
        <w:rPr>
          <w:rFonts w:ascii="Arial" w:cs="Arial" w:eastAsia="Arial" w:hAnsi="Arial"/>
          <w:sz w:val="16"/>
          <w:szCs w:val="16"/>
          <w:color w:val="auto"/>
        </w:rPr>
      </w:pPr>
    </w:p>
    <w:p>
      <w:pPr>
        <w:ind w:left="980" w:hanging="21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21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21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21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46"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8"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21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0" w:hanging="324"/>
        <w:spacing w:after="0" w:line="28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or slower than initial trends indicate.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5" w:lineRule="exact"/>
        <w:rPr>
          <w:sz w:val="20"/>
          <w:szCs w:val="20"/>
          <w:color w:val="auto"/>
        </w:rPr>
      </w:pPr>
    </w:p>
    <w:p>
      <w:pPr>
        <w:ind w:left="660" w:right="260"/>
        <w:spacing w:after="0" w:line="255" w:lineRule="auto"/>
        <w:rPr>
          <w:sz w:val="20"/>
          <w:szCs w:val="20"/>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 ●unforeseen safety issues or any determination that the clinical trial presents unacceptable health risks; and ●lack of adequate funding to continue the clinical trial.</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recently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ind w:right="32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Genmab and GlaxoSmithKline’s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Recently, positive Phase 3 data was announced for the Roche Group’s anti-CD20 antibody ocrelizumab in the treatment of MS, which we anticipate will be filed for approval in the near term.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34" w:name="page35"/>
    <w:bookmarkEnd w:id="34"/>
    <w:p>
      <w:pPr>
        <w:ind w:firstLine="648"/>
        <w:spacing w:after="0" w:line="294" w:lineRule="auto"/>
        <w:rPr>
          <w:sz w:val="20"/>
          <w:szCs w:val="20"/>
          <w:color w:val="auto"/>
        </w:rPr>
      </w:pPr>
      <w:r>
        <w:rPr>
          <w:rFonts w:ascii="Arial" w:cs="Arial" w:eastAsia="Arial" w:hAnsi="Arial"/>
          <w:sz w:val="16"/>
          <w:szCs w:val="16"/>
          <w:color w:val="auto"/>
        </w:rPr>
        <w:t>With respect to TGR-1202, there are several PI3K delta targeted compounds both approved, such as Gilead’s Zydelig™ (idelalisib), and in development, including, but not limited to, Infinity Pharmaceuticals’ duvelisib (IPI-145)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and WM and marketed by AbbVie and Janssen), the BTK inhibitor ACP-196 (under development by AstraZeneca), or the BCL-2 inhibitor ABT-199 (FDA approved for CLL and marketed by AbbVie and Roche).</w:t>
      </w:r>
    </w:p>
    <w:p>
      <w:pPr>
        <w:spacing w:after="0" w:line="1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ind w:left="1740" w:hanging="598"/>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1740" w:hanging="598"/>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740" w:hanging="598"/>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740" w:hanging="598"/>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740" w:hanging="598"/>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46" w:lineRule="exact"/>
        <w:rPr>
          <w:sz w:val="20"/>
          <w:szCs w:val="20"/>
          <w:color w:val="auto"/>
        </w:rPr>
      </w:pPr>
    </w:p>
    <w:p>
      <w:pPr>
        <w:ind w:firstLine="486"/>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6" w:right="279" w:bottom="1440" w:gutter="0" w:footer="0" w:header="0"/>
        </w:sectPr>
      </w:pPr>
    </w:p>
    <w:bookmarkStart w:id="35" w:name="page36"/>
    <w:bookmarkEnd w:id="35"/>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9" w:lineRule="exact"/>
        <w:rPr>
          <w:sz w:val="20"/>
          <w:szCs w:val="20"/>
          <w:color w:val="auto"/>
        </w:rPr>
      </w:pPr>
    </w:p>
    <w:p>
      <w:pPr>
        <w:ind w:right="40" w:firstLine="162"/>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36" w:right="299" w:bottom="1440" w:gutter="0" w:footer="0" w:header="0"/>
        </w:sectPr>
      </w:pPr>
    </w:p>
    <w:bookmarkStart w:id="36" w:name="page37"/>
    <w:bookmarkEnd w:id="36"/>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4" w:lineRule="exact"/>
        <w:rPr>
          <w:sz w:val="20"/>
          <w:szCs w:val="20"/>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860" w:hanging="27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60" w:hanging="27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7" w:name="page38"/>
    <w:bookmarkEnd w:id="37"/>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7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 w:lineRule="exact"/>
        <w:rPr>
          <w:sz w:val="20"/>
          <w:szCs w:val="20"/>
          <w:color w:val="auto"/>
        </w:rPr>
      </w:pPr>
    </w:p>
    <w:p>
      <w:pPr>
        <w:ind w:left="1060" w:hanging="29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60" w:hanging="29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60" w:hanging="29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1060" w:hanging="29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60" w:hanging="29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As of November 1, 2016, we had fifty-eight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 w:lineRule="exact"/>
        <w:rPr>
          <w:sz w:val="20"/>
          <w:szCs w:val="20"/>
          <w:color w:val="auto"/>
        </w:rPr>
      </w:pPr>
    </w:p>
    <w:p>
      <w:pPr>
        <w:ind w:left="1040" w:hanging="22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1040" w:hanging="220"/>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1040" w:hanging="22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1040" w:hanging="22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8" w:name="page39"/>
    <w:bookmarkEnd w:id="38"/>
    <w:p>
      <w:pPr>
        <w:ind w:right="40" w:firstLine="810"/>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648"/>
        <w:spacing w:after="0" w:line="306" w:lineRule="auto"/>
        <w:rPr>
          <w:sz w:val="20"/>
          <w:szCs w:val="20"/>
          <w:color w:val="auto"/>
        </w:rPr>
      </w:pPr>
      <w:r>
        <w:rPr>
          <w:rFonts w:ascii="Arial" w:cs="Arial" w:eastAsia="Arial" w:hAnsi="Arial"/>
          <w:sz w:val="15"/>
          <w:szCs w:val="15"/>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9" w:name="page40"/>
    <w:bookmarkEnd w:id="39"/>
    <w:p>
      <w:pPr>
        <w:ind w:right="12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460" w:firstLine="648"/>
        <w:spacing w:after="0" w:line="286"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880" w:right="20" w:hanging="222"/>
        <w:spacing w:after="0" w:line="25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440" w:firstLine="648"/>
        <w:spacing w:after="0" w:line="318" w:lineRule="auto"/>
        <w:rPr>
          <w:sz w:val="20"/>
          <w:szCs w:val="20"/>
          <w:color w:val="auto"/>
        </w:rPr>
      </w:pPr>
      <w:r>
        <w:rPr>
          <w:rFonts w:ascii="Arial" w:cs="Arial" w:eastAsia="Arial" w:hAnsi="Arial"/>
          <w:sz w:val="15"/>
          <w:szCs w:val="15"/>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15" w:lineRule="exact"/>
        <w:rPr>
          <w:sz w:val="20"/>
          <w:szCs w:val="20"/>
          <w:color w:val="auto"/>
        </w:rPr>
      </w:pPr>
    </w:p>
    <w:p>
      <w:pPr>
        <w:ind w:left="880" w:hanging="222"/>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880" w:hanging="222"/>
        <w:spacing w:after="0" w:line="250"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jc w:val="both"/>
        <w:ind w:left="880" w:hanging="222"/>
        <w:spacing w:after="0" w:line="250"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880" w:hanging="222"/>
        <w:spacing w:after="0" w:line="250"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880" w:hanging="222"/>
        <w:spacing w:after="0" w:line="26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w:t>
      </w:r>
    </w:p>
    <w:p>
      <w:pPr>
        <w:spacing w:after="0" w:line="248"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6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1" w:name="page42"/>
    <w:bookmarkEnd w:id="41"/>
    <w:p>
      <w:pPr>
        <w:ind w:right="420" w:firstLine="648"/>
        <w:spacing w:after="0" w:line="259"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94"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spacing w:after="0" w:line="139" w:lineRule="exact"/>
        <w:rPr>
          <w:sz w:val="20"/>
          <w:szCs w:val="20"/>
          <w:color w:val="auto"/>
        </w:rPr>
      </w:pPr>
    </w:p>
    <w:p>
      <w:pPr>
        <w:ind w:left="820" w:hanging="21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15" w:lineRule="exact"/>
        <w:rPr>
          <w:rFonts w:ascii="Arial" w:cs="Arial" w:eastAsia="Arial" w:hAnsi="Arial"/>
          <w:sz w:val="18"/>
          <w:szCs w:val="18"/>
          <w:color w:val="auto"/>
        </w:rPr>
      </w:pPr>
    </w:p>
    <w:p>
      <w:pPr>
        <w:ind w:left="820" w:hanging="21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820" w:hanging="216"/>
        <w:spacing w:after="0" w:line="25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820" w:hanging="21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820" w:hanging="216"/>
        <w:spacing w:after="0" w:line="261"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of September 30, 2016, we had approximately $60.7 million in cash, cash equivalents, investment securities, and interest receivable, which we believe will be sufficient to fund the company’s planned operations into the first half of 2018.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67"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have never been profitable and, as of September 30, 2016, we had an accumulated deficit of $212.7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167" w:lineRule="exact"/>
        <w:rPr>
          <w:sz w:val="20"/>
          <w:szCs w:val="20"/>
          <w:color w:val="auto"/>
        </w:rPr>
      </w:pPr>
    </w:p>
    <w:p>
      <w:pPr>
        <w:ind w:left="820" w:hanging="216"/>
        <w:spacing w:after="0"/>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successful completion of preclinical studies of our product candidates;</w:t>
      </w:r>
    </w:p>
    <w:p>
      <w:pPr>
        <w:spacing w:after="0" w:line="15" w:lineRule="exact"/>
        <w:rPr>
          <w:rFonts w:ascii="Arial" w:cs="Arial" w:eastAsia="Arial" w:hAnsi="Arial"/>
          <w:sz w:val="18"/>
          <w:szCs w:val="18"/>
          <w:b w:val="1"/>
          <w:bCs w:val="1"/>
          <w:color w:val="auto"/>
        </w:rPr>
      </w:pPr>
    </w:p>
    <w:p>
      <w:pPr>
        <w:ind w:left="820" w:hanging="216"/>
        <w:spacing w:after="0"/>
        <w:tabs>
          <w:tab w:leader="none" w:pos="82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successful commencement and completion of clinical trials of our product candidates and any future product candidates we advance into clinical trials;</w:t>
      </w:r>
    </w:p>
    <w:p>
      <w:pPr>
        <w:spacing w:after="0" w:line="43" w:lineRule="exact"/>
        <w:rPr>
          <w:rFonts w:ascii="Arial" w:cs="Arial" w:eastAsia="Arial" w:hAnsi="Arial"/>
          <w:sz w:val="15"/>
          <w:szCs w:val="15"/>
          <w:b w:val="1"/>
          <w:bCs w:val="1"/>
          <w:color w:val="auto"/>
        </w:rPr>
      </w:pPr>
    </w:p>
    <w:p>
      <w:pPr>
        <w:ind w:left="820" w:hanging="216"/>
        <w:spacing w:after="0" w:line="250" w:lineRule="auto"/>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820" w:hanging="216"/>
        <w:spacing w:after="0"/>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b w:val="1"/>
          <w:bCs w:val="1"/>
          <w:color w:val="auto"/>
        </w:rPr>
      </w:pPr>
    </w:p>
    <w:p>
      <w:pPr>
        <w:ind w:left="820" w:hanging="21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820" w:hanging="21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3" w:name="page44"/>
    <w:bookmarkEnd w:id="43"/>
    <w:p>
      <w:pPr>
        <w:ind w:right="16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820" w:hanging="216"/>
        <w:spacing w:after="0" w:line="25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46" w:lineRule="exact"/>
        <w:rPr>
          <w:sz w:val="20"/>
          <w:szCs w:val="20"/>
          <w:color w:val="auto"/>
        </w:rPr>
      </w:pPr>
    </w:p>
    <w:p>
      <w:pPr>
        <w:jc w:val="both"/>
        <w:ind w:right="60" w:firstLine="648"/>
        <w:spacing w:after="0" w:line="303" w:lineRule="auto"/>
        <w:rPr>
          <w:sz w:val="20"/>
          <w:szCs w:val="20"/>
          <w:color w:val="auto"/>
        </w:rPr>
      </w:pPr>
      <w:r>
        <w:rPr>
          <w:rFonts w:ascii="Arial" w:cs="Arial" w:eastAsia="Arial" w:hAnsi="Arial"/>
          <w:sz w:val="15"/>
          <w:szCs w:val="15"/>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9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58%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86" w:lineRule="exact"/>
        <w:rPr>
          <w:sz w:val="20"/>
          <w:szCs w:val="20"/>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15"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00" w:hanging="29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00" w:lineRule="exact"/>
        <w:rPr>
          <w:sz w:val="20"/>
          <w:szCs w:val="20"/>
          <w:color w:val="auto"/>
        </w:rPr>
      </w:pPr>
    </w:p>
    <w:p>
      <w:pPr>
        <w:spacing w:after="0" w:line="24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31.1</w:t>
            </w:r>
          </w:p>
        </w:tc>
        <w:tc>
          <w:tcPr>
            <w:tcW w:w="9940" w:type="dxa"/>
            <w:vAlign w:val="bottom"/>
          </w:tcPr>
          <w:p>
            <w:pPr>
              <w:ind w:left="320"/>
              <w:spacing w:after="0"/>
              <w:rPr>
                <w:sz w:val="20"/>
                <w:szCs w:val="20"/>
                <w:color w:val="auto"/>
              </w:rPr>
            </w:pPr>
            <w:r>
              <w:rPr>
                <w:rFonts w:ascii="Arial" w:cs="Arial" w:eastAsia="Arial" w:hAnsi="Arial"/>
                <w:sz w:val="18"/>
                <w:szCs w:val="18"/>
                <w:color w:val="auto"/>
                <w:w w:val="88"/>
              </w:rPr>
              <w:t>Certification of Chief Executive Officer pursuant to Rule 13a-14(a)/15d-14(a), as adopted pursuant to Section 302 of the Sarbanes-Oxley</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November 9, 2016.</w:t>
            </w:r>
          </w:p>
        </w:tc>
      </w:tr>
      <w:tr>
        <w:trPr>
          <w:trHeight w:val="42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31.2</w:t>
            </w:r>
          </w:p>
        </w:tc>
        <w:tc>
          <w:tcPr>
            <w:tcW w:w="9940" w:type="dxa"/>
            <w:vAlign w:val="bottom"/>
          </w:tcPr>
          <w:p>
            <w:pPr>
              <w:ind w:left="320"/>
              <w:spacing w:after="0"/>
              <w:rPr>
                <w:sz w:val="20"/>
                <w:szCs w:val="20"/>
                <w:color w:val="auto"/>
              </w:rPr>
            </w:pPr>
            <w:r>
              <w:rPr>
                <w:rFonts w:ascii="Arial" w:cs="Arial" w:eastAsia="Arial" w:hAnsi="Arial"/>
                <w:sz w:val="18"/>
                <w:szCs w:val="18"/>
                <w:color w:val="auto"/>
                <w:w w:val="89"/>
              </w:rPr>
              <w:t>Certification of Chief Financial Officer pursuant to Rule 13a-14(a)/15d-14(a), as adopted pursuant to Section 302 of the Sarbanes-Oxley</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November 9, 2016.</w:t>
            </w:r>
          </w:p>
        </w:tc>
      </w:tr>
      <w:tr>
        <w:trPr>
          <w:trHeight w:val="42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32.1</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Executive Officer pursuant to 18 U.S.C. §1350, as adopted pursuant to Section 906 of the Sarbanes-Oxley Act of</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November 9, 2016.</w:t>
            </w:r>
          </w:p>
        </w:tc>
      </w:tr>
      <w:tr>
        <w:trPr>
          <w:trHeight w:val="42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32.2</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Financial Officer pursuant to 18 U.S.C. §1350, as adopted pursuant to Section 906 of the Sarbanes-Oxley Act of</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November 9, 2016.</w:t>
            </w:r>
          </w:p>
        </w:tc>
      </w:tr>
    </w:tbl>
    <w:p>
      <w:pPr>
        <w:spacing w:after="0" w:line="210" w:lineRule="exact"/>
        <w:rPr>
          <w:sz w:val="20"/>
          <w:szCs w:val="20"/>
          <w:color w:val="auto"/>
        </w:rPr>
      </w:pPr>
    </w:p>
    <w:p>
      <w:pPr>
        <w:ind w:left="1440" w:right="360" w:hanging="923"/>
        <w:spacing w:after="0" w:line="323" w:lineRule="auto"/>
        <w:tabs>
          <w:tab w:leader="none" w:pos="14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following financial information from the Company’s Quarterly Report on Form 10-Q for the period ended September 30, 2016,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114300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420" w:top="287" w:right="419" w:bottom="1440" w:gutter="0" w:footer="0" w:header="0"/>
        </w:sectPr>
      </w:pPr>
    </w:p>
    <w:bookmarkStart w:id="46" w:name="page47"/>
    <w:bookmarkEnd w:id="46"/>
    <w:p>
      <w:pPr>
        <w:ind w:left="1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16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ind w:left="180"/>
        <w:spacing w:after="0"/>
        <w:tabs>
          <w:tab w:leader="none" w:pos="5520" w:val="left"/>
          <w:tab w:leader="none" w:pos="598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36830</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719" w:right="5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994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06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26"/>
        </w:trPr>
        <w:tc>
          <w:tcPr>
            <w:tcW w:w="112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9940" w:type="dxa"/>
            <w:vAlign w:val="bottom"/>
          </w:tcPr>
          <w:p>
            <w:pPr>
              <w:ind w:left="320"/>
              <w:spacing w:after="0"/>
              <w:rPr>
                <w:sz w:val="20"/>
                <w:szCs w:val="20"/>
                <w:color w:val="auto"/>
              </w:rPr>
            </w:pPr>
            <w:r>
              <w:rPr>
                <w:rFonts w:ascii="Arial" w:cs="Arial" w:eastAsia="Arial" w:hAnsi="Arial"/>
                <w:sz w:val="18"/>
                <w:szCs w:val="18"/>
                <w:color w:val="auto"/>
                <w:w w:val="88"/>
              </w:rPr>
              <w:t>Certification of Chief Executive Officer pursuant to Rule 13a-14(a)/15d-14(a), as adopted pursuant to Section 302 of the Sarbanes-Oxley</w:t>
            </w:r>
          </w:p>
        </w:tc>
      </w:tr>
      <w:tr>
        <w:trPr>
          <w:trHeight w:val="222"/>
        </w:trPr>
        <w:tc>
          <w:tcPr>
            <w:tcW w:w="112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November 9, 2016.</w:t>
            </w:r>
          </w:p>
        </w:tc>
      </w:tr>
      <w:tr>
        <w:trPr>
          <w:trHeight w:val="426"/>
        </w:trPr>
        <w:tc>
          <w:tcPr>
            <w:tcW w:w="112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9940" w:type="dxa"/>
            <w:vAlign w:val="bottom"/>
          </w:tcPr>
          <w:p>
            <w:pPr>
              <w:ind w:left="320"/>
              <w:spacing w:after="0"/>
              <w:rPr>
                <w:sz w:val="20"/>
                <w:szCs w:val="20"/>
                <w:color w:val="auto"/>
              </w:rPr>
            </w:pPr>
            <w:r>
              <w:rPr>
                <w:rFonts w:ascii="Arial" w:cs="Arial" w:eastAsia="Arial" w:hAnsi="Arial"/>
                <w:sz w:val="18"/>
                <w:szCs w:val="18"/>
                <w:color w:val="auto"/>
                <w:w w:val="89"/>
              </w:rPr>
              <w:t>Certification of Chief Financial Officer pursuant to Rule 13a-14(a)/15d-14(a), as adopted pursuant to Section 302 of the Sarbanes-Oxley</w:t>
            </w:r>
          </w:p>
        </w:tc>
      </w:tr>
      <w:tr>
        <w:trPr>
          <w:trHeight w:val="222"/>
        </w:trPr>
        <w:tc>
          <w:tcPr>
            <w:tcW w:w="112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November 9, 2016.</w:t>
            </w:r>
          </w:p>
        </w:tc>
      </w:tr>
      <w:tr>
        <w:trPr>
          <w:trHeight w:val="426"/>
        </w:trPr>
        <w:tc>
          <w:tcPr>
            <w:tcW w:w="1120" w:type="dxa"/>
            <w:vAlign w:val="bottom"/>
          </w:tcPr>
          <w:p>
            <w:pPr>
              <w:jc w:val="right"/>
              <w:ind w:right="212"/>
              <w:spacing w:after="0"/>
              <w:rPr>
                <w:sz w:val="20"/>
                <w:szCs w:val="20"/>
                <w:color w:val="auto"/>
              </w:rPr>
            </w:pPr>
            <w:r>
              <w:rPr>
                <w:rFonts w:ascii="Arial" w:cs="Arial" w:eastAsia="Arial" w:hAnsi="Arial"/>
                <w:sz w:val="18"/>
                <w:szCs w:val="18"/>
                <w:color w:val="auto"/>
              </w:rPr>
              <w:t>32.1</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Executive Officer pursuant to 18 U.S.C. §1350, as adopted pursuant to Section 906 of the Sarbanes-Oxley Act of</w:t>
            </w:r>
          </w:p>
        </w:tc>
      </w:tr>
      <w:tr>
        <w:trPr>
          <w:trHeight w:val="222"/>
        </w:trPr>
        <w:tc>
          <w:tcPr>
            <w:tcW w:w="112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November 9, 2016.</w:t>
            </w:r>
          </w:p>
        </w:tc>
      </w:tr>
      <w:tr>
        <w:trPr>
          <w:trHeight w:val="426"/>
        </w:trPr>
        <w:tc>
          <w:tcPr>
            <w:tcW w:w="1120" w:type="dxa"/>
            <w:vAlign w:val="bottom"/>
          </w:tcPr>
          <w:p>
            <w:pPr>
              <w:jc w:val="right"/>
              <w:ind w:right="212"/>
              <w:spacing w:after="0"/>
              <w:rPr>
                <w:sz w:val="20"/>
                <w:szCs w:val="20"/>
                <w:color w:val="auto"/>
              </w:rPr>
            </w:pPr>
            <w:r>
              <w:rPr>
                <w:rFonts w:ascii="Arial" w:cs="Arial" w:eastAsia="Arial" w:hAnsi="Arial"/>
                <w:sz w:val="18"/>
                <w:szCs w:val="18"/>
                <w:color w:val="auto"/>
              </w:rPr>
              <w:t>32.2</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Financial Officer pursuant to 18 U.S.C. §1350, as adopted pursuant to Section 906 of the Sarbanes-Oxley Act of</w:t>
            </w:r>
          </w:p>
        </w:tc>
      </w:tr>
      <w:tr>
        <w:trPr>
          <w:trHeight w:val="222"/>
        </w:trPr>
        <w:tc>
          <w:tcPr>
            <w:tcW w:w="112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November 9, 2016.</w:t>
            </w:r>
          </w:p>
        </w:tc>
      </w:tr>
    </w:tbl>
    <w:p>
      <w:pPr>
        <w:spacing w:after="0" w:line="210" w:lineRule="exact"/>
        <w:rPr>
          <w:sz w:val="20"/>
          <w:szCs w:val="20"/>
          <w:color w:val="auto"/>
        </w:rPr>
      </w:pPr>
    </w:p>
    <w:p>
      <w:pPr>
        <w:ind w:left="1440" w:right="360" w:hanging="923"/>
        <w:spacing w:after="0" w:line="323" w:lineRule="auto"/>
        <w:tabs>
          <w:tab w:leader="none" w:pos="14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following financial information from the Company’s Quarterly Report on Form 10-Q for the period ended September 30, 2016,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560070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420" w:top="503"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40" w:right="80" w:hanging="132"/>
        <w:spacing w:after="0" w:line="268" w:lineRule="auto"/>
        <w:tabs>
          <w:tab w:leader="none" w:pos="1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3385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Interim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140" w:right="140" w:hanging="134"/>
        <w:spacing w:after="0" w:line="268"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left="820" w:right="100" w:hanging="592"/>
        <w:spacing w:after="0" w:line="268"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2016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Interim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2016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10795</wp:posOffset>
            </wp:positionV>
            <wp:extent cx="42024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lvl w:ilvl="1">
      <w:lvlJc w:val="left"/>
      <w:lvlText w:val="o"/>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lvl w:ilvl="1">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lvl w:ilvl="1">
      <w:lvlJc w:val="left"/>
      <w:lvlText w:val="o"/>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01"/>
    </w:lvl>
  </w:abstractNum>
  <w:abstractNum w:abstractNumId="28">
    <w:nsid w:val="6CEAF087"/>
    <w:multiLevelType w:val="hybridMultilevel"/>
    <w:lvl w:ilvl="0">
      <w:lvlJc w:val="left"/>
      <w:lvlText w:val="%1"/>
      <w:numFmt w:val="decimal"/>
      <w:start w:val="10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5"/>
    </w:lvl>
    <w:lvl w:ilvl="1">
      <w:lvlJc w:val="left"/>
      <w:lvlText w:val="%2)"/>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2019-12-06T08:27:54Z</dcterms:created>
  <dcterms:modified xsi:type="dcterms:W3CDTF">2019-12-06T08:27:54Z</dcterms:modified>
</cp:coreProperties>
</file>